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E2B0DD">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088A12D5">
      <w:pPr>
        <w:spacing w:line="480" w:lineRule="exact"/>
        <w:jc w:val="center"/>
        <w:rPr>
          <w:rFonts w:ascii="宋体" w:hAnsi="宋体"/>
          <w:b/>
          <w:sz w:val="44"/>
          <w:szCs w:val="44"/>
        </w:rPr>
      </w:pPr>
      <w:r>
        <w:rPr>
          <w:rFonts w:hint="eastAsia" w:ascii="宋体" w:hAnsi="宋体"/>
          <w:b/>
          <w:sz w:val="44"/>
          <w:szCs w:val="44"/>
        </w:rPr>
        <w:t>隆尧县农业农村局2021年</w:t>
      </w:r>
    </w:p>
    <w:p w14:paraId="138BC37C">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66D01960">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王胜利         </w:t>
      </w:r>
    </w:p>
    <w:tbl>
      <w:tblPr>
        <w:tblStyle w:val="10"/>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089846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AEE978C">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88A0AAA">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4573FD48">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6E3E724A">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5855B69C">
            <w:pPr>
              <w:widowControl/>
              <w:spacing w:line="240" w:lineRule="exact"/>
              <w:jc w:val="left"/>
              <w:rPr>
                <w:b/>
              </w:rPr>
            </w:pPr>
            <w:r>
              <w:rPr>
                <w:rFonts w:ascii="仿宋_GB2312" w:hAnsi="新宋体" w:eastAsia="仿宋_GB2312" w:cs="仿宋_GB2312"/>
                <w:b/>
                <w:kern w:val="0"/>
                <w:sz w:val="24"/>
                <w:szCs w:val="24"/>
              </w:rPr>
              <w:t>得分</w:t>
            </w:r>
          </w:p>
        </w:tc>
      </w:tr>
      <w:tr w14:paraId="46D029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23E85DF">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234EC64">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39ADEAE">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3D9455EC">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4CCD7587">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226DDB82">
            <w:pPr>
              <w:rPr>
                <w:rFonts w:ascii="宋体"/>
                <w:szCs w:val="21"/>
              </w:rPr>
            </w:pPr>
          </w:p>
        </w:tc>
      </w:tr>
      <w:tr w14:paraId="7B180D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29D187DB">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42137EE3">
            <w:pPr>
              <w:widowControl/>
              <w:spacing w:line="240" w:lineRule="exact"/>
              <w:jc w:val="left"/>
              <w:rPr>
                <w:szCs w:val="21"/>
              </w:rPr>
            </w:pPr>
            <w:r>
              <w:rPr>
                <w:rFonts w:hint="eastAsia"/>
                <w:szCs w:val="21"/>
              </w:rPr>
              <w:t>96</w:t>
            </w:r>
          </w:p>
        </w:tc>
      </w:tr>
      <w:tr w14:paraId="260DAF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1B23E44">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8083AC0">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40AD4D03">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2ED6C052">
            <w:pPr>
              <w:widowControl/>
              <w:spacing w:line="240" w:lineRule="exact"/>
              <w:jc w:val="left"/>
              <w:rPr>
                <w:rFonts w:ascii="仿宋" w:hAnsi="仿宋" w:eastAsia="仿宋" w:cs="仿宋_GB2312"/>
                <w:kern w:val="0"/>
                <w:szCs w:val="21"/>
              </w:rPr>
            </w:pPr>
          </w:p>
          <w:p w14:paraId="67993808">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职责明确</w:t>
            </w:r>
          </w:p>
          <w:p w14:paraId="6DE4F6BA">
            <w:pPr>
              <w:widowControl/>
              <w:spacing w:line="240" w:lineRule="exact"/>
              <w:jc w:val="left"/>
              <w:rPr>
                <w:rFonts w:ascii="仿宋" w:hAnsi="仿宋" w:eastAsia="仿宋"/>
                <w:szCs w:val="21"/>
              </w:rPr>
            </w:pPr>
            <w:r>
              <w:rPr>
                <w:rFonts w:ascii="仿宋" w:hAnsi="仿宋" w:eastAsia="仿宋" w:cs="仿宋_GB2312"/>
                <w:kern w:val="0"/>
                <w:szCs w:val="21"/>
              </w:rPr>
              <w:t>（1</w:t>
            </w:r>
            <w:r>
              <w:rPr>
                <w:rFonts w:hint="eastAsia" w:ascii="仿宋" w:hAnsi="仿宋" w:eastAsia="仿宋" w:cs="仿宋_GB2312"/>
                <w:kern w:val="0"/>
                <w:szCs w:val="21"/>
              </w:rPr>
              <w:t>分</w:t>
            </w:r>
            <w:r>
              <w:rPr>
                <w:rFonts w:ascii="仿宋" w:hAnsi="仿宋" w:eastAsia="仿宋"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C1CEA7E">
            <w:pPr>
              <w:widowControl/>
              <w:spacing w:line="240" w:lineRule="exact"/>
              <w:jc w:val="left"/>
              <w:rPr>
                <w:rFonts w:ascii="仿宋" w:hAnsi="仿宋" w:eastAsia="仿宋"/>
                <w:szCs w:val="21"/>
              </w:rPr>
            </w:pPr>
            <w:r>
              <w:rPr>
                <w:rFonts w:ascii="仿宋" w:hAnsi="仿宋" w:eastAsia="仿宋"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760D33CB">
            <w:pPr>
              <w:widowControl/>
              <w:spacing w:line="240" w:lineRule="exact"/>
              <w:jc w:val="left"/>
              <w:rPr>
                <w:rFonts w:ascii="仿宋" w:hAnsi="仿宋" w:eastAsia="仿宋"/>
                <w:szCs w:val="21"/>
              </w:rPr>
            </w:pPr>
            <w:r>
              <w:rPr>
                <w:rFonts w:ascii="仿宋" w:hAnsi="仿宋" w:eastAsia="仿宋" w:cs="仿宋_GB2312"/>
                <w:kern w:val="0"/>
                <w:szCs w:val="21"/>
              </w:rPr>
              <w:t>符合（1）；</w:t>
            </w:r>
          </w:p>
          <w:p w14:paraId="7032B458">
            <w:pPr>
              <w:widowControl/>
              <w:spacing w:line="240" w:lineRule="exact"/>
              <w:jc w:val="left"/>
              <w:rPr>
                <w:rFonts w:ascii="仿宋" w:hAnsi="仿宋" w:eastAsia="仿宋"/>
                <w:szCs w:val="21"/>
              </w:rPr>
            </w:pPr>
            <w:r>
              <w:rPr>
                <w:rFonts w:ascii="仿宋" w:hAnsi="仿宋" w:eastAsia="仿宋"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0DCED8EA">
            <w:pPr>
              <w:widowControl/>
              <w:spacing w:line="240" w:lineRule="exact"/>
              <w:jc w:val="left"/>
              <w:rPr>
                <w:rFonts w:ascii="仿宋" w:hAnsi="仿宋" w:eastAsia="仿宋"/>
                <w:szCs w:val="21"/>
              </w:rPr>
            </w:pPr>
            <w:r>
              <w:rPr>
                <w:rFonts w:hint="eastAsia" w:ascii="仿宋" w:hAnsi="仿宋" w:eastAsia="仿宋"/>
                <w:szCs w:val="21"/>
              </w:rPr>
              <w:t>1</w:t>
            </w:r>
          </w:p>
        </w:tc>
      </w:tr>
      <w:tr w14:paraId="718C39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B9BA5D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EA1F3FC">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4181201F">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活动合规性</w:t>
            </w:r>
          </w:p>
          <w:p w14:paraId="67F7150C">
            <w:pPr>
              <w:widowControl/>
              <w:spacing w:line="240" w:lineRule="exact"/>
              <w:jc w:val="left"/>
              <w:rPr>
                <w:rFonts w:ascii="仿宋" w:hAnsi="仿宋" w:eastAsia="仿宋"/>
                <w:szCs w:val="21"/>
              </w:rPr>
            </w:pPr>
            <w:r>
              <w:rPr>
                <w:rFonts w:ascii="仿宋" w:hAnsi="仿宋" w:eastAsia="仿宋" w:cs="仿宋_GB2312"/>
                <w:kern w:val="0"/>
                <w:szCs w:val="21"/>
              </w:rPr>
              <w:t>（2</w:t>
            </w:r>
            <w:r>
              <w:rPr>
                <w:rFonts w:hint="eastAsia" w:ascii="仿宋" w:hAnsi="仿宋" w:eastAsia="仿宋" w:cs="仿宋_GB2312"/>
                <w:kern w:val="0"/>
                <w:szCs w:val="21"/>
              </w:rPr>
              <w:t>分</w:t>
            </w:r>
            <w:r>
              <w:rPr>
                <w:rFonts w:ascii="仿宋" w:hAnsi="仿宋" w:eastAsia="仿宋"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DE3AF4C">
            <w:pPr>
              <w:widowControl/>
              <w:spacing w:line="240" w:lineRule="exact"/>
              <w:jc w:val="left"/>
              <w:rPr>
                <w:rFonts w:ascii="仿宋" w:hAnsi="仿宋" w:eastAsia="仿宋"/>
                <w:szCs w:val="21"/>
              </w:rPr>
            </w:pPr>
            <w:r>
              <w:rPr>
                <w:rFonts w:ascii="仿宋" w:hAnsi="仿宋" w:eastAsia="仿宋" w:cs="仿宋_GB2312"/>
                <w:kern w:val="0"/>
                <w:szCs w:val="21"/>
              </w:rPr>
              <w:t>部门的活动是否在职责范围之内并符合部门中长期规划，用以反映和评价部门活动目标与部门履职、年度工作任务的相符性情况。</w:t>
            </w:r>
          </w:p>
          <w:p w14:paraId="4CDF13D3">
            <w:pPr>
              <w:widowControl/>
              <w:spacing w:line="240" w:lineRule="exact"/>
              <w:jc w:val="left"/>
              <w:rPr>
                <w:rFonts w:ascii="仿宋" w:hAnsi="仿宋" w:eastAsia="仿宋"/>
                <w:szCs w:val="21"/>
              </w:rPr>
            </w:pPr>
            <w:r>
              <w:rPr>
                <w:rFonts w:ascii="仿宋" w:hAnsi="仿宋" w:eastAsia="仿宋" w:cs="仿宋_GB2312"/>
                <w:kern w:val="0"/>
                <w:szCs w:val="21"/>
              </w:rPr>
              <w:t>评价要点：</w:t>
            </w:r>
          </w:p>
          <w:p w14:paraId="49179D8C">
            <w:pPr>
              <w:widowControl/>
              <w:spacing w:line="240" w:lineRule="exact"/>
              <w:jc w:val="left"/>
              <w:rPr>
                <w:rFonts w:ascii="仿宋" w:hAnsi="仿宋" w:eastAsia="仿宋"/>
                <w:szCs w:val="21"/>
              </w:rPr>
            </w:pPr>
            <w:r>
              <w:rPr>
                <w:rFonts w:ascii="仿宋" w:hAnsi="仿宋" w:eastAsia="仿宋" w:cs="仿宋_GB2312"/>
                <w:kern w:val="0"/>
                <w:szCs w:val="21"/>
              </w:rPr>
              <w:t>1.部门活动的设定在部门所确定的职责范围之内；</w:t>
            </w:r>
          </w:p>
          <w:p w14:paraId="2E19978F">
            <w:pPr>
              <w:widowControl/>
              <w:spacing w:line="240" w:lineRule="exact"/>
              <w:jc w:val="left"/>
              <w:rPr>
                <w:rFonts w:ascii="仿宋" w:hAnsi="仿宋" w:eastAsia="仿宋"/>
                <w:szCs w:val="21"/>
              </w:rPr>
            </w:pPr>
            <w:r>
              <w:rPr>
                <w:rFonts w:ascii="仿宋" w:hAnsi="仿宋" w:eastAsia="仿宋" w:cs="仿宋_GB2312"/>
                <w:kern w:val="0"/>
                <w:szCs w:val="21"/>
              </w:rPr>
              <w:t>2.部门活动符合</w:t>
            </w:r>
            <w:r>
              <w:rPr>
                <w:rFonts w:hint="eastAsia" w:ascii="仿宋" w:hAnsi="仿宋" w:eastAsia="仿宋" w:cs="仿宋_GB2312"/>
                <w:kern w:val="0"/>
                <w:szCs w:val="21"/>
              </w:rPr>
              <w:t>市</w:t>
            </w:r>
            <w:r>
              <w:rPr>
                <w:rFonts w:ascii="仿宋" w:hAnsi="仿宋" w:eastAsia="仿宋" w:cs="仿宋_GB2312"/>
                <w:kern w:val="0"/>
                <w:szCs w:val="21"/>
              </w:rPr>
              <w:t>委、</w:t>
            </w:r>
            <w:r>
              <w:rPr>
                <w:rFonts w:hint="eastAsia" w:ascii="仿宋" w:hAnsi="仿宋" w:eastAsia="仿宋" w:cs="仿宋_GB2312"/>
                <w:kern w:val="0"/>
                <w:szCs w:val="21"/>
              </w:rPr>
              <w:t>市</w:t>
            </w:r>
            <w:r>
              <w:rPr>
                <w:rFonts w:ascii="仿宋" w:hAnsi="仿宋" w:eastAsia="仿宋"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522A2BBA">
            <w:pPr>
              <w:widowControl/>
              <w:spacing w:line="240" w:lineRule="exact"/>
              <w:jc w:val="left"/>
              <w:rPr>
                <w:rFonts w:ascii="仿宋" w:hAnsi="仿宋" w:eastAsia="仿宋"/>
                <w:szCs w:val="21"/>
              </w:rPr>
            </w:pPr>
            <w:r>
              <w:rPr>
                <w:rFonts w:ascii="仿宋" w:hAnsi="仿宋" w:eastAsia="仿宋" w:cs="仿宋_GB2312"/>
                <w:kern w:val="0"/>
                <w:szCs w:val="21"/>
              </w:rPr>
              <w:t>全部符合（2）；</w:t>
            </w:r>
          </w:p>
          <w:p w14:paraId="1FBF0761">
            <w:pPr>
              <w:widowControl/>
              <w:spacing w:line="240" w:lineRule="exact"/>
              <w:jc w:val="left"/>
              <w:rPr>
                <w:rFonts w:ascii="仿宋" w:hAnsi="仿宋" w:eastAsia="仿宋"/>
                <w:szCs w:val="21"/>
              </w:rPr>
            </w:pPr>
            <w:r>
              <w:rPr>
                <w:rFonts w:ascii="仿宋" w:hAnsi="仿宋" w:eastAsia="仿宋"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514820E3">
            <w:pPr>
              <w:widowControl/>
              <w:spacing w:line="240" w:lineRule="exact"/>
              <w:jc w:val="left"/>
              <w:rPr>
                <w:rFonts w:ascii="仿宋" w:hAnsi="仿宋" w:eastAsia="仿宋"/>
                <w:szCs w:val="21"/>
              </w:rPr>
            </w:pPr>
            <w:r>
              <w:rPr>
                <w:rFonts w:hint="eastAsia" w:ascii="仿宋" w:hAnsi="仿宋" w:eastAsia="仿宋"/>
                <w:szCs w:val="21"/>
              </w:rPr>
              <w:t>2</w:t>
            </w:r>
          </w:p>
        </w:tc>
      </w:tr>
      <w:tr w14:paraId="64D994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605B01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542623E">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4E10747E">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活动合理性</w:t>
            </w:r>
          </w:p>
          <w:p w14:paraId="633EC027">
            <w:pPr>
              <w:widowControl/>
              <w:spacing w:line="240" w:lineRule="exact"/>
              <w:jc w:val="left"/>
              <w:rPr>
                <w:rFonts w:ascii="仿宋" w:hAnsi="仿宋" w:eastAsia="仿宋"/>
                <w:szCs w:val="21"/>
              </w:rPr>
            </w:pPr>
            <w:r>
              <w:rPr>
                <w:rFonts w:ascii="仿宋" w:hAnsi="仿宋" w:eastAsia="仿宋" w:cs="仿宋_GB2312"/>
                <w:kern w:val="0"/>
                <w:szCs w:val="21"/>
              </w:rPr>
              <w:t>（2</w:t>
            </w:r>
            <w:r>
              <w:rPr>
                <w:rFonts w:hint="eastAsia" w:ascii="仿宋" w:hAnsi="仿宋" w:eastAsia="仿宋" w:cs="仿宋_GB2312"/>
                <w:kern w:val="0"/>
                <w:szCs w:val="21"/>
              </w:rPr>
              <w:t>分</w:t>
            </w:r>
            <w:r>
              <w:rPr>
                <w:rFonts w:ascii="仿宋" w:hAnsi="仿宋" w:eastAsia="仿宋"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9F2325A">
            <w:pPr>
              <w:widowControl/>
              <w:spacing w:line="240" w:lineRule="exact"/>
              <w:jc w:val="left"/>
              <w:rPr>
                <w:rFonts w:ascii="仿宋" w:hAnsi="仿宋" w:eastAsia="仿宋"/>
                <w:szCs w:val="21"/>
              </w:rPr>
            </w:pPr>
            <w:r>
              <w:rPr>
                <w:rFonts w:ascii="仿宋" w:hAnsi="仿宋" w:eastAsia="仿宋" w:cs="仿宋_GB2312"/>
                <w:kern w:val="0"/>
                <w:szCs w:val="21"/>
              </w:rPr>
              <w:t>部门所设立的活动是否明确合理、活动的关键性指标设置是否可衡量，用以反映和评价部门活动目标设定的合理性。</w:t>
            </w:r>
          </w:p>
          <w:p w14:paraId="6A19D09A">
            <w:pPr>
              <w:widowControl/>
              <w:spacing w:line="240" w:lineRule="exact"/>
              <w:jc w:val="left"/>
              <w:rPr>
                <w:rFonts w:ascii="仿宋" w:hAnsi="仿宋" w:eastAsia="仿宋"/>
                <w:szCs w:val="21"/>
              </w:rPr>
            </w:pPr>
            <w:r>
              <w:rPr>
                <w:rFonts w:ascii="仿宋" w:hAnsi="仿宋" w:eastAsia="仿宋" w:cs="仿宋_GB2312"/>
                <w:kern w:val="0"/>
                <w:szCs w:val="21"/>
              </w:rPr>
              <w:t>评价要点：</w:t>
            </w:r>
          </w:p>
          <w:p w14:paraId="2E427AD1">
            <w:pPr>
              <w:widowControl/>
              <w:spacing w:line="240" w:lineRule="exact"/>
              <w:jc w:val="left"/>
              <w:rPr>
                <w:rFonts w:ascii="仿宋" w:hAnsi="仿宋" w:eastAsia="仿宋"/>
                <w:szCs w:val="21"/>
              </w:rPr>
            </w:pPr>
            <w:r>
              <w:rPr>
                <w:rFonts w:ascii="仿宋" w:hAnsi="仿宋" w:eastAsia="仿宋" w:cs="仿宋_GB2312"/>
                <w:kern w:val="0"/>
                <w:szCs w:val="21"/>
              </w:rPr>
              <w:t>1.活动目标的设定是可量化的，可通过清晰、可衡量的关键指标值予以体现；</w:t>
            </w:r>
          </w:p>
          <w:p w14:paraId="5A36930D">
            <w:pPr>
              <w:widowControl/>
              <w:spacing w:line="240" w:lineRule="exact"/>
              <w:jc w:val="left"/>
              <w:rPr>
                <w:rFonts w:ascii="仿宋" w:hAnsi="仿宋" w:eastAsia="仿宋"/>
                <w:szCs w:val="21"/>
              </w:rPr>
            </w:pPr>
            <w:r>
              <w:rPr>
                <w:rFonts w:ascii="仿宋" w:hAnsi="仿宋" w:eastAsia="仿宋"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57546EDE">
            <w:pPr>
              <w:widowControl/>
              <w:spacing w:line="240" w:lineRule="exact"/>
              <w:jc w:val="left"/>
              <w:rPr>
                <w:rFonts w:ascii="仿宋" w:hAnsi="仿宋" w:eastAsia="仿宋"/>
                <w:szCs w:val="21"/>
              </w:rPr>
            </w:pPr>
            <w:r>
              <w:rPr>
                <w:rFonts w:ascii="仿宋" w:hAnsi="仿宋" w:eastAsia="仿宋" w:cs="仿宋_GB2312"/>
                <w:kern w:val="0"/>
                <w:szCs w:val="21"/>
              </w:rPr>
              <w:t>全部符合（2）；</w:t>
            </w:r>
          </w:p>
          <w:p w14:paraId="5B6D8032">
            <w:pPr>
              <w:widowControl/>
              <w:spacing w:line="240" w:lineRule="exact"/>
              <w:jc w:val="left"/>
              <w:rPr>
                <w:rFonts w:ascii="仿宋" w:hAnsi="仿宋" w:eastAsia="仿宋"/>
                <w:szCs w:val="21"/>
              </w:rPr>
            </w:pPr>
            <w:r>
              <w:rPr>
                <w:rFonts w:ascii="仿宋" w:hAnsi="仿宋" w:eastAsia="仿宋"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77A6A68F">
            <w:pPr>
              <w:widowControl/>
              <w:spacing w:line="240" w:lineRule="exact"/>
              <w:jc w:val="left"/>
              <w:rPr>
                <w:rFonts w:ascii="仿宋" w:hAnsi="仿宋" w:eastAsia="仿宋"/>
                <w:szCs w:val="21"/>
              </w:rPr>
            </w:pPr>
            <w:r>
              <w:rPr>
                <w:rFonts w:hint="eastAsia" w:ascii="仿宋" w:hAnsi="仿宋" w:eastAsia="仿宋"/>
                <w:szCs w:val="21"/>
              </w:rPr>
              <w:t>2</w:t>
            </w:r>
          </w:p>
        </w:tc>
      </w:tr>
      <w:tr w14:paraId="666CC0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CFA900C">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335AF041">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4F7C0E19">
            <w:pPr>
              <w:widowControl/>
              <w:spacing w:line="240" w:lineRule="exact"/>
              <w:jc w:val="left"/>
              <w:rPr>
                <w:rFonts w:ascii="仿宋" w:hAnsi="仿宋" w:eastAsia="仿宋"/>
                <w:szCs w:val="21"/>
              </w:rPr>
            </w:pPr>
            <w:r>
              <w:rPr>
                <w:rFonts w:ascii="仿宋" w:hAnsi="仿宋" w:eastAsia="仿宋" w:cs="仿宋_GB2312"/>
                <w:kern w:val="0"/>
                <w:szCs w:val="21"/>
              </w:rPr>
              <w:t>在职人员控制率（</w:t>
            </w:r>
            <w:r>
              <w:rPr>
                <w:rFonts w:hint="eastAsia" w:ascii="仿宋" w:hAnsi="仿宋" w:eastAsia="仿宋" w:cs="仿宋_GB2312"/>
                <w:kern w:val="0"/>
                <w:szCs w:val="21"/>
              </w:rPr>
              <w:t>1分</w:t>
            </w:r>
            <w:r>
              <w:rPr>
                <w:rFonts w:ascii="仿宋" w:hAnsi="仿宋" w:eastAsia="仿宋" w:cs="仿宋_GB2312"/>
                <w:kern w:val="0"/>
                <w:szCs w:val="21"/>
              </w:rPr>
              <w:t>）</w:t>
            </w:r>
          </w:p>
        </w:tc>
        <w:tc>
          <w:tcPr>
            <w:tcW w:w="3260" w:type="dxa"/>
            <w:tcBorders>
              <w:top w:val="single" w:color="auto" w:sz="4" w:space="0"/>
              <w:left w:val="single" w:color="auto" w:sz="4" w:space="0"/>
              <w:right w:val="single" w:color="auto" w:sz="4" w:space="0"/>
            </w:tcBorders>
            <w:vAlign w:val="center"/>
          </w:tcPr>
          <w:p w14:paraId="0CB0EA7A">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部门本年度实际在职人员数与编制数的比率，用以反映和评价部门对人员成本的控制程度。</w:t>
            </w:r>
          </w:p>
          <w:p w14:paraId="68490C97">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在职人员控制率=（在职人员数/编制数）×100%。</w:t>
            </w:r>
          </w:p>
          <w:p w14:paraId="69B8162D">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在职人员数：部门实际在职人数，以财政部确定的部门决算编制口径为准，由编制部门和人劳部门批复同意的临聘人员除外。</w:t>
            </w:r>
          </w:p>
          <w:p w14:paraId="1DCFB8E5">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50BC097D">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1.在职人员控制率小于或等于100%的，得满分；</w:t>
            </w:r>
          </w:p>
          <w:p w14:paraId="4D373833">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2.在职人员控制率大于或等于115%的，得0分；</w:t>
            </w:r>
          </w:p>
          <w:p w14:paraId="65BA1CDD">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3.在职人员控制率在100%-115%之间的，在0分和满分之间计算确定：</w:t>
            </w:r>
          </w:p>
          <w:p w14:paraId="437E88FD">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409FD407">
            <w:pPr>
              <w:widowControl/>
              <w:spacing w:line="240" w:lineRule="exact"/>
              <w:jc w:val="left"/>
              <w:rPr>
                <w:rFonts w:ascii="仿宋" w:hAnsi="仿宋" w:eastAsia="仿宋"/>
                <w:szCs w:val="21"/>
              </w:rPr>
            </w:pPr>
            <w:r>
              <w:rPr>
                <w:rFonts w:hint="eastAsia" w:ascii="仿宋" w:hAnsi="仿宋" w:eastAsia="仿宋"/>
                <w:szCs w:val="21"/>
              </w:rPr>
              <w:t>1</w:t>
            </w:r>
          </w:p>
        </w:tc>
      </w:tr>
      <w:tr w14:paraId="68E554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0C46AE89">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5F6C6C95">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4CB05E27">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3BF84694">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40C2EB7C">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 w:hAnsi="仿宋" w:eastAsia="仿宋" w:cs="仿宋_GB2312"/>
                <w:kern w:val="0"/>
                <w:szCs w:val="21"/>
              </w:rPr>
              <w:t>小于或等于</w:t>
            </w:r>
            <w:r>
              <w:rPr>
                <w:rFonts w:hint="eastAsia" w:ascii="仿宋" w:hAnsi="仿宋" w:eastAsia="仿宋" w:cs="仿宋_GB2312"/>
                <w:kern w:val="0"/>
                <w:szCs w:val="21"/>
              </w:rPr>
              <w:t>-5</w:t>
            </w:r>
            <w:r>
              <w:rPr>
                <w:rFonts w:ascii="仿宋" w:hAnsi="仿宋" w:eastAsia="仿宋" w:cs="仿宋_GB2312"/>
                <w:kern w:val="0"/>
                <w:szCs w:val="21"/>
              </w:rPr>
              <w:t>%的，得满分；</w:t>
            </w:r>
          </w:p>
          <w:p w14:paraId="4F3DA535">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 w:hAnsi="仿宋" w:eastAsia="仿宋" w:cs="仿宋_GB2312"/>
                <w:kern w:val="0"/>
                <w:szCs w:val="21"/>
              </w:rPr>
              <w:t>大于或等于1</w:t>
            </w:r>
            <w:r>
              <w:rPr>
                <w:rFonts w:hint="eastAsia" w:ascii="仿宋" w:hAnsi="仿宋" w:eastAsia="仿宋" w:cs="仿宋_GB2312"/>
                <w:kern w:val="0"/>
                <w:szCs w:val="21"/>
              </w:rPr>
              <w:t>0</w:t>
            </w:r>
            <w:r>
              <w:rPr>
                <w:rFonts w:ascii="仿宋" w:hAnsi="仿宋" w:eastAsia="仿宋" w:cs="仿宋_GB2312"/>
                <w:kern w:val="0"/>
                <w:szCs w:val="21"/>
              </w:rPr>
              <w:t>%的，得0分；</w:t>
            </w:r>
          </w:p>
          <w:p w14:paraId="2D0DCDDB">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3.在职人员控制率在</w:t>
            </w:r>
            <w:r>
              <w:rPr>
                <w:rFonts w:hint="eastAsia" w:ascii="仿宋" w:hAnsi="仿宋" w:eastAsia="仿宋" w:cs="仿宋_GB2312"/>
                <w:kern w:val="0"/>
                <w:szCs w:val="21"/>
              </w:rPr>
              <w:t>-5</w:t>
            </w:r>
            <w:r>
              <w:rPr>
                <w:rFonts w:ascii="仿宋" w:hAnsi="仿宋" w:eastAsia="仿宋" w:cs="仿宋_GB2312"/>
                <w:kern w:val="0"/>
                <w:szCs w:val="21"/>
              </w:rPr>
              <w:t>%-</w:t>
            </w:r>
            <w:r>
              <w:rPr>
                <w:rFonts w:hint="eastAsia" w:ascii="仿宋" w:hAnsi="仿宋" w:eastAsia="仿宋" w:cs="仿宋_GB2312"/>
                <w:kern w:val="0"/>
                <w:szCs w:val="21"/>
              </w:rPr>
              <w:t>10</w:t>
            </w:r>
            <w:r>
              <w:rPr>
                <w:rFonts w:ascii="仿宋" w:hAnsi="仿宋" w:eastAsia="仿宋" w:cs="仿宋_GB2312"/>
                <w:kern w:val="0"/>
                <w:szCs w:val="21"/>
              </w:rPr>
              <w:t>%之间的，在0分和满分之间计算确定：</w:t>
            </w:r>
          </w:p>
          <w:p w14:paraId="16EC94B9">
            <w:pPr>
              <w:widowControl/>
              <w:spacing w:line="240" w:lineRule="exact"/>
              <w:jc w:val="left"/>
              <w:textAlignment w:val="center"/>
              <w:rPr>
                <w:rFonts w:ascii="仿宋" w:hAnsi="仿宋" w:eastAsia="仿宋" w:cs="仿宋"/>
                <w:kern w:val="0"/>
                <w:szCs w:val="21"/>
              </w:rPr>
            </w:pPr>
            <w:r>
              <w:rPr>
                <w:rFonts w:ascii="仿宋" w:hAnsi="仿宋" w:eastAsia="仿宋"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 w:hAnsi="仿宋" w:eastAsia="仿宋"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 w:hAnsi="仿宋" w:eastAsia="仿宋"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 w:hAnsi="仿宋" w:eastAsia="仿宋"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 w:hAnsi="仿宋" w:eastAsia="仿宋"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6803540A">
            <w:pPr>
              <w:widowControl/>
              <w:spacing w:line="240" w:lineRule="exact"/>
              <w:jc w:val="left"/>
              <w:rPr>
                <w:rFonts w:ascii="仿宋" w:hAnsi="仿宋" w:eastAsia="仿宋"/>
                <w:szCs w:val="21"/>
              </w:rPr>
            </w:pPr>
            <w:r>
              <w:rPr>
                <w:rFonts w:hint="eastAsia" w:ascii="仿宋" w:hAnsi="仿宋" w:eastAsia="仿宋"/>
                <w:szCs w:val="21"/>
              </w:rPr>
              <w:t>2</w:t>
            </w:r>
          </w:p>
        </w:tc>
      </w:tr>
      <w:tr w14:paraId="2C6BA0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2CF1CBDB">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503B966B">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08EC90A1">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035A813F">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2FA94348">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1.</w:t>
            </w:r>
            <w:r>
              <w:rPr>
                <w:rFonts w:hint="eastAsia" w:ascii="仿宋" w:hAnsi="仿宋" w:eastAsia="仿宋" w:cs="仿宋"/>
                <w:color w:val="000000"/>
                <w:kern w:val="0"/>
                <w:szCs w:val="21"/>
              </w:rPr>
              <w:t>重点支出安排率</w:t>
            </w:r>
            <w:r>
              <w:rPr>
                <w:rFonts w:ascii="仿宋" w:hAnsi="仿宋" w:eastAsia="仿宋" w:cs="仿宋_GB2312"/>
                <w:kern w:val="0"/>
                <w:szCs w:val="21"/>
              </w:rPr>
              <w:t>大于或等于95%的，得满分；</w:t>
            </w:r>
          </w:p>
          <w:p w14:paraId="47BA2827">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2.</w:t>
            </w:r>
            <w:r>
              <w:rPr>
                <w:rFonts w:hint="eastAsia" w:ascii="仿宋" w:hAnsi="仿宋" w:eastAsia="仿宋" w:cs="仿宋"/>
                <w:color w:val="000000"/>
                <w:kern w:val="0"/>
                <w:szCs w:val="21"/>
              </w:rPr>
              <w:t>重点支出安排率</w:t>
            </w:r>
            <w:r>
              <w:rPr>
                <w:rFonts w:ascii="仿宋" w:hAnsi="仿宋" w:eastAsia="仿宋" w:cs="仿宋_GB2312"/>
                <w:kern w:val="0"/>
                <w:szCs w:val="21"/>
              </w:rPr>
              <w:t>小于或等于85%的，得0分；</w:t>
            </w:r>
          </w:p>
          <w:p w14:paraId="643D5FC6">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3.</w:t>
            </w:r>
            <w:r>
              <w:rPr>
                <w:rFonts w:hint="eastAsia" w:ascii="仿宋" w:hAnsi="仿宋" w:eastAsia="仿宋" w:cs="仿宋"/>
                <w:color w:val="000000"/>
                <w:kern w:val="0"/>
                <w:szCs w:val="21"/>
              </w:rPr>
              <w:t>重点支出安排率</w:t>
            </w:r>
            <w:r>
              <w:rPr>
                <w:rFonts w:ascii="仿宋" w:hAnsi="仿宋" w:eastAsia="仿宋" w:cs="仿宋_GB2312"/>
                <w:kern w:val="0"/>
                <w:szCs w:val="21"/>
              </w:rPr>
              <w:t>在85%-95%之间的，在0分和满分之间计算确定：</w:t>
            </w:r>
          </w:p>
          <w:p w14:paraId="30BC0EEA">
            <w:pPr>
              <w:widowControl/>
              <w:spacing w:line="240" w:lineRule="exact"/>
              <w:jc w:val="left"/>
              <w:textAlignment w:val="center"/>
              <w:rPr>
                <w:rFonts w:ascii="仿宋" w:hAnsi="仿宋" w:eastAsia="仿宋" w:cs="仿宋"/>
                <w:kern w:val="0"/>
                <w:szCs w:val="21"/>
              </w:rPr>
            </w:pPr>
            <w:r>
              <w:rPr>
                <w:rFonts w:ascii="仿宋" w:hAnsi="仿宋" w:eastAsia="仿宋" w:cs="仿宋_GB2312"/>
                <w:kern w:val="0"/>
                <w:szCs w:val="21"/>
              </w:rPr>
              <w:t>得分=[某部门</w:t>
            </w:r>
            <w:r>
              <w:rPr>
                <w:rFonts w:hint="eastAsia" w:ascii="仿宋" w:hAnsi="仿宋" w:eastAsia="仿宋" w:cs="仿宋"/>
                <w:color w:val="000000"/>
                <w:kern w:val="0"/>
                <w:szCs w:val="21"/>
              </w:rPr>
              <w:t>重点支出安排率</w:t>
            </w:r>
            <w:r>
              <w:rPr>
                <w:rFonts w:ascii="仿宋" w:hAnsi="仿宋" w:eastAsia="仿宋" w:cs="仿宋_GB2312"/>
                <w:kern w:val="0"/>
                <w:szCs w:val="21"/>
              </w:rPr>
              <w:t>-min（</w:t>
            </w:r>
            <w:r>
              <w:rPr>
                <w:rFonts w:hint="eastAsia" w:ascii="仿宋" w:hAnsi="仿宋" w:eastAsia="仿宋" w:cs="仿宋"/>
                <w:color w:val="000000"/>
                <w:kern w:val="0"/>
                <w:szCs w:val="21"/>
              </w:rPr>
              <w:t>重点支出安排率</w:t>
            </w:r>
            <w:r>
              <w:rPr>
                <w:rFonts w:ascii="仿宋" w:hAnsi="仿宋" w:eastAsia="仿宋" w:cs="仿宋_GB2312"/>
                <w:kern w:val="0"/>
                <w:szCs w:val="21"/>
              </w:rPr>
              <w:t>）]/[max（</w:t>
            </w:r>
            <w:r>
              <w:rPr>
                <w:rFonts w:hint="eastAsia" w:ascii="仿宋" w:hAnsi="仿宋" w:eastAsia="仿宋" w:cs="仿宋"/>
                <w:color w:val="000000"/>
                <w:kern w:val="0"/>
                <w:szCs w:val="21"/>
              </w:rPr>
              <w:t>重点支出安排率</w:t>
            </w:r>
            <w:r>
              <w:rPr>
                <w:rFonts w:ascii="仿宋" w:hAnsi="仿宋" w:eastAsia="仿宋" w:cs="仿宋_GB2312"/>
                <w:kern w:val="0"/>
                <w:szCs w:val="21"/>
              </w:rPr>
              <w:t>）－min（</w:t>
            </w:r>
            <w:r>
              <w:rPr>
                <w:rFonts w:hint="eastAsia" w:ascii="仿宋" w:hAnsi="仿宋" w:eastAsia="仿宋" w:cs="仿宋"/>
                <w:color w:val="000000"/>
                <w:kern w:val="0"/>
                <w:szCs w:val="21"/>
              </w:rPr>
              <w:t>重点支出安排率</w:t>
            </w:r>
            <w:r>
              <w:rPr>
                <w:rFonts w:ascii="仿宋" w:hAnsi="仿宋" w:eastAsia="仿宋"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4D1908A3">
            <w:pPr>
              <w:widowControl/>
              <w:spacing w:line="240" w:lineRule="exact"/>
              <w:jc w:val="left"/>
              <w:rPr>
                <w:rFonts w:ascii="仿宋" w:hAnsi="仿宋" w:eastAsia="仿宋"/>
                <w:szCs w:val="21"/>
              </w:rPr>
            </w:pPr>
            <w:r>
              <w:rPr>
                <w:rFonts w:hint="eastAsia" w:ascii="仿宋" w:hAnsi="仿宋" w:eastAsia="仿宋"/>
                <w:szCs w:val="21"/>
              </w:rPr>
              <w:t>2</w:t>
            </w:r>
          </w:p>
        </w:tc>
      </w:tr>
      <w:tr w14:paraId="2507E2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CE4A22B">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AD8BB25">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43DDEE35">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预算完成率</w:t>
            </w:r>
          </w:p>
          <w:p w14:paraId="4DAE657C">
            <w:pPr>
              <w:widowControl/>
              <w:spacing w:line="240" w:lineRule="exact"/>
              <w:jc w:val="left"/>
              <w:rPr>
                <w:rFonts w:ascii="仿宋" w:hAnsi="仿宋" w:eastAsia="仿宋"/>
                <w:szCs w:val="21"/>
              </w:rPr>
            </w:pPr>
            <w:r>
              <w:rPr>
                <w:rFonts w:ascii="仿宋" w:hAnsi="仿宋" w:eastAsia="仿宋" w:cs="仿宋_GB2312"/>
                <w:kern w:val="0"/>
                <w:szCs w:val="21"/>
              </w:rPr>
              <w:t>（5</w:t>
            </w:r>
            <w:r>
              <w:rPr>
                <w:rFonts w:hint="eastAsia" w:ascii="仿宋" w:hAnsi="仿宋" w:eastAsia="仿宋" w:cs="仿宋_GB2312"/>
                <w:kern w:val="0"/>
                <w:szCs w:val="21"/>
              </w:rPr>
              <w:t>分</w:t>
            </w:r>
            <w:r>
              <w:rPr>
                <w:rFonts w:ascii="仿宋" w:hAnsi="仿宋" w:eastAsia="仿宋"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7F383CD">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通过对部门本年度预算完成数与预算数的比较，反映和评价部门预算的完成程度。</w:t>
            </w:r>
          </w:p>
          <w:p w14:paraId="238E4872">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5B407A68">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1.预算完成率大于或等于95%的，得满分；</w:t>
            </w:r>
          </w:p>
          <w:p w14:paraId="0E1C820F">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2.预算完成率小于或等于85%的，得0分；</w:t>
            </w:r>
          </w:p>
          <w:p w14:paraId="3C5D80D3">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3.预算完成率在85%-95%之间的，在0分和满分之间计算确定：</w:t>
            </w:r>
          </w:p>
          <w:p w14:paraId="627609FD">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686227E5">
            <w:pPr>
              <w:widowControl/>
              <w:spacing w:line="240" w:lineRule="exact"/>
              <w:jc w:val="left"/>
              <w:rPr>
                <w:rFonts w:ascii="仿宋" w:hAnsi="仿宋" w:eastAsia="仿宋"/>
                <w:szCs w:val="21"/>
              </w:rPr>
            </w:pPr>
            <w:r>
              <w:rPr>
                <w:rFonts w:hint="eastAsia" w:ascii="仿宋" w:hAnsi="仿宋" w:eastAsia="仿宋"/>
                <w:szCs w:val="21"/>
              </w:rPr>
              <w:t>4</w:t>
            </w:r>
          </w:p>
        </w:tc>
      </w:tr>
      <w:tr w14:paraId="1C6E40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5361DB2">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966EA4A">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E7C70FF">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预算调整率</w:t>
            </w:r>
          </w:p>
          <w:p w14:paraId="5ACEB787">
            <w:pPr>
              <w:widowControl/>
              <w:spacing w:line="240" w:lineRule="exact"/>
              <w:jc w:val="left"/>
              <w:rPr>
                <w:rFonts w:ascii="仿宋" w:hAnsi="仿宋" w:eastAsia="仿宋"/>
                <w:szCs w:val="21"/>
              </w:rPr>
            </w:pPr>
            <w:r>
              <w:rPr>
                <w:rFonts w:ascii="仿宋" w:hAnsi="仿宋" w:eastAsia="仿宋" w:cs="仿宋_GB2312"/>
                <w:kern w:val="0"/>
                <w:szCs w:val="21"/>
              </w:rPr>
              <w:t>（</w:t>
            </w:r>
            <w:r>
              <w:rPr>
                <w:rFonts w:hint="eastAsia" w:ascii="仿宋" w:hAnsi="仿宋" w:eastAsia="仿宋" w:cs="仿宋_GB2312"/>
                <w:kern w:val="0"/>
                <w:szCs w:val="21"/>
              </w:rPr>
              <w:t>3分</w:t>
            </w:r>
            <w:r>
              <w:rPr>
                <w:rFonts w:ascii="仿宋" w:hAnsi="仿宋" w:eastAsia="仿宋"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11B5C6A">
            <w:pPr>
              <w:widowControl/>
              <w:spacing w:line="240" w:lineRule="exact"/>
              <w:jc w:val="left"/>
              <w:rPr>
                <w:rFonts w:ascii="仿宋" w:hAnsi="仿宋" w:eastAsia="仿宋"/>
                <w:szCs w:val="21"/>
              </w:rPr>
            </w:pPr>
            <w:r>
              <w:rPr>
                <w:rFonts w:ascii="仿宋" w:hAnsi="仿宋" w:eastAsia="仿宋" w:cs="仿宋_GB2312"/>
                <w:kern w:val="0"/>
                <w:szCs w:val="21"/>
              </w:rPr>
              <w:t>部门本年度预算调整数与预算数的比率，用以反映和评价部门预算的调整程度。</w:t>
            </w:r>
          </w:p>
          <w:p w14:paraId="2307AE42">
            <w:pPr>
              <w:widowControl/>
              <w:spacing w:line="240" w:lineRule="exact"/>
              <w:jc w:val="left"/>
              <w:rPr>
                <w:rFonts w:ascii="仿宋" w:hAnsi="仿宋" w:eastAsia="仿宋"/>
                <w:szCs w:val="21"/>
              </w:rPr>
            </w:pPr>
            <w:r>
              <w:rPr>
                <w:rFonts w:ascii="仿宋" w:hAnsi="仿宋" w:eastAsia="仿宋"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47D8016">
            <w:pPr>
              <w:widowControl/>
              <w:spacing w:line="240" w:lineRule="exact"/>
              <w:jc w:val="left"/>
              <w:rPr>
                <w:rFonts w:ascii="仿宋" w:hAnsi="仿宋" w:eastAsia="仿宋"/>
                <w:szCs w:val="21"/>
              </w:rPr>
            </w:pPr>
            <w:r>
              <w:rPr>
                <w:rFonts w:ascii="仿宋" w:hAnsi="仿宋" w:eastAsia="仿宋" w:cs="仿宋_GB2312"/>
                <w:kern w:val="0"/>
                <w:szCs w:val="21"/>
              </w:rPr>
              <w:t xml:space="preserve">1.预算调整率等于0的，得满分； </w:t>
            </w:r>
          </w:p>
          <w:p w14:paraId="398F690D">
            <w:pPr>
              <w:widowControl/>
              <w:spacing w:line="240" w:lineRule="exact"/>
              <w:jc w:val="left"/>
              <w:rPr>
                <w:rFonts w:ascii="仿宋" w:hAnsi="仿宋" w:eastAsia="仿宋"/>
                <w:szCs w:val="21"/>
              </w:rPr>
            </w:pPr>
            <w:r>
              <w:rPr>
                <w:rFonts w:ascii="仿宋" w:hAnsi="仿宋" w:eastAsia="仿宋" w:cs="仿宋_GB2312"/>
                <w:kern w:val="0"/>
                <w:szCs w:val="21"/>
              </w:rPr>
              <w:t>2.预算调整率大于或等于10%的，得0分；</w:t>
            </w:r>
          </w:p>
          <w:p w14:paraId="529F757D">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3.预算调整率在0-10%之间的，在0分和满分之间确定：</w:t>
            </w:r>
          </w:p>
          <w:p w14:paraId="042351E7">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D013B67">
            <w:pPr>
              <w:widowControl/>
              <w:spacing w:line="240" w:lineRule="exact"/>
              <w:jc w:val="left"/>
              <w:rPr>
                <w:rFonts w:ascii="仿宋" w:hAnsi="仿宋" w:eastAsia="仿宋"/>
                <w:szCs w:val="21"/>
              </w:rPr>
            </w:pPr>
            <w:r>
              <w:rPr>
                <w:rFonts w:hint="eastAsia" w:ascii="仿宋" w:hAnsi="仿宋" w:eastAsia="仿宋"/>
                <w:szCs w:val="21"/>
              </w:rPr>
              <w:t>3</w:t>
            </w:r>
          </w:p>
        </w:tc>
      </w:tr>
      <w:tr w14:paraId="040E25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6F18E0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F3AE51D">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FAFB1B7">
            <w:pPr>
              <w:widowControl/>
              <w:spacing w:line="240" w:lineRule="exact"/>
              <w:jc w:val="left"/>
              <w:rPr>
                <w:rFonts w:ascii="仿宋" w:hAnsi="仿宋" w:eastAsia="仿宋" w:cs="仿宋_GB2312"/>
                <w:color w:val="000000"/>
                <w:kern w:val="0"/>
                <w:szCs w:val="21"/>
              </w:rPr>
            </w:pPr>
            <w:r>
              <w:rPr>
                <w:rFonts w:ascii="仿宋" w:hAnsi="仿宋" w:eastAsia="仿宋" w:cs="仿宋_GB2312"/>
                <w:color w:val="000000"/>
                <w:kern w:val="0"/>
                <w:szCs w:val="21"/>
              </w:rPr>
              <w:t>支付进度率</w:t>
            </w:r>
          </w:p>
          <w:p w14:paraId="6C6B171F">
            <w:pPr>
              <w:widowControl/>
              <w:spacing w:line="240" w:lineRule="exact"/>
              <w:jc w:val="left"/>
              <w:rPr>
                <w:rFonts w:ascii="仿宋" w:hAnsi="仿宋" w:eastAsia="仿宋"/>
                <w:szCs w:val="21"/>
              </w:rPr>
            </w:pPr>
            <w:r>
              <w:rPr>
                <w:rFonts w:ascii="仿宋" w:hAnsi="仿宋" w:eastAsia="仿宋" w:cs="仿宋_GB2312"/>
                <w:kern w:val="0"/>
                <w:szCs w:val="21"/>
              </w:rPr>
              <w:t>（</w:t>
            </w:r>
            <w:r>
              <w:rPr>
                <w:rFonts w:hint="eastAsia" w:ascii="仿宋" w:hAnsi="仿宋" w:eastAsia="仿宋" w:cs="仿宋_GB2312"/>
                <w:kern w:val="0"/>
                <w:szCs w:val="21"/>
              </w:rPr>
              <w:t>5分</w:t>
            </w:r>
            <w:r>
              <w:rPr>
                <w:rFonts w:ascii="仿宋" w:hAnsi="仿宋" w:eastAsia="仿宋"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4465B0A">
            <w:pPr>
              <w:widowControl/>
              <w:spacing w:line="240" w:lineRule="exact"/>
              <w:jc w:val="left"/>
              <w:rPr>
                <w:rFonts w:ascii="仿宋" w:hAnsi="仿宋" w:eastAsia="仿宋"/>
                <w:szCs w:val="21"/>
              </w:rPr>
            </w:pPr>
            <w:r>
              <w:rPr>
                <w:rFonts w:ascii="仿宋" w:hAnsi="仿宋" w:eastAsia="仿宋" w:cs="仿宋_GB2312"/>
                <w:kern w:val="0"/>
                <w:szCs w:val="21"/>
              </w:rPr>
              <w:t>部门</w:t>
            </w:r>
            <w:r>
              <w:rPr>
                <w:rFonts w:hint="eastAsia" w:ascii="仿宋" w:hAnsi="仿宋" w:eastAsia="仿宋" w:cs="仿宋_GB2312"/>
                <w:kern w:val="0"/>
                <w:szCs w:val="21"/>
              </w:rPr>
              <w:t>年</w:t>
            </w:r>
            <w:r>
              <w:rPr>
                <w:rFonts w:ascii="仿宋" w:hAnsi="仿宋" w:eastAsia="仿宋" w:cs="仿宋_GB2312"/>
                <w:kern w:val="0"/>
                <w:szCs w:val="21"/>
              </w:rPr>
              <w:t>度支付数与</w:t>
            </w:r>
            <w:r>
              <w:rPr>
                <w:rFonts w:hint="eastAsia" w:ascii="仿宋" w:hAnsi="仿宋" w:eastAsia="仿宋" w:cs="仿宋_GB2312"/>
                <w:kern w:val="0"/>
                <w:szCs w:val="21"/>
              </w:rPr>
              <w:t>年</w:t>
            </w:r>
            <w:r>
              <w:rPr>
                <w:rFonts w:ascii="仿宋" w:hAnsi="仿宋" w:eastAsia="仿宋" w:cs="仿宋_GB2312"/>
                <w:kern w:val="0"/>
                <w:szCs w:val="21"/>
              </w:rPr>
              <w:t>度任务数的比率，用以反映和评价部门预算执行的及时和均衡程度。</w:t>
            </w:r>
          </w:p>
          <w:p w14:paraId="12124035">
            <w:pPr>
              <w:widowControl/>
              <w:spacing w:line="240" w:lineRule="exact"/>
              <w:jc w:val="left"/>
              <w:rPr>
                <w:rFonts w:ascii="仿宋" w:hAnsi="仿宋" w:eastAsia="仿宋"/>
                <w:szCs w:val="21"/>
              </w:rPr>
            </w:pPr>
            <w:r>
              <w:rPr>
                <w:rFonts w:ascii="仿宋" w:hAnsi="仿宋" w:eastAsia="仿宋" w:cs="仿宋_GB2312"/>
                <w:kern w:val="0"/>
                <w:szCs w:val="21"/>
              </w:rPr>
              <w:t>支付进度率=（</w:t>
            </w:r>
            <w:r>
              <w:rPr>
                <w:rFonts w:hint="eastAsia" w:ascii="仿宋" w:hAnsi="仿宋" w:eastAsia="仿宋" w:cs="仿宋_GB2312"/>
                <w:kern w:val="0"/>
                <w:szCs w:val="21"/>
              </w:rPr>
              <w:t>年</w:t>
            </w:r>
            <w:r>
              <w:rPr>
                <w:rFonts w:ascii="仿宋" w:hAnsi="仿宋" w:eastAsia="仿宋" w:cs="仿宋_GB2312"/>
                <w:kern w:val="0"/>
                <w:szCs w:val="21"/>
              </w:rPr>
              <w:t>度支付数/</w:t>
            </w:r>
            <w:r>
              <w:rPr>
                <w:rFonts w:hint="eastAsia" w:ascii="仿宋" w:hAnsi="仿宋" w:eastAsia="仿宋" w:cs="仿宋_GB2312"/>
                <w:kern w:val="0"/>
                <w:szCs w:val="21"/>
              </w:rPr>
              <w:t>年</w:t>
            </w:r>
            <w:r>
              <w:rPr>
                <w:rFonts w:ascii="仿宋" w:hAnsi="仿宋" w:eastAsia="仿宋"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7A04BCE">
            <w:pPr>
              <w:widowControl/>
              <w:spacing w:line="240" w:lineRule="exact"/>
              <w:jc w:val="left"/>
              <w:rPr>
                <w:rFonts w:ascii="仿宋" w:hAnsi="仿宋" w:eastAsia="仿宋"/>
                <w:szCs w:val="21"/>
              </w:rPr>
            </w:pPr>
            <w:r>
              <w:rPr>
                <w:rFonts w:ascii="仿宋" w:hAnsi="仿宋" w:eastAsia="仿宋" w:cs="仿宋_GB2312"/>
                <w:kern w:val="0"/>
                <w:szCs w:val="21"/>
              </w:rPr>
              <w:t>按</w:t>
            </w:r>
            <w:r>
              <w:rPr>
                <w:rFonts w:hint="eastAsia" w:ascii="仿宋" w:hAnsi="仿宋" w:eastAsia="仿宋" w:cs="仿宋_GB2312"/>
                <w:kern w:val="0"/>
                <w:szCs w:val="21"/>
              </w:rPr>
              <w:t>年</w:t>
            </w:r>
            <w:r>
              <w:rPr>
                <w:rFonts w:ascii="仿宋" w:hAnsi="仿宋" w:eastAsia="仿宋" w:cs="仿宋_GB2312"/>
                <w:kern w:val="0"/>
                <w:szCs w:val="21"/>
              </w:rPr>
              <w:t>度的执行情况进行打分</w:t>
            </w:r>
            <w:r>
              <w:rPr>
                <w:rFonts w:hint="eastAsia" w:ascii="仿宋" w:hAnsi="仿宋" w:eastAsia="仿宋" w:cs="仿宋_GB2312"/>
                <w:kern w:val="0"/>
                <w:szCs w:val="21"/>
              </w:rPr>
              <w:t>。</w:t>
            </w:r>
            <w:r>
              <w:rPr>
                <w:rFonts w:ascii="仿宋" w:hAnsi="仿宋" w:eastAsia="仿宋" w:cs="仿宋_GB2312"/>
                <w:kern w:val="0"/>
                <w:szCs w:val="21"/>
              </w:rPr>
              <w:t>得分=</w:t>
            </w:r>
            <w:r>
              <w:rPr>
                <w:rFonts w:hint="eastAsia" w:ascii="仿宋" w:hAnsi="仿宋" w:eastAsia="仿宋" w:cs="仿宋_GB2312"/>
                <w:kern w:val="0"/>
                <w:szCs w:val="21"/>
              </w:rPr>
              <w:t>年</w:t>
            </w:r>
            <w:r>
              <w:rPr>
                <w:rFonts w:ascii="仿宋" w:hAnsi="仿宋" w:eastAsia="仿宋" w:cs="仿宋_GB2312"/>
                <w:kern w:val="0"/>
                <w:szCs w:val="21"/>
              </w:rPr>
              <w:t>度支付数/</w:t>
            </w:r>
            <w:r>
              <w:rPr>
                <w:rFonts w:hint="eastAsia" w:ascii="仿宋" w:hAnsi="仿宋" w:eastAsia="仿宋" w:cs="仿宋_GB2312"/>
                <w:kern w:val="0"/>
                <w:szCs w:val="21"/>
              </w:rPr>
              <w:t>年</w:t>
            </w:r>
            <w:r>
              <w:rPr>
                <w:rFonts w:ascii="仿宋" w:hAnsi="仿宋" w:eastAsia="仿宋" w:cs="仿宋_GB2312"/>
                <w:kern w:val="0"/>
                <w:szCs w:val="21"/>
              </w:rPr>
              <w:t>度任务数×该指标分值。</w:t>
            </w:r>
          </w:p>
          <w:p w14:paraId="43D2565E">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67722F99">
            <w:pPr>
              <w:widowControl/>
              <w:spacing w:line="240" w:lineRule="exact"/>
              <w:jc w:val="left"/>
              <w:rPr>
                <w:rFonts w:ascii="仿宋" w:hAnsi="仿宋" w:eastAsia="仿宋"/>
                <w:szCs w:val="21"/>
              </w:rPr>
            </w:pPr>
            <w:r>
              <w:rPr>
                <w:rFonts w:hint="eastAsia" w:ascii="仿宋" w:hAnsi="仿宋" w:eastAsia="仿宋"/>
                <w:szCs w:val="21"/>
              </w:rPr>
              <w:t>4</w:t>
            </w:r>
          </w:p>
        </w:tc>
      </w:tr>
      <w:tr w14:paraId="3E1E80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17F885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FF092F1">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B91CB23">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结转</w:t>
            </w:r>
          </w:p>
          <w:p w14:paraId="7BD0D30B">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结余率</w:t>
            </w:r>
          </w:p>
          <w:p w14:paraId="189911D3">
            <w:pPr>
              <w:widowControl/>
              <w:spacing w:line="240" w:lineRule="exact"/>
              <w:jc w:val="left"/>
              <w:rPr>
                <w:rFonts w:ascii="仿宋" w:hAnsi="仿宋" w:eastAsia="仿宋"/>
                <w:szCs w:val="21"/>
              </w:rPr>
            </w:pPr>
            <w:r>
              <w:rPr>
                <w:rFonts w:ascii="仿宋" w:hAnsi="仿宋" w:eastAsia="仿宋" w:cs="仿宋_GB2312"/>
                <w:kern w:val="0"/>
                <w:szCs w:val="21"/>
              </w:rPr>
              <w:t>（4</w:t>
            </w:r>
            <w:r>
              <w:rPr>
                <w:rFonts w:hint="eastAsia" w:ascii="仿宋" w:hAnsi="仿宋" w:eastAsia="仿宋" w:cs="仿宋_GB2312"/>
                <w:kern w:val="0"/>
                <w:szCs w:val="21"/>
              </w:rPr>
              <w:t>分</w:t>
            </w:r>
            <w:r>
              <w:rPr>
                <w:rFonts w:ascii="仿宋" w:hAnsi="仿宋" w:eastAsia="仿宋"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18D0037">
            <w:pPr>
              <w:widowControl/>
              <w:spacing w:line="240" w:lineRule="exact"/>
              <w:jc w:val="left"/>
              <w:rPr>
                <w:rFonts w:ascii="仿宋" w:hAnsi="仿宋" w:eastAsia="仿宋"/>
                <w:szCs w:val="21"/>
              </w:rPr>
            </w:pPr>
            <w:r>
              <w:rPr>
                <w:rFonts w:ascii="仿宋" w:hAnsi="仿宋" w:eastAsia="仿宋" w:cs="仿宋_GB2312"/>
                <w:kern w:val="0"/>
                <w:szCs w:val="21"/>
              </w:rPr>
              <w:t>通过对部门本年度结转结余总额与支出预算数的比较，反映和评价部门对本年度结转结余资金的实际控制程度。</w:t>
            </w:r>
          </w:p>
          <w:p w14:paraId="62B50BFA">
            <w:pPr>
              <w:widowControl/>
              <w:spacing w:line="240" w:lineRule="exact"/>
              <w:jc w:val="left"/>
              <w:rPr>
                <w:rFonts w:ascii="仿宋" w:hAnsi="仿宋" w:eastAsia="仿宋"/>
                <w:szCs w:val="21"/>
              </w:rPr>
            </w:pPr>
            <w:r>
              <w:rPr>
                <w:rFonts w:ascii="仿宋" w:hAnsi="仿宋" w:eastAsia="仿宋"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72672F1C">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1.结转结余率等于0的，得满分；</w:t>
            </w:r>
          </w:p>
          <w:p w14:paraId="6775340F">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2.结转结余率大于或等于50%的，得0分；</w:t>
            </w:r>
          </w:p>
          <w:p w14:paraId="607B15A0">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3.结转结余率在0-50%之间的，在0和满分之间计算确定：</w:t>
            </w:r>
          </w:p>
          <w:p w14:paraId="6E0A58CC">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E46F0CE">
            <w:pPr>
              <w:widowControl/>
              <w:spacing w:line="240" w:lineRule="exact"/>
              <w:jc w:val="left"/>
              <w:rPr>
                <w:rFonts w:ascii="仿宋" w:hAnsi="仿宋" w:eastAsia="仿宋"/>
                <w:szCs w:val="21"/>
              </w:rPr>
            </w:pPr>
            <w:r>
              <w:rPr>
                <w:rFonts w:hint="eastAsia" w:ascii="仿宋" w:hAnsi="仿宋" w:eastAsia="仿宋"/>
                <w:szCs w:val="21"/>
              </w:rPr>
              <w:t>3</w:t>
            </w:r>
          </w:p>
        </w:tc>
      </w:tr>
      <w:tr w14:paraId="23BD78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897496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68BF64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3359CCC">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公用经费</w:t>
            </w:r>
          </w:p>
          <w:p w14:paraId="23A56E84">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控制率</w:t>
            </w:r>
          </w:p>
          <w:p w14:paraId="69A13B1F">
            <w:pPr>
              <w:widowControl/>
              <w:spacing w:line="240" w:lineRule="exact"/>
              <w:jc w:val="left"/>
              <w:rPr>
                <w:rFonts w:ascii="仿宋" w:hAnsi="仿宋" w:eastAsia="仿宋"/>
                <w:szCs w:val="21"/>
              </w:rPr>
            </w:pPr>
            <w:r>
              <w:rPr>
                <w:rFonts w:ascii="仿宋" w:hAnsi="仿宋" w:eastAsia="仿宋" w:cs="仿宋_GB2312"/>
                <w:kern w:val="0"/>
                <w:szCs w:val="21"/>
              </w:rPr>
              <w:t>（</w:t>
            </w:r>
            <w:r>
              <w:rPr>
                <w:rFonts w:hint="eastAsia" w:ascii="仿宋" w:hAnsi="仿宋" w:eastAsia="仿宋" w:cs="仿宋_GB2312"/>
                <w:kern w:val="0"/>
                <w:szCs w:val="21"/>
              </w:rPr>
              <w:t>4分</w:t>
            </w:r>
            <w:r>
              <w:rPr>
                <w:rFonts w:ascii="仿宋" w:hAnsi="仿宋" w:eastAsia="仿宋"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41C0592">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通过对部门本年度实际支出的公用经费总额与预算安排的公用经费总额的比率，反映和评价部门对机构运转成本的实际控制程度。</w:t>
            </w:r>
          </w:p>
          <w:p w14:paraId="6A5A008F">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48458A0C">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1.公用经费控制率小于或等于100%的，得满分；</w:t>
            </w:r>
          </w:p>
          <w:p w14:paraId="7961E7F8">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2.公用经费控制率大于或等于105%的，得0分；</w:t>
            </w:r>
          </w:p>
          <w:p w14:paraId="26D6CD76">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3.公用经费控制率在100%-105%之间的，在0和满分之间计算确定：</w:t>
            </w:r>
          </w:p>
          <w:p w14:paraId="6992A314">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6E95BC7C">
            <w:pPr>
              <w:widowControl/>
              <w:spacing w:line="240" w:lineRule="exact"/>
              <w:jc w:val="left"/>
              <w:rPr>
                <w:rFonts w:ascii="仿宋" w:hAnsi="仿宋" w:eastAsia="仿宋"/>
                <w:szCs w:val="21"/>
              </w:rPr>
            </w:pPr>
            <w:r>
              <w:rPr>
                <w:rFonts w:hint="eastAsia" w:ascii="仿宋" w:hAnsi="仿宋" w:eastAsia="仿宋"/>
                <w:szCs w:val="21"/>
              </w:rPr>
              <w:t>4</w:t>
            </w:r>
          </w:p>
        </w:tc>
      </w:tr>
      <w:tr w14:paraId="74F014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81F887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A02DDD1">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7D1CDAE">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政府采购</w:t>
            </w:r>
          </w:p>
          <w:p w14:paraId="1B502CD2">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执行率</w:t>
            </w:r>
          </w:p>
          <w:p w14:paraId="36837668">
            <w:pPr>
              <w:widowControl/>
              <w:spacing w:line="240" w:lineRule="exact"/>
              <w:jc w:val="left"/>
              <w:rPr>
                <w:rFonts w:ascii="仿宋" w:hAnsi="仿宋" w:eastAsia="仿宋"/>
                <w:szCs w:val="21"/>
              </w:rPr>
            </w:pPr>
            <w:r>
              <w:rPr>
                <w:rFonts w:ascii="仿宋" w:hAnsi="仿宋" w:eastAsia="仿宋" w:cs="仿宋_GB2312"/>
                <w:kern w:val="0"/>
                <w:szCs w:val="21"/>
              </w:rPr>
              <w:t>（</w:t>
            </w:r>
            <w:r>
              <w:rPr>
                <w:rFonts w:hint="eastAsia" w:ascii="仿宋" w:hAnsi="仿宋" w:eastAsia="仿宋" w:cs="仿宋_GB2312"/>
                <w:kern w:val="0"/>
                <w:szCs w:val="21"/>
              </w:rPr>
              <w:t>4分</w:t>
            </w:r>
            <w:r>
              <w:rPr>
                <w:rFonts w:ascii="仿宋" w:hAnsi="仿宋" w:eastAsia="仿宋"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0500E4B">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通过对部门本年度实际政府采购预算项目个数与政府采购预算项目个数的比较，反映和评价部门政府采购预算执行情况。</w:t>
            </w:r>
          </w:p>
          <w:p w14:paraId="75C0DAC4">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政府采购执行率=（实际政府采购预算项目个数/政府采购预算项目个数）×100%。</w:t>
            </w:r>
          </w:p>
          <w:p w14:paraId="68250D1C">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1288652C">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1.政府采购执行率等于100%的，得满分；</w:t>
            </w:r>
          </w:p>
          <w:p w14:paraId="2C8E82A9">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2.政府采购执行率小于或等于90%的，0分；</w:t>
            </w:r>
          </w:p>
          <w:p w14:paraId="25A72064">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3.政府采购执行率在90%-100%之间的，在0和满分之间计算确定：</w:t>
            </w:r>
          </w:p>
          <w:p w14:paraId="12667BBD">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918D256">
            <w:pPr>
              <w:widowControl/>
              <w:spacing w:line="240" w:lineRule="exact"/>
              <w:jc w:val="left"/>
              <w:rPr>
                <w:rFonts w:ascii="仿宋" w:hAnsi="仿宋" w:eastAsia="仿宋"/>
                <w:szCs w:val="21"/>
              </w:rPr>
            </w:pPr>
            <w:r>
              <w:rPr>
                <w:rFonts w:hint="eastAsia" w:ascii="仿宋" w:hAnsi="仿宋" w:eastAsia="仿宋"/>
                <w:szCs w:val="21"/>
              </w:rPr>
              <w:t>4</w:t>
            </w:r>
          </w:p>
        </w:tc>
      </w:tr>
      <w:tr w14:paraId="0C8E48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83CE6CE">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46446FE">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124DF065">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4B5ABB56">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资金使用</w:t>
            </w:r>
          </w:p>
          <w:p w14:paraId="1C46A7BE">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合规性</w:t>
            </w:r>
          </w:p>
          <w:p w14:paraId="268C204F">
            <w:pPr>
              <w:widowControl/>
              <w:spacing w:line="240" w:lineRule="exact"/>
              <w:jc w:val="left"/>
              <w:rPr>
                <w:rFonts w:ascii="仿宋" w:hAnsi="仿宋" w:eastAsia="仿宋"/>
                <w:szCs w:val="21"/>
              </w:rPr>
            </w:pPr>
            <w:r>
              <w:rPr>
                <w:rFonts w:ascii="仿宋" w:hAnsi="仿宋" w:eastAsia="仿宋" w:cs="仿宋_GB2312"/>
                <w:kern w:val="0"/>
                <w:szCs w:val="21"/>
              </w:rPr>
              <w:t>（8</w:t>
            </w:r>
            <w:r>
              <w:rPr>
                <w:rFonts w:hint="eastAsia" w:ascii="仿宋" w:hAnsi="仿宋" w:eastAsia="仿宋" w:cs="仿宋_GB2312"/>
                <w:kern w:val="0"/>
                <w:szCs w:val="21"/>
              </w:rPr>
              <w:t>分</w:t>
            </w:r>
            <w:r>
              <w:rPr>
                <w:rFonts w:ascii="仿宋" w:hAnsi="仿宋" w:eastAsia="仿宋"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E4BE223">
            <w:pPr>
              <w:widowControl/>
              <w:spacing w:line="240" w:lineRule="exact"/>
              <w:jc w:val="left"/>
              <w:rPr>
                <w:rFonts w:ascii="仿宋" w:hAnsi="仿宋" w:eastAsia="仿宋"/>
                <w:szCs w:val="21"/>
              </w:rPr>
            </w:pPr>
            <w:r>
              <w:rPr>
                <w:rFonts w:ascii="仿宋" w:hAnsi="仿宋" w:eastAsia="仿宋" w:cs="仿宋_GB2312"/>
                <w:kern w:val="0"/>
                <w:szCs w:val="21"/>
              </w:rPr>
              <w:t>部门使用预算资金是否符合相关的预算财务管理制度的规定，反映和评价部门预算资金的规范运行情况。</w:t>
            </w:r>
          </w:p>
          <w:p w14:paraId="06C9D896">
            <w:pPr>
              <w:widowControl/>
              <w:spacing w:line="240" w:lineRule="exact"/>
              <w:jc w:val="left"/>
              <w:rPr>
                <w:rFonts w:ascii="仿宋" w:hAnsi="仿宋" w:eastAsia="仿宋"/>
                <w:szCs w:val="21"/>
              </w:rPr>
            </w:pPr>
            <w:r>
              <w:rPr>
                <w:rFonts w:ascii="仿宋" w:hAnsi="仿宋" w:eastAsia="仿宋" w:cs="仿宋_GB2312"/>
                <w:kern w:val="0"/>
                <w:szCs w:val="21"/>
              </w:rPr>
              <w:t>评价要点：</w:t>
            </w:r>
          </w:p>
          <w:p w14:paraId="12E3B2EC">
            <w:pPr>
              <w:widowControl/>
              <w:spacing w:line="240" w:lineRule="exact"/>
              <w:jc w:val="left"/>
              <w:rPr>
                <w:rFonts w:ascii="仿宋" w:hAnsi="仿宋" w:eastAsia="仿宋"/>
                <w:szCs w:val="21"/>
              </w:rPr>
            </w:pPr>
            <w:r>
              <w:rPr>
                <w:rFonts w:ascii="仿宋" w:hAnsi="仿宋" w:eastAsia="仿宋" w:cs="仿宋_GB2312"/>
                <w:kern w:val="0"/>
                <w:szCs w:val="21"/>
              </w:rPr>
              <w:t>1.符合国家财经法规和财务管理制度规定以及有关部门资金管理办法的规定；</w:t>
            </w:r>
          </w:p>
          <w:p w14:paraId="33967F8B">
            <w:pPr>
              <w:widowControl/>
              <w:spacing w:line="240" w:lineRule="exact"/>
              <w:jc w:val="left"/>
              <w:rPr>
                <w:rFonts w:ascii="仿宋" w:hAnsi="仿宋" w:eastAsia="仿宋"/>
                <w:szCs w:val="21"/>
              </w:rPr>
            </w:pPr>
            <w:r>
              <w:rPr>
                <w:rFonts w:ascii="仿宋" w:hAnsi="仿宋" w:eastAsia="仿宋" w:cs="仿宋_GB2312"/>
                <w:kern w:val="0"/>
                <w:szCs w:val="21"/>
              </w:rPr>
              <w:t>2.资金的拨付有完整的审批过程和手续；</w:t>
            </w:r>
          </w:p>
          <w:p w14:paraId="71019B9A">
            <w:pPr>
              <w:widowControl/>
              <w:spacing w:line="240" w:lineRule="exact"/>
              <w:jc w:val="left"/>
              <w:rPr>
                <w:rFonts w:ascii="仿宋" w:hAnsi="仿宋" w:eastAsia="仿宋"/>
                <w:szCs w:val="21"/>
              </w:rPr>
            </w:pPr>
            <w:r>
              <w:rPr>
                <w:rFonts w:ascii="仿宋" w:hAnsi="仿宋" w:eastAsia="仿宋" w:cs="仿宋_GB2312"/>
                <w:kern w:val="0"/>
                <w:szCs w:val="21"/>
              </w:rPr>
              <w:t>3.项目的重大开支经过评估论证；</w:t>
            </w:r>
          </w:p>
          <w:p w14:paraId="138C4ABF">
            <w:pPr>
              <w:widowControl/>
              <w:spacing w:line="240" w:lineRule="exact"/>
              <w:jc w:val="left"/>
              <w:rPr>
                <w:rFonts w:ascii="仿宋" w:hAnsi="仿宋" w:eastAsia="仿宋"/>
                <w:szCs w:val="21"/>
              </w:rPr>
            </w:pPr>
            <w:r>
              <w:rPr>
                <w:rFonts w:ascii="仿宋" w:hAnsi="仿宋" w:eastAsia="仿宋" w:cs="仿宋_GB2312"/>
                <w:kern w:val="0"/>
                <w:szCs w:val="21"/>
              </w:rPr>
              <w:t>4.符合部门预算批复的用途；</w:t>
            </w:r>
          </w:p>
          <w:p w14:paraId="48C54D38">
            <w:pPr>
              <w:widowControl/>
              <w:spacing w:line="240" w:lineRule="exact"/>
              <w:jc w:val="left"/>
              <w:rPr>
                <w:rFonts w:ascii="仿宋" w:hAnsi="仿宋" w:eastAsia="仿宋"/>
                <w:szCs w:val="21"/>
              </w:rPr>
            </w:pPr>
            <w:r>
              <w:rPr>
                <w:rFonts w:ascii="仿宋" w:hAnsi="仿宋" w:eastAsia="仿宋" w:cs="仿宋_GB2312"/>
                <w:kern w:val="0"/>
                <w:szCs w:val="21"/>
              </w:rPr>
              <w:t>5.不存在截留情况；</w:t>
            </w:r>
          </w:p>
          <w:p w14:paraId="7051AB13">
            <w:pPr>
              <w:widowControl/>
              <w:spacing w:line="240" w:lineRule="exact"/>
              <w:jc w:val="left"/>
              <w:rPr>
                <w:rFonts w:ascii="仿宋" w:hAnsi="仿宋" w:eastAsia="仿宋"/>
                <w:szCs w:val="21"/>
              </w:rPr>
            </w:pPr>
            <w:r>
              <w:rPr>
                <w:rFonts w:ascii="仿宋" w:hAnsi="仿宋" w:eastAsia="仿宋" w:cs="仿宋_GB2312"/>
                <w:kern w:val="0"/>
                <w:szCs w:val="21"/>
              </w:rPr>
              <w:t>6.不存在挤占情况；</w:t>
            </w:r>
          </w:p>
          <w:p w14:paraId="1D9DAE99">
            <w:pPr>
              <w:widowControl/>
              <w:spacing w:line="240" w:lineRule="exact"/>
              <w:jc w:val="left"/>
              <w:rPr>
                <w:rFonts w:ascii="仿宋" w:hAnsi="仿宋" w:eastAsia="仿宋"/>
                <w:szCs w:val="21"/>
              </w:rPr>
            </w:pPr>
            <w:r>
              <w:rPr>
                <w:rFonts w:ascii="仿宋" w:hAnsi="仿宋" w:eastAsia="仿宋" w:cs="仿宋_GB2312"/>
                <w:kern w:val="0"/>
                <w:szCs w:val="21"/>
              </w:rPr>
              <w:t>7.不存在挪用情况；</w:t>
            </w:r>
          </w:p>
          <w:p w14:paraId="7861C58B">
            <w:pPr>
              <w:widowControl/>
              <w:spacing w:line="240" w:lineRule="exact"/>
              <w:jc w:val="left"/>
              <w:rPr>
                <w:rFonts w:ascii="仿宋" w:hAnsi="仿宋" w:eastAsia="仿宋"/>
                <w:szCs w:val="21"/>
              </w:rPr>
            </w:pPr>
            <w:r>
              <w:rPr>
                <w:rFonts w:ascii="仿宋" w:hAnsi="仿宋" w:eastAsia="仿宋"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0265D3D4">
            <w:pPr>
              <w:widowControl/>
              <w:spacing w:line="240" w:lineRule="exact"/>
              <w:jc w:val="left"/>
              <w:rPr>
                <w:rFonts w:ascii="仿宋" w:hAnsi="仿宋" w:eastAsia="仿宋"/>
                <w:szCs w:val="21"/>
              </w:rPr>
            </w:pPr>
            <w:r>
              <w:rPr>
                <w:rFonts w:ascii="仿宋" w:hAnsi="仿宋" w:eastAsia="仿宋" w:cs="仿宋_GB2312"/>
                <w:kern w:val="0"/>
                <w:szCs w:val="21"/>
              </w:rPr>
              <w:t>全部符合（8）；</w:t>
            </w:r>
          </w:p>
          <w:p w14:paraId="3324294A">
            <w:pPr>
              <w:widowControl/>
              <w:spacing w:line="240" w:lineRule="exact"/>
              <w:jc w:val="left"/>
              <w:rPr>
                <w:rFonts w:ascii="仿宋" w:hAnsi="仿宋" w:eastAsia="仿宋"/>
                <w:szCs w:val="21"/>
              </w:rPr>
            </w:pPr>
            <w:r>
              <w:rPr>
                <w:rFonts w:ascii="仿宋" w:hAnsi="仿宋" w:eastAsia="仿宋" w:cs="仿宋_GB2312"/>
                <w:kern w:val="0"/>
                <w:szCs w:val="21"/>
              </w:rPr>
              <w:t>符合其中七项（6）；</w:t>
            </w:r>
          </w:p>
          <w:p w14:paraId="2E4BE215">
            <w:pPr>
              <w:widowControl/>
              <w:spacing w:line="240" w:lineRule="exact"/>
              <w:jc w:val="left"/>
              <w:rPr>
                <w:rFonts w:ascii="仿宋" w:hAnsi="仿宋" w:eastAsia="仿宋"/>
                <w:szCs w:val="21"/>
              </w:rPr>
            </w:pPr>
            <w:r>
              <w:rPr>
                <w:rFonts w:ascii="仿宋" w:hAnsi="仿宋" w:eastAsia="仿宋" w:cs="仿宋_GB2312"/>
                <w:kern w:val="0"/>
                <w:szCs w:val="21"/>
              </w:rPr>
              <w:t>符合其中六项（4）；</w:t>
            </w:r>
          </w:p>
          <w:p w14:paraId="590D46D3">
            <w:pPr>
              <w:widowControl/>
              <w:spacing w:line="240" w:lineRule="exact"/>
              <w:jc w:val="left"/>
              <w:rPr>
                <w:rFonts w:ascii="仿宋" w:hAnsi="仿宋" w:eastAsia="仿宋"/>
                <w:szCs w:val="21"/>
              </w:rPr>
            </w:pPr>
            <w:r>
              <w:rPr>
                <w:rFonts w:ascii="仿宋" w:hAnsi="仿宋" w:eastAsia="仿宋" w:cs="仿宋_GB2312"/>
                <w:kern w:val="0"/>
                <w:szCs w:val="21"/>
              </w:rPr>
              <w:t>符合其中五项（2）；</w:t>
            </w:r>
          </w:p>
          <w:p w14:paraId="220D58FE">
            <w:pPr>
              <w:widowControl/>
              <w:spacing w:line="240" w:lineRule="exact"/>
              <w:jc w:val="left"/>
              <w:rPr>
                <w:rFonts w:ascii="仿宋" w:hAnsi="仿宋" w:eastAsia="仿宋"/>
                <w:szCs w:val="21"/>
              </w:rPr>
            </w:pPr>
            <w:r>
              <w:rPr>
                <w:rFonts w:ascii="仿宋" w:hAnsi="仿宋" w:eastAsia="仿宋"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4478D1A7">
            <w:pPr>
              <w:widowControl/>
              <w:spacing w:line="240" w:lineRule="exact"/>
              <w:jc w:val="left"/>
              <w:rPr>
                <w:rFonts w:ascii="仿宋" w:hAnsi="仿宋" w:eastAsia="仿宋"/>
                <w:szCs w:val="21"/>
              </w:rPr>
            </w:pPr>
            <w:r>
              <w:rPr>
                <w:rFonts w:hint="eastAsia" w:ascii="仿宋" w:hAnsi="仿宋" w:eastAsia="仿宋"/>
                <w:szCs w:val="21"/>
              </w:rPr>
              <w:t>8</w:t>
            </w:r>
          </w:p>
        </w:tc>
      </w:tr>
      <w:tr w14:paraId="0404C4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B4765A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B5340D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2284593">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预决算信息</w:t>
            </w:r>
          </w:p>
          <w:p w14:paraId="35FE688D">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公开性</w:t>
            </w:r>
          </w:p>
          <w:p w14:paraId="20982B33">
            <w:pPr>
              <w:widowControl/>
              <w:spacing w:line="240" w:lineRule="exact"/>
              <w:jc w:val="left"/>
              <w:rPr>
                <w:rFonts w:ascii="仿宋" w:hAnsi="仿宋" w:eastAsia="仿宋"/>
                <w:szCs w:val="21"/>
              </w:rPr>
            </w:pPr>
            <w:r>
              <w:rPr>
                <w:rFonts w:ascii="仿宋" w:hAnsi="仿宋" w:eastAsia="仿宋" w:cs="仿宋_GB2312"/>
                <w:kern w:val="0"/>
                <w:szCs w:val="21"/>
              </w:rPr>
              <w:t>（3</w:t>
            </w:r>
            <w:r>
              <w:rPr>
                <w:rFonts w:hint="eastAsia" w:ascii="仿宋" w:hAnsi="仿宋" w:eastAsia="仿宋" w:cs="仿宋_GB2312"/>
                <w:kern w:val="0"/>
                <w:szCs w:val="21"/>
              </w:rPr>
              <w:t>分</w:t>
            </w:r>
            <w:r>
              <w:rPr>
                <w:rFonts w:ascii="仿宋" w:hAnsi="仿宋" w:eastAsia="仿宋"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502201A">
            <w:pPr>
              <w:widowControl/>
              <w:spacing w:line="240" w:lineRule="exact"/>
              <w:jc w:val="left"/>
              <w:rPr>
                <w:rFonts w:ascii="仿宋" w:hAnsi="仿宋" w:eastAsia="仿宋"/>
                <w:szCs w:val="21"/>
              </w:rPr>
            </w:pPr>
            <w:r>
              <w:rPr>
                <w:rFonts w:ascii="仿宋" w:hAnsi="仿宋" w:eastAsia="仿宋" w:cs="仿宋_GB2312"/>
                <w:kern w:val="0"/>
                <w:szCs w:val="21"/>
              </w:rPr>
              <w:t>部门是否按照政府信息公开有关规定公开相关预决算信息，用以反映和评价部门预决算管理的公开透明情况。</w:t>
            </w:r>
          </w:p>
          <w:p w14:paraId="6D94A6FF">
            <w:pPr>
              <w:widowControl/>
              <w:spacing w:line="240" w:lineRule="exact"/>
              <w:jc w:val="left"/>
              <w:rPr>
                <w:rFonts w:ascii="仿宋" w:hAnsi="仿宋" w:eastAsia="仿宋"/>
                <w:szCs w:val="21"/>
              </w:rPr>
            </w:pPr>
            <w:r>
              <w:rPr>
                <w:rFonts w:ascii="仿宋" w:hAnsi="仿宋" w:eastAsia="仿宋" w:cs="仿宋_GB2312"/>
                <w:kern w:val="0"/>
                <w:szCs w:val="21"/>
              </w:rPr>
              <w:t>预决算信息是指与部门预算、执行、决算、监督、绩效等管理相关的信息。</w:t>
            </w:r>
          </w:p>
          <w:p w14:paraId="27027546">
            <w:pPr>
              <w:widowControl/>
              <w:spacing w:line="240" w:lineRule="exact"/>
              <w:jc w:val="left"/>
              <w:rPr>
                <w:rFonts w:ascii="仿宋" w:hAnsi="仿宋" w:eastAsia="仿宋"/>
                <w:szCs w:val="21"/>
              </w:rPr>
            </w:pPr>
            <w:r>
              <w:rPr>
                <w:rFonts w:ascii="仿宋" w:hAnsi="仿宋" w:eastAsia="仿宋" w:cs="仿宋_GB2312"/>
                <w:kern w:val="0"/>
                <w:szCs w:val="21"/>
              </w:rPr>
              <w:t>评价要点：</w:t>
            </w:r>
          </w:p>
          <w:p w14:paraId="354861A6">
            <w:pPr>
              <w:widowControl/>
              <w:spacing w:line="240" w:lineRule="exact"/>
              <w:jc w:val="left"/>
              <w:rPr>
                <w:rFonts w:ascii="仿宋" w:hAnsi="仿宋" w:eastAsia="仿宋"/>
                <w:szCs w:val="21"/>
              </w:rPr>
            </w:pPr>
            <w:r>
              <w:rPr>
                <w:rFonts w:ascii="仿宋" w:hAnsi="仿宋" w:eastAsia="仿宋" w:cs="仿宋_GB2312"/>
                <w:kern w:val="0"/>
                <w:szCs w:val="21"/>
              </w:rPr>
              <w:t>1.公开预决算信息；</w:t>
            </w:r>
          </w:p>
          <w:p w14:paraId="70AB8DF9">
            <w:pPr>
              <w:widowControl/>
              <w:spacing w:line="240" w:lineRule="exact"/>
              <w:jc w:val="left"/>
              <w:rPr>
                <w:rFonts w:ascii="仿宋" w:hAnsi="仿宋" w:eastAsia="仿宋"/>
                <w:szCs w:val="21"/>
              </w:rPr>
            </w:pPr>
            <w:r>
              <w:rPr>
                <w:rFonts w:ascii="仿宋" w:hAnsi="仿宋" w:eastAsia="仿宋" w:cs="仿宋_GB2312"/>
                <w:kern w:val="0"/>
                <w:szCs w:val="21"/>
              </w:rPr>
              <w:t>2.按规定内容公开预决算信息；</w:t>
            </w:r>
          </w:p>
          <w:p w14:paraId="63193459">
            <w:pPr>
              <w:widowControl/>
              <w:spacing w:line="240" w:lineRule="exact"/>
              <w:jc w:val="left"/>
              <w:rPr>
                <w:rFonts w:ascii="仿宋" w:hAnsi="仿宋" w:eastAsia="仿宋"/>
                <w:szCs w:val="21"/>
              </w:rPr>
            </w:pPr>
            <w:r>
              <w:rPr>
                <w:rFonts w:ascii="仿宋" w:hAnsi="仿宋" w:eastAsia="仿宋"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3040A7EC">
            <w:pPr>
              <w:widowControl/>
              <w:spacing w:line="240" w:lineRule="exact"/>
              <w:jc w:val="left"/>
              <w:rPr>
                <w:rFonts w:ascii="仿宋" w:hAnsi="仿宋" w:eastAsia="仿宋"/>
                <w:szCs w:val="21"/>
              </w:rPr>
            </w:pPr>
            <w:r>
              <w:rPr>
                <w:rFonts w:ascii="仿宋" w:hAnsi="仿宋" w:eastAsia="仿宋" w:cs="仿宋_GB2312"/>
                <w:kern w:val="0"/>
                <w:szCs w:val="21"/>
              </w:rPr>
              <w:t>全部符合（3）；</w:t>
            </w:r>
          </w:p>
          <w:p w14:paraId="644816FC">
            <w:pPr>
              <w:widowControl/>
              <w:spacing w:line="240" w:lineRule="exact"/>
              <w:jc w:val="left"/>
              <w:rPr>
                <w:rFonts w:ascii="仿宋" w:hAnsi="仿宋" w:eastAsia="仿宋"/>
                <w:szCs w:val="21"/>
              </w:rPr>
            </w:pPr>
            <w:r>
              <w:rPr>
                <w:rFonts w:ascii="仿宋" w:hAnsi="仿宋" w:eastAsia="仿宋" w:cs="仿宋_GB2312"/>
                <w:kern w:val="0"/>
                <w:szCs w:val="21"/>
              </w:rPr>
              <w:t>符合其中两项（2）</w:t>
            </w:r>
          </w:p>
          <w:p w14:paraId="3DAD3A5B">
            <w:pPr>
              <w:widowControl/>
              <w:spacing w:line="240" w:lineRule="exact"/>
              <w:jc w:val="left"/>
              <w:rPr>
                <w:rFonts w:ascii="仿宋" w:hAnsi="仿宋" w:eastAsia="仿宋"/>
                <w:szCs w:val="21"/>
              </w:rPr>
            </w:pPr>
            <w:r>
              <w:rPr>
                <w:rFonts w:ascii="仿宋" w:hAnsi="仿宋" w:eastAsia="仿宋"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5A0F012C">
            <w:pPr>
              <w:widowControl/>
              <w:spacing w:line="240" w:lineRule="exact"/>
              <w:jc w:val="left"/>
              <w:rPr>
                <w:rFonts w:ascii="仿宋" w:hAnsi="仿宋" w:eastAsia="仿宋"/>
                <w:szCs w:val="21"/>
              </w:rPr>
            </w:pPr>
            <w:r>
              <w:rPr>
                <w:rFonts w:hint="eastAsia" w:ascii="仿宋" w:hAnsi="仿宋" w:eastAsia="仿宋"/>
                <w:szCs w:val="21"/>
              </w:rPr>
              <w:t>3</w:t>
            </w:r>
          </w:p>
        </w:tc>
      </w:tr>
      <w:tr w14:paraId="5C4317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ED5636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0DE5F22">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D169789">
            <w:pPr>
              <w:widowControl/>
              <w:spacing w:line="240" w:lineRule="exact"/>
              <w:jc w:val="left"/>
              <w:rPr>
                <w:rFonts w:ascii="仿宋" w:hAnsi="仿宋" w:eastAsia="仿宋" w:cs="仿宋_GB2312"/>
                <w:color w:val="000000"/>
                <w:kern w:val="0"/>
                <w:szCs w:val="21"/>
              </w:rPr>
            </w:pPr>
            <w:r>
              <w:rPr>
                <w:rFonts w:ascii="仿宋" w:hAnsi="仿宋" w:eastAsia="仿宋" w:cs="仿宋_GB2312"/>
                <w:color w:val="000000"/>
                <w:kern w:val="0"/>
                <w:szCs w:val="21"/>
              </w:rPr>
              <w:t>基础信息</w:t>
            </w:r>
          </w:p>
          <w:p w14:paraId="11B1A43B">
            <w:pPr>
              <w:widowControl/>
              <w:spacing w:line="240" w:lineRule="exact"/>
              <w:jc w:val="left"/>
              <w:rPr>
                <w:rFonts w:ascii="仿宋" w:hAnsi="仿宋" w:eastAsia="仿宋" w:cs="仿宋_GB2312"/>
                <w:color w:val="000000"/>
                <w:kern w:val="0"/>
                <w:szCs w:val="21"/>
              </w:rPr>
            </w:pPr>
            <w:r>
              <w:rPr>
                <w:rFonts w:ascii="仿宋" w:hAnsi="仿宋" w:eastAsia="仿宋" w:cs="仿宋_GB2312"/>
                <w:color w:val="000000"/>
                <w:kern w:val="0"/>
                <w:szCs w:val="21"/>
              </w:rPr>
              <w:t>完善性</w:t>
            </w:r>
          </w:p>
          <w:p w14:paraId="150E6FD6">
            <w:pPr>
              <w:widowControl/>
              <w:spacing w:line="240" w:lineRule="exact"/>
              <w:jc w:val="left"/>
              <w:rPr>
                <w:rFonts w:ascii="仿宋" w:hAnsi="仿宋" w:eastAsia="仿宋"/>
                <w:szCs w:val="21"/>
              </w:rPr>
            </w:pPr>
            <w:r>
              <w:rPr>
                <w:rFonts w:ascii="仿宋" w:hAnsi="仿宋" w:eastAsia="仿宋" w:cs="仿宋_GB2312"/>
                <w:kern w:val="0"/>
                <w:szCs w:val="21"/>
              </w:rPr>
              <w:t>（4</w:t>
            </w:r>
            <w:r>
              <w:rPr>
                <w:rFonts w:hint="eastAsia" w:ascii="仿宋" w:hAnsi="仿宋" w:eastAsia="仿宋" w:cs="仿宋_GB2312"/>
                <w:kern w:val="0"/>
                <w:szCs w:val="21"/>
              </w:rPr>
              <w:t>分</w:t>
            </w:r>
            <w:r>
              <w:rPr>
                <w:rFonts w:ascii="仿宋" w:hAnsi="仿宋" w:eastAsia="仿宋"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FA64DDA">
            <w:pPr>
              <w:widowControl/>
              <w:spacing w:line="240" w:lineRule="exact"/>
              <w:jc w:val="left"/>
              <w:rPr>
                <w:rFonts w:ascii="仿宋" w:hAnsi="仿宋" w:eastAsia="仿宋"/>
                <w:szCs w:val="21"/>
              </w:rPr>
            </w:pPr>
            <w:r>
              <w:rPr>
                <w:rFonts w:ascii="仿宋" w:hAnsi="仿宋" w:eastAsia="仿宋" w:cs="仿宋_GB2312"/>
                <w:kern w:val="0"/>
                <w:szCs w:val="21"/>
              </w:rPr>
              <w:t>部门基础信息是否完善，用以反映和评价基础信息对预算管理工作的支撑情况。</w:t>
            </w:r>
          </w:p>
          <w:p w14:paraId="2698A45B">
            <w:pPr>
              <w:widowControl/>
              <w:spacing w:line="240" w:lineRule="exact"/>
              <w:jc w:val="left"/>
              <w:rPr>
                <w:rFonts w:ascii="仿宋" w:hAnsi="仿宋" w:eastAsia="仿宋"/>
                <w:szCs w:val="21"/>
              </w:rPr>
            </w:pPr>
            <w:r>
              <w:rPr>
                <w:rFonts w:ascii="仿宋" w:hAnsi="仿宋" w:eastAsia="仿宋" w:cs="仿宋_GB2312"/>
                <w:kern w:val="0"/>
                <w:szCs w:val="21"/>
              </w:rPr>
              <w:t>评价要点：</w:t>
            </w:r>
          </w:p>
          <w:p w14:paraId="58ADE7C1">
            <w:pPr>
              <w:widowControl/>
              <w:spacing w:line="240" w:lineRule="exact"/>
              <w:jc w:val="left"/>
              <w:rPr>
                <w:rFonts w:ascii="仿宋" w:hAnsi="仿宋" w:eastAsia="仿宋"/>
                <w:szCs w:val="21"/>
              </w:rPr>
            </w:pPr>
            <w:r>
              <w:rPr>
                <w:rFonts w:ascii="仿宋" w:hAnsi="仿宋" w:eastAsia="仿宋" w:cs="仿宋_GB2312"/>
                <w:kern w:val="0"/>
                <w:szCs w:val="21"/>
              </w:rPr>
              <w:t>1.基本财务管理制度健全；</w:t>
            </w:r>
          </w:p>
          <w:p w14:paraId="0D881F99">
            <w:pPr>
              <w:widowControl/>
              <w:spacing w:line="240" w:lineRule="exact"/>
              <w:jc w:val="left"/>
              <w:rPr>
                <w:rFonts w:ascii="仿宋" w:hAnsi="仿宋" w:eastAsia="仿宋"/>
                <w:szCs w:val="21"/>
              </w:rPr>
            </w:pPr>
            <w:r>
              <w:rPr>
                <w:rFonts w:ascii="仿宋" w:hAnsi="仿宋" w:eastAsia="仿宋" w:cs="仿宋_GB2312"/>
                <w:kern w:val="0"/>
                <w:szCs w:val="21"/>
              </w:rPr>
              <w:t>2.基础数据信息和会计信息资料真实；</w:t>
            </w:r>
          </w:p>
          <w:p w14:paraId="735FA558">
            <w:pPr>
              <w:widowControl/>
              <w:spacing w:line="240" w:lineRule="exact"/>
              <w:jc w:val="left"/>
              <w:rPr>
                <w:rFonts w:ascii="仿宋" w:hAnsi="仿宋" w:eastAsia="仿宋"/>
                <w:szCs w:val="21"/>
              </w:rPr>
            </w:pPr>
            <w:r>
              <w:rPr>
                <w:rFonts w:ascii="仿宋" w:hAnsi="仿宋" w:eastAsia="仿宋" w:cs="仿宋_GB2312"/>
                <w:kern w:val="0"/>
                <w:szCs w:val="21"/>
              </w:rPr>
              <w:t>3.基础数据信息和会计信息资料完整；</w:t>
            </w:r>
          </w:p>
          <w:p w14:paraId="095320C4">
            <w:pPr>
              <w:widowControl/>
              <w:spacing w:line="240" w:lineRule="exact"/>
              <w:jc w:val="left"/>
              <w:rPr>
                <w:rFonts w:ascii="仿宋" w:hAnsi="仿宋" w:eastAsia="仿宋"/>
                <w:szCs w:val="21"/>
              </w:rPr>
            </w:pPr>
            <w:r>
              <w:rPr>
                <w:rFonts w:ascii="仿宋" w:hAnsi="仿宋" w:eastAsia="仿宋"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3375C7B0">
            <w:pPr>
              <w:widowControl/>
              <w:spacing w:line="240" w:lineRule="exact"/>
              <w:jc w:val="left"/>
              <w:rPr>
                <w:rFonts w:ascii="仿宋" w:hAnsi="仿宋" w:eastAsia="仿宋"/>
                <w:szCs w:val="21"/>
              </w:rPr>
            </w:pPr>
            <w:r>
              <w:rPr>
                <w:rFonts w:ascii="仿宋" w:hAnsi="仿宋" w:eastAsia="仿宋" w:cs="仿宋_GB2312"/>
                <w:kern w:val="0"/>
                <w:szCs w:val="21"/>
              </w:rPr>
              <w:t>符合全部四项（4）；</w:t>
            </w:r>
          </w:p>
          <w:p w14:paraId="695612DF">
            <w:pPr>
              <w:widowControl/>
              <w:spacing w:line="240" w:lineRule="exact"/>
              <w:jc w:val="left"/>
              <w:rPr>
                <w:rFonts w:ascii="仿宋" w:hAnsi="仿宋" w:eastAsia="仿宋"/>
                <w:szCs w:val="21"/>
              </w:rPr>
            </w:pPr>
            <w:r>
              <w:rPr>
                <w:rFonts w:ascii="仿宋" w:hAnsi="仿宋" w:eastAsia="仿宋" w:cs="仿宋_GB2312"/>
                <w:kern w:val="0"/>
                <w:szCs w:val="21"/>
              </w:rPr>
              <w:t>符合其中三项（2）；</w:t>
            </w:r>
          </w:p>
          <w:p w14:paraId="321C72FA">
            <w:pPr>
              <w:widowControl/>
              <w:spacing w:line="240" w:lineRule="exact"/>
              <w:jc w:val="left"/>
              <w:rPr>
                <w:rFonts w:ascii="仿宋" w:hAnsi="仿宋" w:eastAsia="仿宋"/>
                <w:szCs w:val="21"/>
              </w:rPr>
            </w:pPr>
            <w:r>
              <w:rPr>
                <w:rFonts w:ascii="仿宋" w:hAnsi="仿宋" w:eastAsia="仿宋" w:cs="仿宋_GB2312"/>
                <w:kern w:val="0"/>
                <w:szCs w:val="21"/>
              </w:rPr>
              <w:t>符合其中两项（1）；</w:t>
            </w:r>
          </w:p>
          <w:p w14:paraId="7CFA2D7D">
            <w:pPr>
              <w:widowControl/>
              <w:spacing w:line="240" w:lineRule="exact"/>
              <w:jc w:val="left"/>
              <w:rPr>
                <w:rFonts w:ascii="仿宋" w:hAnsi="仿宋" w:eastAsia="仿宋"/>
                <w:szCs w:val="21"/>
              </w:rPr>
            </w:pPr>
            <w:r>
              <w:rPr>
                <w:rFonts w:ascii="仿宋" w:hAnsi="仿宋" w:eastAsia="仿宋"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7EF35972">
            <w:pPr>
              <w:widowControl/>
              <w:spacing w:line="240" w:lineRule="exact"/>
              <w:jc w:val="left"/>
              <w:rPr>
                <w:rFonts w:ascii="仿宋" w:hAnsi="仿宋" w:eastAsia="仿宋"/>
                <w:szCs w:val="21"/>
              </w:rPr>
            </w:pPr>
            <w:r>
              <w:rPr>
                <w:rFonts w:hint="eastAsia" w:ascii="仿宋" w:hAnsi="仿宋" w:eastAsia="仿宋"/>
                <w:szCs w:val="21"/>
              </w:rPr>
              <w:t>3</w:t>
            </w:r>
          </w:p>
        </w:tc>
      </w:tr>
      <w:tr w14:paraId="0BD817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0B68A11">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9E5518B">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3BDD0FA1">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资产管理</w:t>
            </w:r>
          </w:p>
          <w:p w14:paraId="38BBC4C1">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完整性</w:t>
            </w:r>
          </w:p>
          <w:p w14:paraId="510FFBAB">
            <w:pPr>
              <w:widowControl/>
              <w:spacing w:line="240" w:lineRule="exact"/>
              <w:jc w:val="left"/>
              <w:rPr>
                <w:rFonts w:ascii="仿宋" w:hAnsi="仿宋" w:eastAsia="仿宋"/>
                <w:szCs w:val="21"/>
              </w:rPr>
            </w:pPr>
            <w:r>
              <w:rPr>
                <w:rFonts w:ascii="仿宋" w:hAnsi="仿宋" w:eastAsia="仿宋" w:cs="仿宋_GB2312"/>
                <w:kern w:val="0"/>
                <w:szCs w:val="21"/>
              </w:rPr>
              <w:t>（</w:t>
            </w:r>
            <w:r>
              <w:rPr>
                <w:rFonts w:hint="eastAsia" w:ascii="仿宋" w:hAnsi="仿宋" w:eastAsia="仿宋" w:cs="仿宋_GB2312"/>
                <w:kern w:val="0"/>
                <w:szCs w:val="21"/>
              </w:rPr>
              <w:t>2分</w:t>
            </w:r>
            <w:r>
              <w:rPr>
                <w:rFonts w:ascii="仿宋" w:hAnsi="仿宋" w:eastAsia="仿宋"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010046F6">
            <w:pPr>
              <w:widowControl/>
              <w:spacing w:line="240" w:lineRule="exact"/>
              <w:jc w:val="left"/>
              <w:rPr>
                <w:rFonts w:ascii="仿宋" w:hAnsi="仿宋" w:eastAsia="仿宋"/>
                <w:szCs w:val="21"/>
              </w:rPr>
            </w:pPr>
            <w:r>
              <w:rPr>
                <w:rFonts w:ascii="仿宋" w:hAnsi="仿宋" w:eastAsia="仿宋" w:cs="仿宋_GB2312"/>
                <w:kern w:val="0"/>
                <w:szCs w:val="21"/>
              </w:rPr>
              <w:t>部门的资产是否保存完整、使用合规、收入及时足额上缴，用以反映和评价部门资产运行情况。</w:t>
            </w:r>
          </w:p>
          <w:p w14:paraId="10039CA5">
            <w:pPr>
              <w:widowControl/>
              <w:spacing w:line="240" w:lineRule="exact"/>
              <w:jc w:val="left"/>
              <w:rPr>
                <w:rFonts w:ascii="仿宋" w:hAnsi="仿宋" w:eastAsia="仿宋"/>
                <w:szCs w:val="21"/>
              </w:rPr>
            </w:pPr>
            <w:r>
              <w:rPr>
                <w:rFonts w:ascii="仿宋" w:hAnsi="仿宋" w:eastAsia="仿宋" w:cs="仿宋_GB2312"/>
                <w:kern w:val="0"/>
                <w:szCs w:val="21"/>
              </w:rPr>
              <w:t>评价要点：</w:t>
            </w:r>
          </w:p>
          <w:p w14:paraId="0D599486">
            <w:pPr>
              <w:widowControl/>
              <w:spacing w:line="240" w:lineRule="exact"/>
              <w:jc w:val="left"/>
              <w:rPr>
                <w:rFonts w:ascii="仿宋" w:hAnsi="仿宋" w:eastAsia="仿宋"/>
                <w:szCs w:val="21"/>
              </w:rPr>
            </w:pPr>
            <w:r>
              <w:rPr>
                <w:rFonts w:ascii="仿宋" w:hAnsi="仿宋" w:eastAsia="仿宋" w:cs="仿宋_GB2312"/>
                <w:kern w:val="0"/>
                <w:szCs w:val="21"/>
              </w:rPr>
              <w:t>1.资产保存完整；</w:t>
            </w:r>
          </w:p>
          <w:p w14:paraId="681ABA28">
            <w:pPr>
              <w:widowControl/>
              <w:spacing w:line="240" w:lineRule="exact"/>
              <w:jc w:val="left"/>
              <w:rPr>
                <w:rFonts w:ascii="仿宋" w:hAnsi="仿宋" w:eastAsia="仿宋"/>
                <w:szCs w:val="21"/>
              </w:rPr>
            </w:pPr>
            <w:r>
              <w:rPr>
                <w:rFonts w:ascii="仿宋" w:hAnsi="仿宋" w:eastAsia="仿宋" w:cs="仿宋_GB2312"/>
                <w:kern w:val="0"/>
                <w:szCs w:val="21"/>
              </w:rPr>
              <w:t>2.资产账务管理是否合规，</w:t>
            </w:r>
            <w:r>
              <w:rPr>
                <w:rFonts w:hint="eastAsia" w:ascii="仿宋" w:hAnsi="仿宋" w:eastAsia="仿宋" w:cs="仿宋_GB2312"/>
                <w:kern w:val="0"/>
                <w:szCs w:val="21"/>
                <w:lang w:eastAsia="zh-CN"/>
              </w:rPr>
              <w:t>账实相符</w:t>
            </w:r>
            <w:r>
              <w:rPr>
                <w:rFonts w:ascii="仿宋" w:hAnsi="仿宋" w:eastAsia="仿宋" w:cs="仿宋_GB2312"/>
                <w:kern w:val="0"/>
                <w:szCs w:val="21"/>
              </w:rPr>
              <w:t>；</w:t>
            </w:r>
          </w:p>
          <w:p w14:paraId="0BE4534B">
            <w:pPr>
              <w:widowControl/>
              <w:spacing w:line="240" w:lineRule="exact"/>
              <w:jc w:val="left"/>
              <w:rPr>
                <w:rFonts w:ascii="仿宋" w:hAnsi="仿宋" w:eastAsia="仿宋"/>
                <w:szCs w:val="21"/>
              </w:rPr>
            </w:pPr>
            <w:r>
              <w:rPr>
                <w:rFonts w:ascii="仿宋" w:hAnsi="仿宋" w:eastAsia="仿宋"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4982E094">
            <w:pPr>
              <w:widowControl/>
              <w:spacing w:line="240" w:lineRule="exact"/>
              <w:jc w:val="left"/>
              <w:rPr>
                <w:rFonts w:ascii="仿宋" w:hAnsi="仿宋" w:eastAsia="仿宋"/>
                <w:szCs w:val="21"/>
              </w:rPr>
            </w:pPr>
            <w:r>
              <w:rPr>
                <w:rFonts w:ascii="仿宋" w:hAnsi="仿宋" w:eastAsia="仿宋" w:cs="仿宋_GB2312"/>
                <w:kern w:val="0"/>
                <w:szCs w:val="21"/>
              </w:rPr>
              <w:t>符合全部三项（3）；</w:t>
            </w:r>
          </w:p>
          <w:p w14:paraId="37D7C3A9">
            <w:pPr>
              <w:widowControl/>
              <w:spacing w:line="240" w:lineRule="exact"/>
              <w:jc w:val="left"/>
              <w:rPr>
                <w:rFonts w:ascii="仿宋" w:hAnsi="仿宋" w:eastAsia="仿宋"/>
                <w:szCs w:val="21"/>
              </w:rPr>
            </w:pPr>
            <w:r>
              <w:rPr>
                <w:rFonts w:ascii="仿宋" w:hAnsi="仿宋" w:eastAsia="仿宋" w:cs="仿宋_GB2312"/>
                <w:kern w:val="0"/>
                <w:szCs w:val="21"/>
              </w:rPr>
              <w:t>符合其中两项（2）；</w:t>
            </w:r>
          </w:p>
          <w:p w14:paraId="4AFF9BCC">
            <w:pPr>
              <w:widowControl/>
              <w:spacing w:line="240" w:lineRule="exact"/>
              <w:jc w:val="left"/>
              <w:rPr>
                <w:rFonts w:ascii="仿宋" w:hAnsi="仿宋" w:eastAsia="仿宋"/>
                <w:szCs w:val="21"/>
              </w:rPr>
            </w:pPr>
            <w:r>
              <w:rPr>
                <w:rFonts w:ascii="仿宋" w:hAnsi="仿宋" w:eastAsia="仿宋" w:cs="仿宋_GB2312"/>
                <w:kern w:val="0"/>
                <w:szCs w:val="21"/>
              </w:rPr>
              <w:t>符合其中一项（1）；</w:t>
            </w:r>
          </w:p>
          <w:p w14:paraId="3969E14A">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7D3EEC67">
            <w:pPr>
              <w:widowControl/>
              <w:spacing w:line="240" w:lineRule="exact"/>
              <w:jc w:val="left"/>
              <w:rPr>
                <w:rFonts w:ascii="仿宋" w:hAnsi="仿宋" w:eastAsia="仿宋"/>
                <w:szCs w:val="21"/>
              </w:rPr>
            </w:pPr>
            <w:r>
              <w:rPr>
                <w:rFonts w:hint="eastAsia" w:ascii="仿宋" w:hAnsi="仿宋" w:eastAsia="仿宋"/>
                <w:szCs w:val="21"/>
              </w:rPr>
              <w:t>2</w:t>
            </w:r>
          </w:p>
        </w:tc>
      </w:tr>
      <w:tr w14:paraId="356962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041C42D">
            <w:pPr>
              <w:spacing w:line="240" w:lineRule="exact"/>
              <w:rPr>
                <w:rFonts w:ascii="仿宋" w:hAnsi="仿宋" w:eastAsia="仿宋"/>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B7A67AD">
            <w:pPr>
              <w:spacing w:line="240" w:lineRule="exact"/>
              <w:rPr>
                <w:rFonts w:ascii="仿宋" w:hAnsi="仿宋" w:eastAsia="仿宋"/>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4A9B0B5B">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固定资产</w:t>
            </w:r>
          </w:p>
          <w:p w14:paraId="07022C94">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利用率</w:t>
            </w:r>
          </w:p>
          <w:p w14:paraId="6AC9FB7B">
            <w:pPr>
              <w:widowControl/>
              <w:spacing w:line="240" w:lineRule="exact"/>
              <w:jc w:val="left"/>
              <w:rPr>
                <w:rFonts w:ascii="仿宋" w:hAnsi="仿宋" w:eastAsia="仿宋"/>
                <w:szCs w:val="21"/>
              </w:rPr>
            </w:pPr>
            <w:r>
              <w:rPr>
                <w:rFonts w:ascii="仿宋" w:hAnsi="仿宋" w:eastAsia="仿宋" w:cs="仿宋_GB2312"/>
                <w:kern w:val="0"/>
                <w:szCs w:val="21"/>
              </w:rPr>
              <w:t>（</w:t>
            </w:r>
            <w:r>
              <w:rPr>
                <w:rFonts w:hint="eastAsia" w:ascii="仿宋" w:hAnsi="仿宋" w:eastAsia="仿宋" w:cs="仿宋_GB2312"/>
                <w:kern w:val="0"/>
                <w:szCs w:val="21"/>
              </w:rPr>
              <w:t>3分</w:t>
            </w:r>
            <w:r>
              <w:rPr>
                <w:rFonts w:ascii="仿宋" w:hAnsi="仿宋" w:eastAsia="仿宋"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2B36DF07">
            <w:pPr>
              <w:widowControl/>
              <w:spacing w:line="240" w:lineRule="exact"/>
              <w:jc w:val="left"/>
              <w:rPr>
                <w:rFonts w:ascii="仿宋" w:hAnsi="仿宋" w:eastAsia="仿宋"/>
                <w:szCs w:val="21"/>
              </w:rPr>
            </w:pPr>
            <w:r>
              <w:rPr>
                <w:rFonts w:ascii="仿宋" w:hAnsi="仿宋" w:eastAsia="仿宋" w:cs="仿宋_GB2312"/>
                <w:kern w:val="0"/>
                <w:szCs w:val="21"/>
              </w:rPr>
              <w:t>部门实际在用固定资产总额与所有固定资产总额的比率，用以反映和评价部门固定资产使用效率。</w:t>
            </w:r>
          </w:p>
          <w:p w14:paraId="07AE40C1">
            <w:pPr>
              <w:widowControl/>
              <w:spacing w:line="240" w:lineRule="exact"/>
              <w:jc w:val="left"/>
              <w:rPr>
                <w:rFonts w:ascii="仿宋" w:hAnsi="仿宋" w:eastAsia="仿宋"/>
                <w:szCs w:val="21"/>
              </w:rPr>
            </w:pPr>
            <w:r>
              <w:rPr>
                <w:rFonts w:ascii="仿宋" w:hAnsi="仿宋" w:eastAsia="仿宋"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3CF433A9">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1.固定资产利用率大于或等于95%的，得满分；</w:t>
            </w:r>
          </w:p>
          <w:p w14:paraId="4F7CAD16">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2.固定资产利用率小于或等于85%的，得0分；</w:t>
            </w:r>
          </w:p>
          <w:p w14:paraId="184B8DDA">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3.固定资产利用率在85%-95%之间的，在0和满分之间计算确定：</w:t>
            </w:r>
          </w:p>
          <w:p w14:paraId="3C342FB9">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cs="仿宋_GB2312"/>
                <w:kern w:val="0"/>
                <w:szCs w:val="21"/>
              </w:rPr>
            </w:pPr>
            <w:r>
              <w:rPr>
                <w:rFonts w:ascii="仿宋" w:hAnsi="仿宋" w:eastAsia="仿宋" w:cs="仿宋_GB2312"/>
                <w:kern w:val="0"/>
                <w:szCs w:val="21"/>
              </w:rPr>
              <w:t>得分=［某部门固定资产利用率-min（固定资产利用率）］/［max（固定资产利用率）-min（固定资产利用率）］×该指标分值。</w:t>
            </w:r>
          </w:p>
          <w:p w14:paraId="42013543">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0F399724">
            <w:pPr>
              <w:widowControl/>
              <w:spacing w:line="240" w:lineRule="exact"/>
              <w:jc w:val="left"/>
              <w:rPr>
                <w:rFonts w:ascii="仿宋" w:hAnsi="仿宋" w:eastAsia="仿宋"/>
                <w:szCs w:val="21"/>
              </w:rPr>
            </w:pPr>
            <w:r>
              <w:rPr>
                <w:rFonts w:hint="eastAsia" w:ascii="仿宋" w:hAnsi="仿宋" w:eastAsia="仿宋"/>
                <w:szCs w:val="21"/>
              </w:rPr>
              <w:t>3</w:t>
            </w:r>
          </w:p>
        </w:tc>
      </w:tr>
      <w:tr w14:paraId="4FBE44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238947B">
            <w:pPr>
              <w:widowControl/>
              <w:spacing w:line="240" w:lineRule="exact"/>
              <w:jc w:val="left"/>
              <w:rPr>
                <w:rFonts w:ascii="仿宋" w:hAnsi="仿宋" w:eastAsia="仿宋"/>
                <w:szCs w:val="21"/>
              </w:rPr>
            </w:pPr>
            <w:r>
              <w:rPr>
                <w:rFonts w:ascii="仿宋" w:hAnsi="仿宋" w:eastAsia="仿宋" w:cs="仿宋_GB2312"/>
                <w:kern w:val="0"/>
                <w:szCs w:val="21"/>
              </w:rPr>
              <w:t>产出(2</w:t>
            </w:r>
            <w:r>
              <w:rPr>
                <w:rFonts w:hint="eastAsia" w:ascii="仿宋" w:hAnsi="仿宋" w:eastAsia="仿宋" w:cs="仿宋_GB2312"/>
                <w:kern w:val="0"/>
                <w:szCs w:val="21"/>
              </w:rPr>
              <w:t>5分</w:t>
            </w:r>
            <w:r>
              <w:rPr>
                <w:rFonts w:ascii="仿宋" w:hAnsi="仿宋" w:eastAsia="仿宋"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D132CDC">
            <w:pPr>
              <w:widowControl/>
              <w:spacing w:line="240" w:lineRule="exact"/>
              <w:jc w:val="left"/>
              <w:rPr>
                <w:rFonts w:ascii="仿宋" w:hAnsi="仿宋" w:eastAsia="仿宋"/>
                <w:szCs w:val="21"/>
              </w:rPr>
            </w:pPr>
            <w:r>
              <w:rPr>
                <w:rFonts w:ascii="仿宋" w:hAnsi="仿宋" w:eastAsia="仿宋" w:cs="仿宋_GB2312"/>
                <w:kern w:val="0"/>
                <w:szCs w:val="21"/>
              </w:rPr>
              <w:t>职责履行</w:t>
            </w:r>
            <w:r>
              <w:rPr>
                <w:rFonts w:hint="eastAsia" w:ascii="仿宋" w:hAnsi="仿宋" w:eastAsia="仿宋" w:cs="仿宋_GB2312"/>
                <w:kern w:val="0"/>
                <w:szCs w:val="21"/>
              </w:rPr>
              <w:t>情况</w:t>
            </w:r>
            <w:r>
              <w:rPr>
                <w:rFonts w:ascii="仿宋" w:hAnsi="仿宋" w:eastAsia="仿宋" w:cs="仿宋_GB2312"/>
                <w:kern w:val="0"/>
                <w:szCs w:val="21"/>
              </w:rPr>
              <w:t>（2</w:t>
            </w:r>
            <w:r>
              <w:rPr>
                <w:rFonts w:hint="eastAsia" w:ascii="仿宋" w:hAnsi="仿宋" w:eastAsia="仿宋" w:cs="仿宋_GB2312"/>
                <w:kern w:val="0"/>
                <w:szCs w:val="21"/>
              </w:rPr>
              <w:t>5分</w:t>
            </w:r>
            <w:r>
              <w:rPr>
                <w:rFonts w:ascii="仿宋" w:hAnsi="仿宋" w:eastAsia="仿宋" w:cs="仿宋_GB2312"/>
                <w:kern w:val="0"/>
                <w:szCs w:val="21"/>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79A829B8">
            <w:pPr>
              <w:widowControl/>
              <w:spacing w:line="240" w:lineRule="exact"/>
              <w:jc w:val="left"/>
              <w:rPr>
                <w:rFonts w:ascii="仿宋" w:hAnsi="仿宋" w:eastAsia="仿宋" w:cs="仿宋_GB2312"/>
                <w:kern w:val="0"/>
                <w:szCs w:val="21"/>
              </w:rPr>
            </w:pPr>
            <w:r>
              <w:rPr>
                <w:rFonts w:hint="eastAsia" w:ascii="仿宋" w:hAnsi="仿宋" w:eastAsia="仿宋" w:cs="仿宋_GB2312"/>
                <w:kern w:val="0"/>
                <w:szCs w:val="21"/>
              </w:rPr>
              <w:t>履职</w:t>
            </w:r>
          </w:p>
          <w:p w14:paraId="653ABC5A">
            <w:pPr>
              <w:widowControl/>
              <w:spacing w:line="240" w:lineRule="exact"/>
              <w:jc w:val="left"/>
              <w:rPr>
                <w:rFonts w:ascii="仿宋" w:hAnsi="仿宋" w:eastAsia="仿宋" w:cs="仿宋_GB2312"/>
                <w:kern w:val="0"/>
                <w:szCs w:val="21"/>
              </w:rPr>
            </w:pPr>
            <w:r>
              <w:rPr>
                <w:rFonts w:hint="eastAsia" w:ascii="仿宋" w:hAnsi="仿宋" w:eastAsia="仿宋" w:cs="仿宋_GB2312"/>
                <w:kern w:val="0"/>
                <w:szCs w:val="21"/>
              </w:rPr>
              <w:t>完成</w:t>
            </w:r>
          </w:p>
          <w:p w14:paraId="4BDF15B2">
            <w:pPr>
              <w:widowControl/>
              <w:spacing w:line="240" w:lineRule="exact"/>
              <w:jc w:val="left"/>
              <w:rPr>
                <w:rFonts w:ascii="仿宋" w:hAnsi="仿宋" w:eastAsia="仿宋" w:cs="仿宋_GB2312"/>
                <w:kern w:val="0"/>
                <w:szCs w:val="21"/>
              </w:rPr>
            </w:pPr>
            <w:r>
              <w:rPr>
                <w:rFonts w:hint="eastAsia" w:ascii="仿宋" w:hAnsi="仿宋" w:eastAsia="仿宋" w:cs="仿宋_GB2312"/>
                <w:kern w:val="0"/>
                <w:szCs w:val="21"/>
              </w:rPr>
              <w:t>情况</w:t>
            </w:r>
          </w:p>
          <w:p w14:paraId="446B6F3F">
            <w:pPr>
              <w:widowControl/>
              <w:spacing w:line="240" w:lineRule="exact"/>
              <w:jc w:val="left"/>
              <w:rPr>
                <w:rFonts w:ascii="仿宋" w:hAnsi="仿宋" w:eastAsia="仿宋"/>
                <w:szCs w:val="21"/>
              </w:rPr>
            </w:pPr>
            <w:r>
              <w:rPr>
                <w:rFonts w:ascii="仿宋" w:hAnsi="仿宋" w:eastAsia="仿宋" w:cs="仿宋_GB2312"/>
                <w:kern w:val="0"/>
                <w:szCs w:val="21"/>
              </w:rPr>
              <w:t>（</w:t>
            </w:r>
            <w:r>
              <w:rPr>
                <w:rFonts w:hint="eastAsia" w:ascii="仿宋" w:hAnsi="仿宋" w:eastAsia="仿宋" w:cs="仿宋_GB2312"/>
                <w:kern w:val="0"/>
                <w:szCs w:val="21"/>
              </w:rPr>
              <w:t>10分</w:t>
            </w:r>
            <w:r>
              <w:rPr>
                <w:rFonts w:ascii="仿宋" w:hAnsi="仿宋" w:eastAsia="仿宋"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098AF004">
            <w:pPr>
              <w:widowControl/>
              <w:spacing w:line="240" w:lineRule="exact"/>
              <w:jc w:val="left"/>
              <w:textAlignment w:val="center"/>
              <w:rPr>
                <w:rFonts w:ascii="仿宋" w:hAnsi="仿宋" w:eastAsia="仿宋"/>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35CBCDB4">
            <w:pPr>
              <w:widowControl/>
              <w:spacing w:line="240" w:lineRule="exact"/>
              <w:jc w:val="left"/>
              <w:textAlignment w:val="center"/>
              <w:rPr>
                <w:rFonts w:ascii="仿宋" w:hAnsi="仿宋" w:eastAsia="仿宋"/>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6FDE9883">
            <w:pPr>
              <w:widowControl/>
              <w:spacing w:line="240" w:lineRule="exact"/>
              <w:jc w:val="left"/>
              <w:rPr>
                <w:rFonts w:ascii="仿宋" w:hAnsi="仿宋" w:eastAsia="仿宋"/>
                <w:szCs w:val="21"/>
              </w:rPr>
            </w:pPr>
            <w:r>
              <w:rPr>
                <w:rFonts w:hint="eastAsia" w:ascii="仿宋" w:hAnsi="仿宋" w:eastAsia="仿宋"/>
                <w:szCs w:val="21"/>
              </w:rPr>
              <w:t>10</w:t>
            </w:r>
          </w:p>
        </w:tc>
      </w:tr>
      <w:tr w14:paraId="06FA1F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E636232">
            <w:pPr>
              <w:spacing w:line="240" w:lineRule="exact"/>
              <w:rPr>
                <w:rFonts w:ascii="仿宋" w:hAnsi="仿宋" w:eastAsia="仿宋"/>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1B8FB39">
            <w:pPr>
              <w:spacing w:line="240" w:lineRule="exact"/>
              <w:rPr>
                <w:rFonts w:ascii="仿宋" w:hAnsi="仿宋" w:eastAsia="仿宋"/>
                <w:szCs w:val="21"/>
              </w:rPr>
            </w:pPr>
          </w:p>
        </w:tc>
        <w:tc>
          <w:tcPr>
            <w:tcW w:w="1559" w:type="dxa"/>
            <w:tcBorders>
              <w:top w:val="single" w:color="000000" w:sz="4" w:space="0"/>
              <w:left w:val="single" w:color="000000" w:sz="4" w:space="0"/>
              <w:right w:val="single" w:color="auto" w:sz="4" w:space="0"/>
            </w:tcBorders>
            <w:vAlign w:val="center"/>
          </w:tcPr>
          <w:p w14:paraId="4939EC90">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项目</w:t>
            </w:r>
            <w:r>
              <w:rPr>
                <w:rFonts w:hint="eastAsia" w:ascii="仿宋" w:hAnsi="仿宋" w:eastAsia="仿宋" w:cs="仿宋_GB2312"/>
                <w:kern w:val="0"/>
                <w:szCs w:val="21"/>
              </w:rPr>
              <w:t>完成</w:t>
            </w:r>
          </w:p>
          <w:p w14:paraId="0BF3F018">
            <w:pPr>
              <w:widowControl/>
              <w:spacing w:line="240" w:lineRule="exact"/>
              <w:jc w:val="left"/>
              <w:rPr>
                <w:rFonts w:ascii="仿宋" w:hAnsi="仿宋" w:eastAsia="仿宋"/>
                <w:szCs w:val="21"/>
              </w:rPr>
            </w:pPr>
            <w:r>
              <w:rPr>
                <w:rFonts w:ascii="仿宋" w:hAnsi="仿宋" w:eastAsia="仿宋" w:cs="仿宋_GB2312"/>
                <w:kern w:val="0"/>
                <w:szCs w:val="21"/>
              </w:rPr>
              <w:t>质量达标率（</w:t>
            </w:r>
            <w:r>
              <w:rPr>
                <w:rFonts w:hint="eastAsia" w:ascii="仿宋" w:hAnsi="仿宋" w:eastAsia="仿宋" w:cs="仿宋_GB2312"/>
                <w:kern w:val="0"/>
                <w:szCs w:val="21"/>
              </w:rPr>
              <w:t>15</w:t>
            </w:r>
            <w:r>
              <w:rPr>
                <w:rFonts w:ascii="仿宋" w:hAnsi="仿宋" w:eastAsia="仿宋" w:cs="仿宋_GB2312"/>
                <w:kern w:val="0"/>
                <w:szCs w:val="21"/>
              </w:rPr>
              <w:t>）</w:t>
            </w:r>
          </w:p>
        </w:tc>
        <w:tc>
          <w:tcPr>
            <w:tcW w:w="3260" w:type="dxa"/>
            <w:tcBorders>
              <w:top w:val="single" w:color="000000" w:sz="4" w:space="0"/>
              <w:left w:val="single" w:color="auto" w:sz="4" w:space="0"/>
              <w:right w:val="single" w:color="auto" w:sz="4" w:space="0"/>
            </w:tcBorders>
            <w:vAlign w:val="center"/>
          </w:tcPr>
          <w:p w14:paraId="75B30DFF">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部门已完成项目中质量达标项目个数占已完成项目个数的比率,用以反映和评价部门履职质量目标的实现程度。</w:t>
            </w:r>
          </w:p>
          <w:p w14:paraId="58CD5F14">
            <w:pPr>
              <w:widowControl/>
              <w:spacing w:line="240" w:lineRule="exact"/>
              <w:jc w:val="left"/>
              <w:rPr>
                <w:rFonts w:ascii="仿宋" w:hAnsi="仿宋" w:eastAsia="仿宋"/>
                <w:szCs w:val="21"/>
              </w:rPr>
            </w:pPr>
            <w:r>
              <w:rPr>
                <w:rFonts w:ascii="仿宋" w:hAnsi="仿宋" w:eastAsia="仿宋" w:cs="仿宋_GB2312"/>
                <w:kern w:val="0"/>
                <w:szCs w:val="21"/>
              </w:rPr>
              <w:t>项目质量达标率=（已完成项目中质量达标项目个数/已完成项目个数）×100%。</w:t>
            </w:r>
          </w:p>
          <w:p w14:paraId="591D6328">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7DC91AD0">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1.项目质量达标率等于100%的，得满分；</w:t>
            </w:r>
          </w:p>
          <w:p w14:paraId="6429FF88">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2.项目质量达标率小于或等于99%的，得0分；</w:t>
            </w:r>
          </w:p>
          <w:p w14:paraId="21E24F37">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 xml:space="preserve">3.项目质量达标率在99%-100%之间的，在0和满分之间计算确定： </w:t>
            </w:r>
          </w:p>
          <w:p w14:paraId="5D429C71">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ascii="仿宋" w:hAnsi="仿宋" w:eastAsia="仿宋"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4FD3FD3D">
            <w:pPr>
              <w:widowControl/>
              <w:spacing w:line="240" w:lineRule="exact"/>
              <w:jc w:val="left"/>
              <w:rPr>
                <w:rFonts w:ascii="仿宋" w:hAnsi="仿宋" w:eastAsia="仿宋"/>
                <w:szCs w:val="21"/>
              </w:rPr>
            </w:pPr>
            <w:r>
              <w:rPr>
                <w:rFonts w:hint="eastAsia" w:ascii="仿宋" w:hAnsi="仿宋" w:eastAsia="仿宋"/>
                <w:szCs w:val="21"/>
              </w:rPr>
              <w:t>14</w:t>
            </w:r>
          </w:p>
        </w:tc>
      </w:tr>
      <w:tr w14:paraId="1EC68D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139D7EE">
            <w:pPr>
              <w:widowControl/>
              <w:spacing w:line="240" w:lineRule="exact"/>
              <w:jc w:val="left"/>
              <w:rPr>
                <w:rFonts w:ascii="仿宋" w:hAnsi="仿宋" w:eastAsia="仿宋"/>
                <w:szCs w:val="21"/>
              </w:rPr>
            </w:pPr>
            <w:r>
              <w:rPr>
                <w:rFonts w:ascii="仿宋" w:hAnsi="仿宋" w:eastAsia="仿宋" w:cs="仿宋_GB2312"/>
                <w:kern w:val="0"/>
                <w:szCs w:val="21"/>
              </w:rPr>
              <w:t>效果（</w:t>
            </w:r>
            <w:r>
              <w:rPr>
                <w:rFonts w:hint="eastAsia" w:ascii="仿宋" w:hAnsi="仿宋" w:eastAsia="仿宋" w:cs="仿宋_GB2312"/>
                <w:kern w:val="0"/>
                <w:szCs w:val="21"/>
              </w:rPr>
              <w:t>2</w:t>
            </w:r>
            <w:r>
              <w:rPr>
                <w:rFonts w:ascii="仿宋" w:hAnsi="仿宋" w:eastAsia="仿宋" w:cs="仿宋_GB2312"/>
                <w:kern w:val="0"/>
                <w:szCs w:val="21"/>
              </w:rPr>
              <w:t>0</w:t>
            </w:r>
            <w:r>
              <w:rPr>
                <w:rFonts w:hint="eastAsia" w:ascii="仿宋" w:hAnsi="仿宋" w:eastAsia="仿宋" w:cs="仿宋_GB2312"/>
                <w:kern w:val="0"/>
                <w:szCs w:val="21"/>
              </w:rPr>
              <w:t>分</w:t>
            </w:r>
            <w:r>
              <w:rPr>
                <w:rFonts w:ascii="仿宋" w:hAnsi="仿宋" w:eastAsia="仿宋"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37D2A779">
            <w:pPr>
              <w:widowControl/>
              <w:spacing w:line="240" w:lineRule="exact"/>
              <w:jc w:val="left"/>
              <w:rPr>
                <w:rFonts w:ascii="仿宋" w:hAnsi="仿宋" w:eastAsia="仿宋" w:cs="仿宋_GB2312"/>
                <w:kern w:val="0"/>
                <w:szCs w:val="21"/>
              </w:rPr>
            </w:pPr>
          </w:p>
          <w:p w14:paraId="5CAD768A">
            <w:pPr>
              <w:widowControl/>
              <w:spacing w:line="240" w:lineRule="exact"/>
              <w:jc w:val="left"/>
              <w:rPr>
                <w:rFonts w:ascii="仿宋" w:hAnsi="仿宋" w:eastAsia="仿宋" w:cs="仿宋_GB2312"/>
                <w:kern w:val="0"/>
                <w:szCs w:val="21"/>
              </w:rPr>
            </w:pPr>
            <w:r>
              <w:rPr>
                <w:rFonts w:hint="eastAsia" w:ascii="仿宋" w:hAnsi="仿宋" w:eastAsia="仿宋" w:cs="仿宋_GB2312"/>
                <w:kern w:val="0"/>
                <w:szCs w:val="21"/>
              </w:rPr>
              <w:t>履职效益情况</w:t>
            </w:r>
          </w:p>
          <w:p w14:paraId="4239AD62">
            <w:pPr>
              <w:widowControl/>
              <w:spacing w:line="240" w:lineRule="exact"/>
              <w:jc w:val="left"/>
              <w:rPr>
                <w:rFonts w:ascii="仿宋" w:hAnsi="仿宋" w:eastAsia="仿宋" w:cs="仿宋_GB2312"/>
                <w:kern w:val="0"/>
                <w:szCs w:val="21"/>
              </w:rPr>
            </w:pPr>
            <w:r>
              <w:rPr>
                <w:rFonts w:ascii="仿宋" w:hAnsi="仿宋" w:eastAsia="仿宋" w:cs="仿宋_GB2312"/>
                <w:kern w:val="0"/>
                <w:szCs w:val="21"/>
              </w:rPr>
              <w:t>（</w:t>
            </w:r>
            <w:r>
              <w:rPr>
                <w:rFonts w:hint="eastAsia" w:ascii="仿宋" w:hAnsi="仿宋" w:eastAsia="仿宋" w:cs="仿宋_GB2312"/>
                <w:kern w:val="0"/>
                <w:szCs w:val="21"/>
              </w:rPr>
              <w:t>20分</w:t>
            </w:r>
            <w:r>
              <w:rPr>
                <w:rFonts w:ascii="仿宋" w:hAnsi="仿宋" w:eastAsia="仿宋"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2D2E9C70">
            <w:pPr>
              <w:widowControl/>
              <w:spacing w:line="240" w:lineRule="exact"/>
              <w:jc w:val="left"/>
              <w:rPr>
                <w:rFonts w:ascii="仿宋" w:hAnsi="仿宋" w:eastAsia="仿宋" w:cs="仿宋_GB2312"/>
                <w:color w:val="000000"/>
                <w:kern w:val="0"/>
                <w:szCs w:val="21"/>
              </w:rPr>
            </w:pPr>
            <w:r>
              <w:rPr>
                <w:rFonts w:hint="eastAsia" w:ascii="仿宋" w:hAnsi="仿宋" w:eastAsia="仿宋" w:cs="仿宋_GB2312"/>
                <w:color w:val="000000"/>
                <w:kern w:val="0"/>
                <w:szCs w:val="21"/>
              </w:rPr>
              <w:t>经济效益</w:t>
            </w:r>
          </w:p>
          <w:p w14:paraId="3CF1E4AD">
            <w:pPr>
              <w:widowControl/>
              <w:spacing w:line="240" w:lineRule="exact"/>
              <w:jc w:val="left"/>
              <w:rPr>
                <w:rFonts w:ascii="仿宋" w:hAnsi="仿宋" w:eastAsia="仿宋"/>
                <w:szCs w:val="21"/>
              </w:rPr>
            </w:pPr>
            <w:r>
              <w:rPr>
                <w:rFonts w:ascii="仿宋" w:hAnsi="仿宋" w:eastAsia="仿宋" w:cs="仿宋_GB2312"/>
                <w:kern w:val="0"/>
                <w:szCs w:val="21"/>
              </w:rPr>
              <w:t>（5</w:t>
            </w:r>
            <w:r>
              <w:rPr>
                <w:rFonts w:hint="eastAsia" w:ascii="仿宋" w:hAnsi="仿宋" w:eastAsia="仿宋" w:cs="仿宋_GB2312"/>
                <w:kern w:val="0"/>
                <w:szCs w:val="21"/>
              </w:rPr>
              <w:t>分</w:t>
            </w:r>
            <w:r>
              <w:rPr>
                <w:rFonts w:ascii="仿宋" w:hAnsi="仿宋" w:eastAsia="仿宋"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F4DE6EB">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75926D47">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50A57517">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486F658F">
            <w:pPr>
              <w:widowControl/>
              <w:spacing w:line="240" w:lineRule="exact"/>
              <w:jc w:val="left"/>
              <w:rPr>
                <w:rFonts w:ascii="仿宋" w:hAnsi="仿宋" w:eastAsia="仿宋"/>
                <w:szCs w:val="21"/>
              </w:rPr>
            </w:pPr>
            <w:r>
              <w:rPr>
                <w:rFonts w:hint="eastAsia" w:ascii="仿宋" w:hAnsi="仿宋" w:eastAsia="仿宋"/>
                <w:szCs w:val="21"/>
              </w:rPr>
              <w:t>5</w:t>
            </w:r>
          </w:p>
        </w:tc>
      </w:tr>
      <w:tr w14:paraId="4D0AF2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166FB743">
            <w:pPr>
              <w:widowControl/>
              <w:spacing w:line="240" w:lineRule="exact"/>
              <w:jc w:val="left"/>
              <w:rPr>
                <w:rFonts w:ascii="仿宋" w:hAnsi="仿宋" w:eastAsia="仿宋" w:cs="仿宋_GB2312"/>
                <w:kern w:val="0"/>
                <w:szCs w:val="21"/>
              </w:rPr>
            </w:pPr>
          </w:p>
        </w:tc>
        <w:tc>
          <w:tcPr>
            <w:tcW w:w="851" w:type="dxa"/>
            <w:vMerge w:val="continue"/>
            <w:tcBorders>
              <w:left w:val="single" w:color="000000" w:sz="4" w:space="0"/>
              <w:right w:val="single" w:color="000000" w:sz="4" w:space="0"/>
            </w:tcBorders>
            <w:vAlign w:val="center"/>
          </w:tcPr>
          <w:p w14:paraId="2DC986A7">
            <w:pPr>
              <w:widowControl/>
              <w:spacing w:line="240" w:lineRule="exact"/>
              <w:jc w:val="left"/>
              <w:rPr>
                <w:rFonts w:ascii="仿宋" w:hAnsi="仿宋" w:eastAsia="仿宋"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A11C3F4">
            <w:pPr>
              <w:widowControl/>
              <w:spacing w:line="240" w:lineRule="exact"/>
              <w:rPr>
                <w:rFonts w:ascii="仿宋" w:hAnsi="仿宋" w:eastAsia="仿宋" w:cs="仿宋_GB2312"/>
                <w:color w:val="000000"/>
                <w:kern w:val="0"/>
                <w:szCs w:val="21"/>
              </w:rPr>
            </w:pPr>
            <w:r>
              <w:rPr>
                <w:rFonts w:hint="eastAsia" w:ascii="仿宋" w:hAnsi="仿宋" w:eastAsia="仿宋" w:cs="仿宋_GB2312"/>
                <w:color w:val="000000"/>
                <w:kern w:val="0"/>
                <w:szCs w:val="21"/>
              </w:rPr>
              <w:t>社会效益</w:t>
            </w:r>
          </w:p>
          <w:p w14:paraId="1093136F">
            <w:pPr>
              <w:widowControl/>
              <w:spacing w:line="240" w:lineRule="exact"/>
              <w:rPr>
                <w:rFonts w:ascii="仿宋" w:hAnsi="仿宋" w:eastAsia="仿宋" w:cs="仿宋_GB2312"/>
                <w:color w:val="000000"/>
                <w:kern w:val="0"/>
                <w:szCs w:val="21"/>
              </w:rPr>
            </w:pPr>
            <w:r>
              <w:rPr>
                <w:rFonts w:hint="eastAsia" w:ascii="仿宋" w:hAnsi="仿宋" w:eastAsia="仿宋"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55A6E0FE">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08AD74E6">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61D59B4E">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2B6115EE">
            <w:pPr>
              <w:widowControl/>
              <w:spacing w:line="240" w:lineRule="exact"/>
              <w:jc w:val="left"/>
              <w:rPr>
                <w:rFonts w:ascii="仿宋" w:hAnsi="仿宋" w:eastAsia="仿宋"/>
                <w:szCs w:val="21"/>
              </w:rPr>
            </w:pPr>
            <w:r>
              <w:rPr>
                <w:rFonts w:hint="eastAsia" w:ascii="仿宋" w:hAnsi="仿宋" w:eastAsia="仿宋"/>
                <w:szCs w:val="21"/>
              </w:rPr>
              <w:t>5</w:t>
            </w:r>
          </w:p>
        </w:tc>
      </w:tr>
      <w:tr w14:paraId="09C124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0F8E82C2">
            <w:pPr>
              <w:widowControl/>
              <w:spacing w:line="240" w:lineRule="exact"/>
              <w:jc w:val="left"/>
              <w:rPr>
                <w:rFonts w:ascii="仿宋" w:hAnsi="仿宋" w:eastAsia="仿宋" w:cs="仿宋_GB2312"/>
                <w:kern w:val="0"/>
                <w:szCs w:val="21"/>
              </w:rPr>
            </w:pPr>
          </w:p>
        </w:tc>
        <w:tc>
          <w:tcPr>
            <w:tcW w:w="851" w:type="dxa"/>
            <w:vMerge w:val="continue"/>
            <w:tcBorders>
              <w:left w:val="single" w:color="000000" w:sz="4" w:space="0"/>
              <w:right w:val="single" w:color="000000" w:sz="4" w:space="0"/>
            </w:tcBorders>
            <w:vAlign w:val="center"/>
          </w:tcPr>
          <w:p w14:paraId="04847EA3">
            <w:pPr>
              <w:widowControl/>
              <w:spacing w:line="240" w:lineRule="exact"/>
              <w:jc w:val="left"/>
              <w:rPr>
                <w:rFonts w:ascii="仿宋" w:hAnsi="仿宋" w:eastAsia="仿宋"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5923ADB">
            <w:pPr>
              <w:widowControl/>
              <w:spacing w:line="240" w:lineRule="exact"/>
              <w:jc w:val="left"/>
              <w:rPr>
                <w:rFonts w:ascii="仿宋" w:hAnsi="仿宋" w:eastAsia="仿宋" w:cs="仿宋_GB2312"/>
                <w:color w:val="000000"/>
                <w:kern w:val="0"/>
                <w:szCs w:val="21"/>
              </w:rPr>
            </w:pPr>
            <w:r>
              <w:rPr>
                <w:rFonts w:hint="eastAsia" w:ascii="仿宋" w:hAnsi="仿宋" w:eastAsia="仿宋" w:cs="仿宋_GB2312"/>
                <w:color w:val="000000"/>
                <w:kern w:val="0"/>
                <w:szCs w:val="21"/>
              </w:rPr>
              <w:t>生态效益</w:t>
            </w:r>
          </w:p>
          <w:p w14:paraId="2AF2E0A5">
            <w:pPr>
              <w:widowControl/>
              <w:spacing w:line="240" w:lineRule="exact"/>
              <w:jc w:val="left"/>
              <w:rPr>
                <w:rFonts w:ascii="仿宋" w:hAnsi="仿宋" w:eastAsia="仿宋" w:cs="仿宋_GB2312"/>
                <w:color w:val="000000"/>
                <w:kern w:val="0"/>
                <w:szCs w:val="21"/>
              </w:rPr>
            </w:pPr>
            <w:r>
              <w:rPr>
                <w:rFonts w:hint="eastAsia" w:ascii="仿宋" w:hAnsi="仿宋" w:eastAsia="仿宋"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3031F812">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16FC2D6A">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471ECB64">
            <w:pPr>
              <w:widowControl/>
              <w:spacing w:line="240" w:lineRule="exact"/>
              <w:jc w:val="left"/>
              <w:textAlignment w:val="center"/>
              <w:rPr>
                <w:rFonts w:ascii="仿宋" w:hAnsi="仿宋" w:eastAsia="仿宋"/>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33D2D35">
            <w:pPr>
              <w:widowControl/>
              <w:spacing w:line="240" w:lineRule="exact"/>
              <w:jc w:val="left"/>
              <w:rPr>
                <w:rFonts w:ascii="仿宋" w:hAnsi="仿宋" w:eastAsia="仿宋"/>
                <w:szCs w:val="21"/>
              </w:rPr>
            </w:pPr>
            <w:r>
              <w:rPr>
                <w:rFonts w:hint="eastAsia" w:ascii="仿宋" w:hAnsi="仿宋" w:eastAsia="仿宋"/>
                <w:szCs w:val="21"/>
              </w:rPr>
              <w:t>5</w:t>
            </w:r>
          </w:p>
        </w:tc>
      </w:tr>
      <w:tr w14:paraId="73D598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BB10F59">
            <w:pPr>
              <w:spacing w:line="240" w:lineRule="exact"/>
              <w:rPr>
                <w:rFonts w:ascii="仿宋" w:hAnsi="仿宋" w:eastAsia="仿宋"/>
                <w:szCs w:val="21"/>
              </w:rPr>
            </w:pPr>
          </w:p>
        </w:tc>
        <w:tc>
          <w:tcPr>
            <w:tcW w:w="851" w:type="dxa"/>
            <w:vMerge w:val="continue"/>
            <w:tcBorders>
              <w:left w:val="single" w:color="000000" w:sz="4" w:space="0"/>
              <w:right w:val="single" w:color="000000" w:sz="4" w:space="0"/>
            </w:tcBorders>
            <w:vAlign w:val="center"/>
          </w:tcPr>
          <w:p w14:paraId="20009CA7">
            <w:pPr>
              <w:widowControl/>
              <w:spacing w:line="240" w:lineRule="exact"/>
              <w:jc w:val="left"/>
              <w:rPr>
                <w:rFonts w:ascii="仿宋" w:hAnsi="仿宋" w:eastAsia="仿宋"/>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2032BF2">
            <w:pPr>
              <w:widowControl/>
              <w:spacing w:line="240" w:lineRule="exact"/>
              <w:jc w:val="left"/>
              <w:rPr>
                <w:rFonts w:ascii="仿宋" w:hAnsi="仿宋" w:eastAsia="仿宋"/>
                <w:szCs w:val="21"/>
              </w:rPr>
            </w:pPr>
            <w:r>
              <w:rPr>
                <w:rFonts w:hint="eastAsia" w:ascii="仿宋" w:hAnsi="仿宋" w:eastAsia="仿宋" w:cs="仿宋_GB2312"/>
                <w:kern w:val="0"/>
                <w:szCs w:val="21"/>
              </w:rPr>
              <w:t>服务对象</w:t>
            </w:r>
            <w:r>
              <w:rPr>
                <w:rFonts w:ascii="仿宋" w:hAnsi="仿宋" w:eastAsia="仿宋"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0B102D20">
            <w:pPr>
              <w:widowControl/>
              <w:pBdr>
                <w:top w:val="none" w:color="000000" w:sz="0" w:space="0"/>
                <w:left w:val="none" w:color="000000" w:sz="0" w:space="0"/>
                <w:bottom w:val="none" w:color="000000" w:sz="0" w:space="0"/>
                <w:right w:val="none" w:color="000000" w:sz="0" w:space="0"/>
              </w:pBdr>
              <w:spacing w:line="240" w:lineRule="exact"/>
              <w:jc w:val="left"/>
              <w:rPr>
                <w:rFonts w:ascii="仿宋" w:hAnsi="仿宋" w:eastAsia="仿宋"/>
                <w:szCs w:val="21"/>
              </w:rPr>
            </w:pPr>
            <w:r>
              <w:rPr>
                <w:rFonts w:hint="eastAsia" w:ascii="仿宋" w:hAnsi="仿宋" w:eastAsia="仿宋"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22ECC65D">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15089DD9">
            <w:pPr>
              <w:widowControl/>
              <w:spacing w:line="240" w:lineRule="exact"/>
              <w:rPr>
                <w:rFonts w:ascii="仿宋" w:hAnsi="仿宋" w:eastAsia="仿宋"/>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6DDA8A6A">
            <w:pPr>
              <w:widowControl/>
              <w:spacing w:line="240" w:lineRule="exact"/>
              <w:jc w:val="left"/>
              <w:rPr>
                <w:rFonts w:ascii="仿宋" w:hAnsi="仿宋" w:eastAsia="仿宋"/>
                <w:szCs w:val="21"/>
              </w:rPr>
            </w:pPr>
            <w:r>
              <w:rPr>
                <w:rFonts w:hint="eastAsia" w:ascii="仿宋" w:hAnsi="仿宋" w:eastAsia="仿宋"/>
                <w:szCs w:val="21"/>
              </w:rPr>
              <w:t>5</w:t>
            </w:r>
          </w:p>
        </w:tc>
      </w:tr>
    </w:tbl>
    <w:p w14:paraId="1A690D70">
      <w:pPr>
        <w:widowControl/>
        <w:spacing w:line="480" w:lineRule="exact"/>
        <w:jc w:val="left"/>
        <w:rPr>
          <w:rFonts w:ascii="仿宋" w:hAnsi="仿宋" w:eastAsia="仿宋" w:cs="仿宋"/>
          <w:kern w:val="0"/>
          <w:szCs w:val="21"/>
          <w:shd w:val="clear" w:color="auto" w:fill="FFFFFF"/>
        </w:rPr>
      </w:pPr>
    </w:p>
    <w:p w14:paraId="330FAD70">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2D6D1E4D">
      <w:pPr>
        <w:rPr>
          <w:rFonts w:ascii="黑体" w:hAnsi="黑体" w:eastAsia="黑体" w:cs="黑体"/>
          <w:b/>
          <w:bCs/>
          <w:sz w:val="30"/>
          <w:szCs w:val="30"/>
        </w:rPr>
      </w:pPr>
    </w:p>
    <w:p w14:paraId="06F74501">
      <w:pPr>
        <w:rPr>
          <w:rFonts w:ascii="黑体" w:hAnsi="黑体" w:eastAsia="黑体" w:cs="黑体"/>
          <w:b/>
          <w:bCs/>
          <w:sz w:val="30"/>
          <w:szCs w:val="30"/>
        </w:rPr>
      </w:pPr>
    </w:p>
    <w:p w14:paraId="73DFE689">
      <w:pPr>
        <w:rPr>
          <w:rFonts w:ascii="黑体" w:hAnsi="黑体" w:eastAsia="黑体" w:cs="黑体"/>
          <w:b/>
          <w:bCs/>
          <w:sz w:val="30"/>
          <w:szCs w:val="30"/>
        </w:rPr>
      </w:pPr>
    </w:p>
    <w:p w14:paraId="5FF2207E">
      <w:pPr>
        <w:rPr>
          <w:rFonts w:ascii="黑体" w:hAnsi="黑体" w:eastAsia="黑体" w:cs="黑体"/>
          <w:b/>
          <w:bCs/>
          <w:sz w:val="30"/>
          <w:szCs w:val="30"/>
        </w:rPr>
      </w:pPr>
    </w:p>
    <w:p w14:paraId="5AFB0475">
      <w:pPr>
        <w:rPr>
          <w:rFonts w:ascii="黑体" w:hAnsi="黑体" w:eastAsia="黑体" w:cs="黑体"/>
          <w:b/>
          <w:bCs/>
          <w:sz w:val="30"/>
          <w:szCs w:val="30"/>
        </w:rPr>
      </w:pPr>
    </w:p>
    <w:p w14:paraId="5962595A">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隆尧县农业农村局</w:t>
      </w:r>
    </w:p>
    <w:p w14:paraId="519DE5CF">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5A97F58F">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625406DF">
      <w:pPr>
        <w:adjustRightInd w:val="0"/>
        <w:ind w:firstLine="640" w:firstLineChars="200"/>
        <w:rPr>
          <w:rFonts w:ascii="仿宋" w:hAnsi="仿宋" w:eastAsia="仿宋" w:cs="仿宋"/>
          <w:sz w:val="32"/>
          <w:szCs w:val="32"/>
        </w:rPr>
      </w:pPr>
      <w:r>
        <w:rPr>
          <w:rFonts w:hint="eastAsia" w:ascii="仿宋" w:hAnsi="仿宋" w:eastAsia="仿宋" w:cs="仿宋"/>
          <w:sz w:val="32"/>
          <w:szCs w:val="32"/>
        </w:rPr>
        <w:t>(一)部门主要职责职能和部门组织架构</w:t>
      </w:r>
    </w:p>
    <w:p w14:paraId="6377EBA1">
      <w:pPr>
        <w:pStyle w:val="20"/>
        <w:rPr>
          <w:rFonts w:ascii="仿宋" w:hAnsi="仿宋" w:eastAsia="仿宋"/>
          <w:sz w:val="32"/>
          <w:szCs w:val="32"/>
        </w:rPr>
      </w:pPr>
      <w:r>
        <w:rPr>
          <w:rFonts w:ascii="仿宋" w:hAnsi="仿宋" w:eastAsia="仿宋"/>
          <w:sz w:val="32"/>
          <w:szCs w:val="32"/>
        </w:rPr>
        <w:t>1．主要职责：</w:t>
      </w:r>
    </w:p>
    <w:p w14:paraId="5446BD68">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1</w:t>
      </w:r>
      <w:r>
        <w:rPr>
          <w:rFonts w:ascii="仿宋" w:hAnsi="仿宋" w:eastAsia="仿宋"/>
          <w:sz w:val="32"/>
          <w:szCs w:val="32"/>
        </w:rPr>
        <w:t>）统筹研究和组织实施全县“三农”工作的发展战略、中长期规划、重大政策。</w:t>
      </w:r>
    </w:p>
    <w:p w14:paraId="2AA64AE7">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2</w:t>
      </w:r>
      <w:r>
        <w:rPr>
          <w:rFonts w:ascii="仿宋" w:hAnsi="仿宋" w:eastAsia="仿宋"/>
          <w:sz w:val="32"/>
          <w:szCs w:val="32"/>
        </w:rPr>
        <w:t>）协调推动发展全县农村社会事业、农村公共服务、农村文化、农村基础设施和乡村治理。牵头组织改善农村人居环境。协调推进乡村文明和优秀农耕文化建设。指导农业行业安全生产工作。</w:t>
      </w:r>
    </w:p>
    <w:p w14:paraId="51DA470A">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3</w:t>
      </w:r>
      <w:r>
        <w:rPr>
          <w:rFonts w:ascii="仿宋" w:hAnsi="仿宋" w:eastAsia="仿宋"/>
          <w:sz w:val="32"/>
          <w:szCs w:val="32"/>
        </w:rPr>
        <w:t>）拟订县级深化农村经济体制改革和巩固完善农村基本经营制度的政策。负责农民承包地、农村宅基地改革和管理有关工作。负责农村集体产权制度改革，指导农村集体经济组织发展和集体资产管理工作。指导农民合作经济组织、农业社会化服务体系、新型农业经营主体建设与发展。</w:t>
      </w:r>
    </w:p>
    <w:p w14:paraId="278F2FB3">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4</w:t>
      </w:r>
      <w:r>
        <w:rPr>
          <w:rFonts w:ascii="仿宋" w:hAnsi="仿宋" w:eastAsia="仿宋"/>
          <w:sz w:val="32"/>
          <w:szCs w:val="32"/>
        </w:rPr>
        <w:t>）指导全县乡村产业、农产品加工业和休闲农业发展工作。提出促进大宗农产品流通的建议，培育、保护农业品牌。发布农业农村经济信息，监测分析农业农村经济运行。承担农业统计和农业农村信息化有关工作。</w:t>
      </w:r>
    </w:p>
    <w:p w14:paraId="081CFBF5">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5</w:t>
      </w:r>
      <w:r>
        <w:rPr>
          <w:rFonts w:ascii="仿宋" w:hAnsi="仿宋" w:eastAsia="仿宋"/>
          <w:sz w:val="32"/>
          <w:szCs w:val="32"/>
        </w:rPr>
        <w:t>）负责全县种植业、畜牧业、渔业、农垦、农业机械化等农业各产业的监督管理。指导粮、棉、油、菜、果、肉、蛋、奶、蜜、渔等农产品生产。组织构建现代农业产业体系、生产体系、经营体系，指导农业标准化生产。</w:t>
      </w:r>
    </w:p>
    <w:p w14:paraId="0D28F068">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6</w:t>
      </w:r>
      <w:r>
        <w:rPr>
          <w:rFonts w:ascii="仿宋" w:hAnsi="仿宋" w:eastAsia="仿宋"/>
          <w:sz w:val="32"/>
          <w:szCs w:val="32"/>
        </w:rPr>
        <w:t>）负责全县农产品质量安全监督管理。组织开展农产品质量安全监测、追湖、风险评估和监督抽查。参与制定农产品质量安全地方标准并会同有关部门组织实施。指导农业检验监测体系建设。</w:t>
      </w:r>
    </w:p>
    <w:p w14:paraId="3C3B3772">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7</w:t>
      </w:r>
      <w:r>
        <w:rPr>
          <w:rFonts w:ascii="仿宋" w:hAnsi="仿宋" w:eastAsia="仿宋"/>
          <w:sz w:val="32"/>
          <w:szCs w:val="32"/>
        </w:rPr>
        <w:t>）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0D691732">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8</w:t>
      </w:r>
      <w:r>
        <w:rPr>
          <w:rFonts w:ascii="仿宋" w:hAnsi="仿宋" w:eastAsia="仿宋"/>
          <w:sz w:val="32"/>
          <w:szCs w:val="32"/>
        </w:rPr>
        <w:t>）负责有关农业生产资料和农业投入品的监督管理。组织农业生产资料市场体系建设，拟订有关农业生产资料县级标准并监督实施。制定兽药残留限量和残留检测方法县级</w:t>
      </w:r>
    </w:p>
    <w:p w14:paraId="45B6A03D">
      <w:pPr>
        <w:pStyle w:val="20"/>
        <w:rPr>
          <w:rFonts w:ascii="仿宋" w:hAnsi="仿宋" w:eastAsia="仿宋"/>
          <w:sz w:val="32"/>
          <w:szCs w:val="32"/>
        </w:rPr>
      </w:pPr>
      <w:r>
        <w:rPr>
          <w:rFonts w:ascii="仿宋" w:hAnsi="仿宋" w:eastAsia="仿宋"/>
          <w:sz w:val="32"/>
          <w:szCs w:val="32"/>
        </w:rPr>
        <w:t>标准并按规定发布。组织兽医医政、兽药药政药检工作，负责执业兽医和畜禽屠宰行业管理。</w:t>
      </w:r>
    </w:p>
    <w:p w14:paraId="45713B4B">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9</w:t>
      </w:r>
      <w:r>
        <w:rPr>
          <w:rFonts w:ascii="仿宋" w:hAnsi="仿宋" w:eastAsia="仿宋"/>
          <w:sz w:val="32"/>
          <w:szCs w:val="32"/>
        </w:rPr>
        <w:t>）负责农业防灾减灾、农作物重大病虫害预测预报及防治工作。指导动植物防疫检疫体系建设，组织、监督县内动植物防疫检疫工作，依法发布疫情并组织扑灭。</w:t>
      </w:r>
    </w:p>
    <w:p w14:paraId="5703EE65">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10</w:t>
      </w:r>
      <w:r>
        <w:rPr>
          <w:rFonts w:ascii="仿宋" w:hAnsi="仿宋" w:eastAsia="仿宋"/>
          <w:sz w:val="32"/>
          <w:szCs w:val="32"/>
        </w:rPr>
        <w:t>）负责农业投资管理。提出农业投融资体制机制改革建议。编制县级投资安排的农业投资项目建设规划，提出农业投资规模和方向、扶持农业农村发展财政项目的建议，按规定权限审批农业投资项目，负责农业投资项目资金安排</w:t>
      </w:r>
    </w:p>
    <w:p w14:paraId="2D28AA82">
      <w:pPr>
        <w:pStyle w:val="20"/>
        <w:rPr>
          <w:rFonts w:ascii="仿宋" w:hAnsi="仿宋" w:eastAsia="仿宋"/>
          <w:sz w:val="32"/>
          <w:szCs w:val="32"/>
        </w:rPr>
      </w:pPr>
      <w:r>
        <w:rPr>
          <w:rFonts w:ascii="仿宋" w:hAnsi="仿宋" w:eastAsia="仿宋"/>
          <w:sz w:val="32"/>
          <w:szCs w:val="32"/>
        </w:rPr>
        <w:t>和监督管理。</w:t>
      </w:r>
    </w:p>
    <w:p w14:paraId="7F72814D">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11</w:t>
      </w:r>
      <w:r>
        <w:rPr>
          <w:rFonts w:ascii="仿宋" w:hAnsi="仿宋" w:eastAsia="仿宋"/>
          <w:sz w:val="32"/>
          <w:szCs w:val="32"/>
        </w:rPr>
        <w:t>）推动农业科技体制改革和农业科技创新体系建设。指导农业产业技术体系和农技推广体系建设，组织开展农业领城的高新技术和应用技术研究、科技成果转化和技术推广。负责农业转基因生物安全监督管理和农业植物新品种保护。</w:t>
      </w:r>
    </w:p>
    <w:p w14:paraId="6086C405">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12</w:t>
      </w:r>
      <w:r>
        <w:rPr>
          <w:rFonts w:ascii="仿宋" w:hAnsi="仿宋" w:eastAsia="仿宋"/>
          <w:sz w:val="32"/>
          <w:szCs w:val="32"/>
        </w:rPr>
        <w:t>）指导农业农村人才工作。拟订农业农村人才队伍建设规划并组织实施，指导农业教育和农业职业技能开发指导新型职业农民培育、农业科技人才培养和农村实用人才培训工作。</w:t>
      </w:r>
    </w:p>
    <w:p w14:paraId="7645F51F">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13</w:t>
      </w:r>
      <w:r>
        <w:rPr>
          <w:rFonts w:ascii="仿宋" w:hAnsi="仿宋" w:eastAsia="仿宋"/>
          <w:sz w:val="32"/>
          <w:szCs w:val="32"/>
        </w:rPr>
        <w:t>）牵头开展农业对外合作工作。承办政府间农业涉外事务，组织开展对外农业贸易和有关国际交流合作，具体执行有关农业援外项目。</w:t>
      </w:r>
    </w:p>
    <w:p w14:paraId="17416CE5">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14</w:t>
      </w:r>
      <w:r>
        <w:rPr>
          <w:rFonts w:ascii="仿宋" w:hAnsi="仿宋" w:eastAsia="仿宋"/>
          <w:sz w:val="32"/>
          <w:szCs w:val="32"/>
        </w:rPr>
        <w:t>）完成县委、县政府和县委农村工作领导小组交办的其他任务。</w:t>
      </w:r>
    </w:p>
    <w:p w14:paraId="70F6D61B">
      <w:pPr>
        <w:pStyle w:val="2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eastAsia="zh-CN"/>
        </w:rPr>
        <w:t>15</w:t>
      </w:r>
      <w:r>
        <w:rPr>
          <w:rFonts w:ascii="仿宋" w:hAnsi="仿宋" w:eastAsia="仿宋"/>
          <w:sz w:val="32"/>
          <w:szCs w:val="32"/>
        </w:rPr>
        <w:t>）按照《中共隆尧县委机构编制委员会关于调整县扶贫工作机构设置的通知》（隆机编【2021】5号）文件精神，将县民政局（县扶贫开发办公室）的扶贫工作职责调整到县农业农</w:t>
      </w:r>
      <w:r>
        <w:rPr>
          <w:rFonts w:hint="eastAsia" w:ascii="仿宋" w:hAnsi="仿宋" w:eastAsia="仿宋"/>
          <w:sz w:val="32"/>
          <w:szCs w:val="32"/>
          <w:lang w:eastAsia="zh-CN"/>
        </w:rPr>
        <w:t>村</w:t>
      </w:r>
      <w:r>
        <w:rPr>
          <w:rFonts w:ascii="仿宋" w:hAnsi="仿宋" w:eastAsia="仿宋"/>
          <w:sz w:val="32"/>
          <w:szCs w:val="32"/>
        </w:rPr>
        <w:t>局，在县农业农村局加挂“隆尧县乡村振兴局”牌子。</w:t>
      </w:r>
    </w:p>
    <w:p w14:paraId="3BF05BA2">
      <w:pPr>
        <w:pStyle w:val="20"/>
      </w:pPr>
    </w:p>
    <w:p w14:paraId="2BD4EA36">
      <w:pPr>
        <w:adjustRightInd w:val="0"/>
        <w:rPr>
          <w:rFonts w:ascii="仿宋" w:hAnsi="仿宋" w:eastAsia="仿宋" w:cs="仿宋"/>
          <w:sz w:val="32"/>
          <w:szCs w:val="32"/>
        </w:rPr>
      </w:pPr>
    </w:p>
    <w:p w14:paraId="4FF9398A">
      <w:pPr>
        <w:adjustRightInd w:val="0"/>
        <w:spacing w:line="600" w:lineRule="exact"/>
        <w:ind w:firstLine="320" w:firstLineChars="100"/>
        <w:rPr>
          <w:rFonts w:ascii="仿宋" w:hAnsi="仿宋" w:eastAsia="仿宋" w:cs="仿宋"/>
          <w:sz w:val="32"/>
          <w:szCs w:val="32"/>
        </w:rPr>
      </w:pPr>
      <w:r>
        <w:rPr>
          <w:rFonts w:hint="eastAsia" w:ascii="仿宋" w:hAnsi="仿宋" w:eastAsia="仿宋" w:cs="仿宋"/>
          <w:sz w:val="32"/>
          <w:szCs w:val="32"/>
        </w:rPr>
        <w:t>（二）人员及资产情况。</w:t>
      </w:r>
    </w:p>
    <w:p w14:paraId="03041074">
      <w:pPr>
        <w:snapToGrid w:val="0"/>
        <w:spacing w:line="520"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农业农村局机关行政编制36名、股级领导职数16名、事业编制102名，在职人员106名、离退休人员138名。</w:t>
      </w:r>
    </w:p>
    <w:p w14:paraId="25E85A8F">
      <w:pPr>
        <w:snapToGrid w:val="0"/>
        <w:spacing w:line="520"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2021年资产主要变动为，银行存款增加</w:t>
      </w:r>
      <w:r>
        <w:rPr>
          <w:rFonts w:ascii="仿宋" w:hAnsi="仿宋" w:eastAsia="仿宋" w:cs="Times New Roman"/>
          <w:sz w:val="32"/>
          <w:szCs w:val="32"/>
        </w:rPr>
        <w:t>1957973.60</w:t>
      </w:r>
      <w:r>
        <w:rPr>
          <w:rFonts w:hint="eastAsia" w:ascii="仿宋" w:hAnsi="仿宋" w:eastAsia="仿宋" w:cs="Times New Roman"/>
          <w:sz w:val="32"/>
          <w:szCs w:val="32"/>
        </w:rPr>
        <w:t>元，主要是扶贫风险补偿金转入风险补偿金银行专户，另有部分项目资金需要明年继续使用转入基本户；财政应返还额度</w:t>
      </w:r>
      <w:r>
        <w:rPr>
          <w:rFonts w:ascii="仿宋" w:hAnsi="仿宋" w:eastAsia="仿宋" w:cs="Times New Roman"/>
          <w:sz w:val="32"/>
          <w:szCs w:val="32"/>
        </w:rPr>
        <w:t>3264843.81</w:t>
      </w:r>
      <w:r>
        <w:rPr>
          <w:rFonts w:hint="eastAsia" w:ascii="仿宋" w:hAnsi="仿宋" w:eastAsia="仿宋" w:cs="Times New Roman"/>
          <w:sz w:val="32"/>
          <w:szCs w:val="32"/>
        </w:rPr>
        <w:t>元，使用3123068.75元，财政收回141775.06元；补提资产折旧</w:t>
      </w:r>
      <w:r>
        <w:rPr>
          <w:rFonts w:ascii="仿宋" w:hAnsi="仿宋" w:eastAsia="仿宋" w:cs="Times New Roman"/>
          <w:sz w:val="32"/>
          <w:szCs w:val="32"/>
        </w:rPr>
        <w:t>6346277.23</w:t>
      </w:r>
      <w:r>
        <w:rPr>
          <w:rFonts w:hint="eastAsia" w:ascii="仿宋" w:hAnsi="仿宋" w:eastAsia="仿宋" w:cs="Times New Roman"/>
          <w:sz w:val="32"/>
          <w:szCs w:val="32"/>
        </w:rPr>
        <w:t>元。</w:t>
      </w:r>
    </w:p>
    <w:p w14:paraId="63BFE88B">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（三）部门履职总体目标</w:t>
      </w:r>
    </w:p>
    <w:p w14:paraId="52400F44">
      <w:pPr>
        <w:spacing w:line="560" w:lineRule="exact"/>
        <w:ind w:firstLine="640" w:firstLineChars="200"/>
        <w:rPr>
          <w:rFonts w:ascii="仿宋" w:hAnsi="仿宋" w:eastAsia="仿宋"/>
          <w:sz w:val="32"/>
          <w:szCs w:val="32"/>
        </w:rPr>
      </w:pPr>
      <w:r>
        <w:rPr>
          <w:rFonts w:hint="eastAsia" w:ascii="仿宋" w:hAnsi="仿宋" w:eastAsia="仿宋" w:cs="楷体"/>
          <w:sz w:val="32"/>
          <w:szCs w:val="32"/>
        </w:rPr>
        <w:t>1、抓结构调整，力促农业增效农民增收</w:t>
      </w:r>
      <w:r>
        <w:rPr>
          <w:rFonts w:hint="eastAsia" w:ascii="仿宋" w:hAnsi="仿宋" w:eastAsia="仿宋" w:cs="楷体"/>
          <w:sz w:val="32"/>
          <w:szCs w:val="32"/>
          <w:shd w:val="clear" w:color="auto" w:fill="FFFFFF"/>
        </w:rPr>
        <w:t>。</w:t>
      </w:r>
      <w:r>
        <w:rPr>
          <w:rFonts w:hint="eastAsia" w:ascii="仿宋" w:hAnsi="仿宋" w:eastAsia="仿宋" w:cs="仿宋"/>
          <w:b/>
          <w:bCs/>
          <w:sz w:val="32"/>
          <w:szCs w:val="32"/>
          <w:shd w:val="clear" w:color="auto" w:fill="FFFFFF"/>
        </w:rPr>
        <w:t>一要</w:t>
      </w:r>
      <w:r>
        <w:rPr>
          <w:rFonts w:hint="eastAsia" w:ascii="仿宋" w:hAnsi="仿宋" w:eastAsia="仿宋" w:cs="仿宋"/>
          <w:sz w:val="32"/>
          <w:szCs w:val="32"/>
        </w:rPr>
        <w:t>把以“千斤粮、万元钱”为标志的农业结构调整,作为全民增收尤其是农民增收的重要举措来推动推进，积极引导，广泛宣传，压实乡镇主体责任，研究制定激励政策，调动农民群众种植积极性，以促进农业增效农民增收为目标，以高效蔬菜、羊肚菌、中药材、水果等亩产值过万元的特色产业为抓手，突出小孟甜瓜、魏庄镇麻山药、双碑乡中药材、尹村香菜等高效特色产业的示范带动作用，扩大种植面积。</w:t>
      </w:r>
      <w:r>
        <w:rPr>
          <w:rFonts w:hint="eastAsia" w:ascii="仿宋" w:hAnsi="仿宋" w:eastAsia="仿宋" w:cs="仿宋"/>
          <w:b/>
          <w:bCs/>
          <w:sz w:val="32"/>
          <w:szCs w:val="32"/>
        </w:rPr>
        <w:t>二要</w:t>
      </w:r>
      <w:r>
        <w:rPr>
          <w:rFonts w:hint="eastAsia" w:ascii="仿宋" w:hAnsi="仿宋" w:eastAsia="仿宋" w:cs="仿宋"/>
          <w:sz w:val="32"/>
          <w:szCs w:val="32"/>
        </w:rPr>
        <w:t>大力发展优质强筋小麦，种植面积达到53万亩。</w:t>
      </w:r>
      <w:r>
        <w:rPr>
          <w:rFonts w:hint="eastAsia" w:ascii="仿宋" w:hAnsi="仿宋" w:eastAsia="仿宋" w:cs="仿宋"/>
          <w:b/>
          <w:bCs/>
          <w:sz w:val="32"/>
          <w:szCs w:val="32"/>
        </w:rPr>
        <w:t>三要</w:t>
      </w:r>
      <w:r>
        <w:rPr>
          <w:rFonts w:hint="eastAsia" w:ascii="仿宋" w:hAnsi="仿宋" w:eastAsia="仿宋"/>
          <w:sz w:val="32"/>
          <w:szCs w:val="32"/>
        </w:rPr>
        <w:t>积极开展鲈鱼养殖工作，在确保明年4月份完成100亩任务的基础上，计划在我县双碑乡、尹村镇、隆尧镇等地，新增鲈鱼养殖面积达到200亩。四是加快</w:t>
      </w:r>
      <w:r>
        <w:rPr>
          <w:rFonts w:hint="eastAsia" w:ascii="仿宋" w:hAnsi="仿宋" w:eastAsia="仿宋" w:cs="仿宋"/>
          <w:sz w:val="32"/>
          <w:szCs w:val="32"/>
        </w:rPr>
        <w:t>农业产业化进程，充分发挥龙头企业的带动示范作用，大力发展订单农业，推广实施“企业+农户”“企业+合作社+农户”等模式，促进规模经营化，强化农业增效、带动农民增收。拟新增市级产业化龙头企业2家、产业化联合体1家；省级产业化龙头企业1家、产业化联合体1家。</w:t>
      </w:r>
    </w:p>
    <w:p w14:paraId="01DEA83D">
      <w:pPr>
        <w:pStyle w:val="9"/>
        <w:spacing w:line="560" w:lineRule="exact"/>
        <w:ind w:firstLine="640"/>
        <w:rPr>
          <w:rFonts w:ascii="仿宋" w:hAnsi="仿宋" w:eastAsia="仿宋" w:cs="仿宋_GB2312"/>
          <w:sz w:val="32"/>
          <w:szCs w:val="32"/>
        </w:rPr>
      </w:pPr>
      <w:r>
        <w:rPr>
          <w:rFonts w:hint="eastAsia" w:ascii="仿宋" w:hAnsi="仿宋" w:eastAsia="仿宋" w:cs="楷体"/>
          <w:sz w:val="32"/>
          <w:szCs w:val="32"/>
        </w:rPr>
        <w:t>2、抓基础建设，倾力打造高标准农田。</w:t>
      </w:r>
      <w:r>
        <w:rPr>
          <w:rFonts w:hint="eastAsia" w:ascii="仿宋" w:hAnsi="仿宋" w:eastAsia="仿宋" w:cs="仿宋_GB2312"/>
          <w:kern w:val="0"/>
          <w:sz w:val="32"/>
          <w:szCs w:val="32"/>
          <w:shd w:val="clear" w:color="auto" w:fill="FFFFFF"/>
        </w:rPr>
        <w:t>搞好2020年度</w:t>
      </w:r>
      <w:r>
        <w:rPr>
          <w:rFonts w:hint="eastAsia" w:ascii="仿宋" w:hAnsi="仿宋" w:eastAsia="仿宋" w:cs="仿宋_GB2312"/>
          <w:sz w:val="32"/>
          <w:szCs w:val="32"/>
        </w:rPr>
        <w:t>高标准农田项目建设，建设高标准农田2.1万亩(同步发展高效节水灌溉2万亩)，项目总投资3001万元，进一步提高</w:t>
      </w:r>
      <w:r>
        <w:rPr>
          <w:rFonts w:hint="eastAsia" w:ascii="仿宋" w:hAnsi="仿宋" w:eastAsia="仿宋" w:cs="仿宋"/>
          <w:bCs/>
          <w:sz w:val="32"/>
          <w:szCs w:val="32"/>
        </w:rPr>
        <w:t>农业综合生产能力。</w:t>
      </w:r>
    </w:p>
    <w:p w14:paraId="48765D3D">
      <w:pPr>
        <w:pStyle w:val="8"/>
        <w:adjustRightInd w:val="0"/>
        <w:snapToGrid w:val="0"/>
        <w:spacing w:beforeAutospacing="0" w:afterAutospacing="0" w:line="560" w:lineRule="exact"/>
        <w:ind w:firstLine="640" w:firstLineChars="200"/>
        <w:jc w:val="both"/>
        <w:rPr>
          <w:rFonts w:ascii="仿宋" w:hAnsi="仿宋" w:eastAsia="仿宋" w:cs="仿宋"/>
          <w:sz w:val="32"/>
          <w:szCs w:val="32"/>
        </w:rPr>
      </w:pPr>
      <w:r>
        <w:rPr>
          <w:rFonts w:hint="eastAsia" w:ascii="仿宋" w:hAnsi="仿宋" w:eastAsia="仿宋" w:cs="楷体"/>
          <w:sz w:val="32"/>
          <w:szCs w:val="32"/>
        </w:rPr>
        <w:t>3、抓规范提升，稳步推进土地确权。</w:t>
      </w:r>
      <w:r>
        <w:rPr>
          <w:rFonts w:hint="eastAsia" w:ascii="仿宋" w:hAnsi="仿宋" w:eastAsia="仿宋" w:cs="仿宋_GB2312"/>
          <w:sz w:val="32"/>
          <w:szCs w:val="32"/>
        </w:rPr>
        <w:t>一是加大对土地纠纷</w:t>
      </w:r>
      <w:r>
        <w:rPr>
          <w:rFonts w:hint="eastAsia" w:ascii="仿宋" w:hAnsi="仿宋" w:eastAsia="仿宋" w:cs="仿宋"/>
          <w:sz w:val="32"/>
          <w:szCs w:val="32"/>
        </w:rPr>
        <w:t>调解的指导力度，充分发挥乡镇、村调解组织的作用，积极化解农村土地纠纷，为民解忧，对一</w:t>
      </w:r>
      <w:r>
        <w:rPr>
          <w:rFonts w:hint="eastAsia" w:ascii="仿宋" w:hAnsi="仿宋" w:eastAsia="仿宋" w:cs="仿宋"/>
          <w:sz w:val="32"/>
          <w:szCs w:val="32"/>
          <w:shd w:val="clear" w:color="auto" w:fill="FFFFFF"/>
        </w:rPr>
        <w:t>些农户要求变更确权数据的，要在核实无误的基础上，积极办理，促进我县土地确权</w:t>
      </w:r>
      <w:r>
        <w:rPr>
          <w:rFonts w:hint="eastAsia" w:ascii="仿宋" w:hAnsi="仿宋" w:eastAsia="仿宋" w:cs="仿宋"/>
          <w:sz w:val="32"/>
          <w:szCs w:val="32"/>
        </w:rPr>
        <w:t>应确尽确；</w:t>
      </w:r>
      <w:r>
        <w:rPr>
          <w:rFonts w:hint="eastAsia" w:ascii="仿宋" w:hAnsi="仿宋" w:eastAsia="仿宋" w:cs="仿宋"/>
          <w:sz w:val="32"/>
          <w:szCs w:val="32"/>
          <w:shd w:val="clear" w:color="auto" w:fill="FFFFFF"/>
        </w:rPr>
        <w:t>二是</w:t>
      </w:r>
      <w:r>
        <w:rPr>
          <w:rFonts w:hint="eastAsia" w:ascii="仿宋" w:hAnsi="仿宋" w:eastAsia="仿宋" w:cs="仿宋"/>
          <w:snapToGrid w:val="0"/>
          <w:sz w:val="32"/>
          <w:szCs w:val="32"/>
          <w:shd w:val="clear" w:color="auto" w:fill="FFFFFF"/>
        </w:rPr>
        <w:t>继续与</w:t>
      </w:r>
      <w:r>
        <w:rPr>
          <w:rFonts w:hint="eastAsia" w:ascii="仿宋" w:hAnsi="仿宋" w:eastAsia="仿宋" w:cs="仿宋"/>
          <w:sz w:val="32"/>
          <w:szCs w:val="32"/>
        </w:rPr>
        <w:t>建行联合开展“地押云贷”业务，加快土地确权成果运用，以农村土地承包经营权为抵押，通过与农村产权交易系统平台数据直连，为涉农小微企业办理全流程线上融资业务，努力壮大集体经济。</w:t>
      </w:r>
    </w:p>
    <w:p w14:paraId="68B1D0C5">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楷体"/>
          <w:sz w:val="32"/>
          <w:szCs w:val="32"/>
        </w:rPr>
        <w:t>4、抓培育管理，壮大新型农业经营主体。</w:t>
      </w:r>
      <w:r>
        <w:rPr>
          <w:rFonts w:hint="eastAsia" w:ascii="仿宋" w:hAnsi="仿宋" w:eastAsia="仿宋"/>
          <w:sz w:val="32"/>
          <w:szCs w:val="32"/>
        </w:rPr>
        <w:t>开展</w:t>
      </w:r>
      <w:r>
        <w:rPr>
          <w:rFonts w:hint="eastAsia" w:ascii="仿宋" w:hAnsi="仿宋" w:eastAsia="仿宋" w:cs="仿宋"/>
          <w:sz w:val="32"/>
          <w:szCs w:val="32"/>
        </w:rPr>
        <w:t>省、市、县示范家庭农场创建，培育一批管理规范化、生产标准化、产品品牌化示范性家庭农场，推动</w:t>
      </w:r>
      <w:r>
        <w:rPr>
          <w:rFonts w:hint="eastAsia" w:ascii="仿宋" w:hAnsi="仿宋" w:eastAsia="仿宋" w:cs="仿宋"/>
          <w:snapToGrid w:val="0"/>
          <w:kern w:val="0"/>
          <w:sz w:val="32"/>
          <w:szCs w:val="32"/>
        </w:rPr>
        <w:t>农村土地适度规模经营，</w:t>
      </w:r>
      <w:r>
        <w:rPr>
          <w:rFonts w:hint="eastAsia" w:ascii="仿宋" w:hAnsi="仿宋" w:eastAsia="仿宋" w:cs="仿宋"/>
          <w:sz w:val="32"/>
          <w:szCs w:val="32"/>
          <w:shd w:val="clear" w:color="auto" w:fill="FFFFFF"/>
        </w:rPr>
        <w:t>提高农业经营规模化、组织化水平，构建新型农业经营体系，</w:t>
      </w:r>
      <w:r>
        <w:rPr>
          <w:rFonts w:hint="eastAsia" w:ascii="仿宋" w:hAnsi="仿宋" w:eastAsia="仿宋" w:cs="华文仿宋"/>
          <w:sz w:val="32"/>
          <w:szCs w:val="32"/>
        </w:rPr>
        <w:t>2021年拟</w:t>
      </w:r>
      <w:r>
        <w:rPr>
          <w:rFonts w:hint="eastAsia" w:ascii="仿宋" w:hAnsi="仿宋" w:eastAsia="仿宋" w:cs="仿宋"/>
          <w:sz w:val="32"/>
          <w:szCs w:val="32"/>
        </w:rPr>
        <w:t>新增</w:t>
      </w:r>
      <w:r>
        <w:rPr>
          <w:rFonts w:hint="eastAsia" w:ascii="仿宋" w:hAnsi="仿宋" w:eastAsia="仿宋"/>
          <w:snapToGrid w:val="0"/>
          <w:kern w:val="0"/>
          <w:sz w:val="32"/>
          <w:szCs w:val="32"/>
        </w:rPr>
        <w:t>省级示范农场3家，市级示范农场8家，</w:t>
      </w:r>
      <w:r>
        <w:rPr>
          <w:rFonts w:hint="eastAsia" w:ascii="仿宋" w:hAnsi="仿宋" w:eastAsia="仿宋" w:cs="仿宋"/>
          <w:snapToGrid w:val="0"/>
          <w:kern w:val="0"/>
          <w:sz w:val="32"/>
          <w:szCs w:val="32"/>
        </w:rPr>
        <w:t>新增省级示范合作社2家，新增市级示范社合作5家。</w:t>
      </w:r>
    </w:p>
    <w:p w14:paraId="3E0E6255">
      <w:pPr>
        <w:pStyle w:val="8"/>
        <w:adjustRightInd w:val="0"/>
        <w:snapToGrid w:val="0"/>
        <w:spacing w:beforeAutospacing="0" w:afterAutospacing="0" w:line="560" w:lineRule="exact"/>
        <w:ind w:firstLine="640" w:firstLineChars="200"/>
        <w:jc w:val="both"/>
        <w:rPr>
          <w:rFonts w:ascii="仿宋" w:hAnsi="仿宋" w:eastAsia="仿宋" w:cs="仿宋_GB2312"/>
          <w:sz w:val="32"/>
          <w:szCs w:val="32"/>
        </w:rPr>
      </w:pPr>
      <w:r>
        <w:rPr>
          <w:rFonts w:hint="eastAsia" w:ascii="仿宋" w:hAnsi="仿宋" w:eastAsia="仿宋" w:cs="楷体"/>
          <w:sz w:val="32"/>
          <w:szCs w:val="32"/>
        </w:rPr>
        <w:t>5、抓示范创建，推进乡村振兴战略实施。</w:t>
      </w:r>
      <w:r>
        <w:rPr>
          <w:rFonts w:hint="eastAsia" w:ascii="仿宋" w:hAnsi="仿宋" w:eastAsia="仿宋" w:cs="仿宋_GB2312"/>
          <w:sz w:val="32"/>
          <w:szCs w:val="32"/>
        </w:rPr>
        <w:t>充分发挥好牵总作用，加大协调力度，大力实施乡村振兴战略，持续重点打造好东方食品城和柏人城两个市级乡村振兴示范区，固城镇小孟、牛家桥乡梅庄、东良镇陈庄三个县级乡村振兴示范区。加大招商力度，加快对接争跑力度，结合我县实际和现有龙头企业在“延链补链强链”上做文章，推进以商招商产业招商，</w:t>
      </w:r>
      <w:r>
        <w:rPr>
          <w:rFonts w:hint="eastAsia" w:ascii="仿宋" w:hAnsi="仿宋" w:eastAsia="仿宋" w:cs="仿宋"/>
          <w:sz w:val="32"/>
          <w:szCs w:val="32"/>
        </w:rPr>
        <w:t>2021年拟</w:t>
      </w:r>
      <w:r>
        <w:rPr>
          <w:rFonts w:hint="eastAsia" w:ascii="仿宋" w:hAnsi="仿宋" w:eastAsia="仿宋" w:cs="仿宋_GB2312"/>
          <w:sz w:val="32"/>
          <w:szCs w:val="32"/>
        </w:rPr>
        <w:t>完成招商项目9个。</w:t>
      </w:r>
    </w:p>
    <w:p w14:paraId="1D7202AD">
      <w:pPr>
        <w:pStyle w:val="8"/>
        <w:adjustRightInd w:val="0"/>
        <w:snapToGrid w:val="0"/>
        <w:spacing w:beforeAutospacing="0" w:afterAutospacing="0" w:line="560" w:lineRule="exact"/>
        <w:ind w:firstLine="640" w:firstLineChars="200"/>
        <w:jc w:val="both"/>
        <w:rPr>
          <w:rFonts w:ascii="仿宋" w:hAnsi="仿宋" w:eastAsia="仿宋" w:cs="黑体"/>
          <w:b/>
          <w:color w:val="FF0000"/>
          <w:sz w:val="32"/>
          <w:szCs w:val="32"/>
          <w:shd w:val="clear" w:color="auto" w:fill="FFFFFF"/>
        </w:rPr>
      </w:pPr>
      <w:r>
        <w:rPr>
          <w:rFonts w:hint="eastAsia" w:ascii="仿宋" w:hAnsi="仿宋" w:eastAsia="仿宋" w:cs="黑体"/>
          <w:sz w:val="32"/>
          <w:szCs w:val="32"/>
        </w:rPr>
        <w:t>6、 “十四五</w:t>
      </w:r>
      <w:r>
        <w:rPr>
          <w:rFonts w:ascii="仿宋" w:hAnsi="仿宋" w:eastAsia="仿宋" w:cs="黑体"/>
          <w:sz w:val="32"/>
          <w:szCs w:val="32"/>
        </w:rPr>
        <w:t>”</w:t>
      </w:r>
      <w:r>
        <w:rPr>
          <w:rFonts w:hint="eastAsia" w:ascii="仿宋" w:hAnsi="仿宋" w:eastAsia="仿宋" w:cs="黑体"/>
          <w:sz w:val="32"/>
          <w:szCs w:val="32"/>
        </w:rPr>
        <w:t>重点工作谋划</w:t>
      </w:r>
    </w:p>
    <w:p w14:paraId="2D73261D">
      <w:pPr>
        <w:spacing w:line="560" w:lineRule="exact"/>
        <w:ind w:firstLine="643"/>
        <w:rPr>
          <w:rFonts w:ascii="仿宋" w:hAnsi="仿宋" w:eastAsia="仿宋" w:cs="仿宋_GB2312"/>
          <w:sz w:val="32"/>
          <w:szCs w:val="32"/>
          <w:shd w:val="clear" w:color="auto" w:fill="FFFFFF"/>
        </w:rPr>
      </w:pPr>
      <w:r>
        <w:rPr>
          <w:rFonts w:hint="eastAsia" w:ascii="仿宋" w:hAnsi="仿宋" w:eastAsia="仿宋" w:cs="楷体"/>
          <w:bCs/>
          <w:sz w:val="32"/>
          <w:szCs w:val="32"/>
          <w:shd w:val="clear" w:color="auto" w:fill="FFFFFF"/>
        </w:rPr>
        <w:t>（一）全面实施乡村振兴战略,深化农村改革。</w:t>
      </w:r>
      <w:r>
        <w:rPr>
          <w:rFonts w:ascii="仿宋" w:hAnsi="仿宋" w:eastAsia="仿宋" w:cs="仿宋_GB2312"/>
          <w:sz w:val="32"/>
          <w:szCs w:val="32"/>
          <w:shd w:val="clear" w:color="auto" w:fill="FFFFFF"/>
        </w:rPr>
        <w:t>一是加快培育农民合作社、家庭农场等新型农业经营主体，健全农业专业化社会化服务体系，发展多种形式适度规模经营，实现小农户和现代农业有机衔接。二是以农村集体产权制度改革为契机，发展壮大集体经济，为乡村发展注入强劲动力。</w:t>
      </w:r>
      <w:r>
        <w:rPr>
          <w:rFonts w:ascii="仿宋" w:hAnsi="仿宋" w:eastAsia="仿宋" w:cs="仿宋_GB2312"/>
          <w:bCs/>
          <w:sz w:val="32"/>
          <w:szCs w:val="32"/>
          <w:shd w:val="clear" w:color="auto" w:fill="FFFFFF"/>
        </w:rPr>
        <w:t>改善人居环境</w:t>
      </w:r>
      <w:r>
        <w:rPr>
          <w:rFonts w:hint="eastAsia" w:ascii="仿宋" w:hAnsi="仿宋" w:eastAsia="仿宋" w:cs="仿宋_GB2312"/>
          <w:bCs/>
          <w:sz w:val="32"/>
          <w:szCs w:val="32"/>
          <w:shd w:val="clear" w:color="auto" w:fill="FFFFFF"/>
        </w:rPr>
        <w:t>,</w:t>
      </w:r>
      <w:r>
        <w:rPr>
          <w:rFonts w:ascii="仿宋" w:hAnsi="仿宋" w:eastAsia="仿宋" w:cs="仿宋_GB2312"/>
          <w:bCs/>
          <w:sz w:val="32"/>
          <w:szCs w:val="32"/>
          <w:shd w:val="clear" w:color="auto" w:fill="FFFFFF"/>
        </w:rPr>
        <w:t>结合城镇开发边界划定、产业空间布局，以</w:t>
      </w:r>
      <w:r>
        <w:rPr>
          <w:rFonts w:ascii="仿宋" w:hAnsi="仿宋" w:eastAsia="仿宋" w:cs="仿宋_GB2312"/>
          <w:sz w:val="32"/>
          <w:szCs w:val="32"/>
          <w:shd w:val="clear" w:color="auto" w:fill="FFFFFF"/>
        </w:rPr>
        <w:t>及村庄建设用地和人口规模，划分乡村类型，稳步推进合村并居、空心村治理工作。统筹推进美丽乡村建设、人居环境治理和生态环境保护，推动形成绿色发展方式和生活方式，打造生态宜居、环境优美的新家园。</w:t>
      </w:r>
      <w:r>
        <w:rPr>
          <w:rFonts w:ascii="仿宋" w:hAnsi="仿宋" w:eastAsia="仿宋" w:cs="仿宋_GB2312"/>
          <w:bCs/>
          <w:sz w:val="32"/>
          <w:szCs w:val="32"/>
          <w:shd w:val="clear" w:color="auto" w:fill="FFFFFF"/>
        </w:rPr>
        <w:t>塑造文明乡风</w:t>
      </w:r>
      <w:r>
        <w:rPr>
          <w:rFonts w:hint="eastAsia" w:ascii="仿宋" w:hAnsi="仿宋" w:eastAsia="仿宋" w:cs="仿宋_GB2312"/>
          <w:bCs/>
          <w:sz w:val="32"/>
          <w:szCs w:val="32"/>
          <w:shd w:val="clear" w:color="auto" w:fill="FFFFFF"/>
        </w:rPr>
        <w:t>,</w:t>
      </w:r>
      <w:r>
        <w:rPr>
          <w:rFonts w:ascii="仿宋" w:hAnsi="仿宋" w:eastAsia="仿宋" w:cs="仿宋_GB2312"/>
          <w:sz w:val="32"/>
          <w:szCs w:val="32"/>
          <w:shd w:val="clear" w:color="auto" w:fill="FFFFFF"/>
        </w:rPr>
        <w:t>以社会主义核心价值观为引领，充分挖掘传统文化内涵，加强文化载体建设，丰富群众文化生活，打造古今融汇、慈孝敦睦、魅力多彩的乡村文明。</w:t>
      </w:r>
    </w:p>
    <w:p w14:paraId="541F38E0">
      <w:pPr>
        <w:spacing w:line="560" w:lineRule="exact"/>
        <w:ind w:firstLine="643"/>
        <w:rPr>
          <w:rFonts w:ascii="仿宋" w:hAnsi="仿宋" w:eastAsia="仿宋" w:cs="仿宋_GB2312"/>
          <w:sz w:val="32"/>
          <w:szCs w:val="32"/>
          <w:shd w:val="clear" w:color="auto" w:fill="FFFFFF"/>
        </w:rPr>
      </w:pPr>
      <w:r>
        <w:rPr>
          <w:rFonts w:hint="eastAsia" w:ascii="仿宋" w:hAnsi="仿宋" w:eastAsia="仿宋" w:cs="楷体"/>
          <w:bCs/>
          <w:sz w:val="32"/>
          <w:szCs w:val="32"/>
          <w:shd w:val="clear" w:color="auto" w:fill="FFFFFF"/>
        </w:rPr>
        <w:t>（二）大力发展科技农业，确保粮食安全。</w:t>
      </w:r>
      <w:r>
        <w:rPr>
          <w:rFonts w:ascii="仿宋" w:hAnsi="仿宋" w:eastAsia="仿宋" w:cs="仿宋_GB2312"/>
          <w:sz w:val="32"/>
          <w:szCs w:val="32"/>
          <w:shd w:val="clear" w:color="auto" w:fill="FFFFFF"/>
        </w:rPr>
        <w:t>以稳定粮食生产为基础，主攻粮食单产，确保粮食安全。依托粮食作物高产创建项目，积极探索高产技术集成，大力推广高产栽培新技术、新模式；以冀南优质麦产业联合体为抓手，以今麦郎等龙头企业发展订单农业为依托，不断提高优质强筋小麦专业化、规模化种植水平；依托农技推广补助项目、测土配方施肥项目，大力推广良种良法，着力提高良种良法覆盖率和土地产出水平，确保粮食总产量不滑坡。到2025年小麦面积稳定在</w:t>
      </w:r>
      <w:r>
        <w:rPr>
          <w:rFonts w:hint="eastAsia" w:ascii="仿宋" w:hAnsi="仿宋" w:eastAsia="仿宋" w:cs="仿宋_GB2312"/>
          <w:sz w:val="32"/>
          <w:szCs w:val="32"/>
          <w:shd w:val="clear" w:color="auto" w:fill="FFFFFF"/>
        </w:rPr>
        <w:t>61</w:t>
      </w:r>
      <w:r>
        <w:rPr>
          <w:rFonts w:ascii="仿宋" w:hAnsi="仿宋" w:eastAsia="仿宋" w:cs="仿宋_GB2312"/>
          <w:sz w:val="32"/>
          <w:szCs w:val="32"/>
          <w:shd w:val="clear" w:color="auto" w:fill="FFFFFF"/>
        </w:rPr>
        <w:t>万亩左右，平均单产达到</w:t>
      </w:r>
      <w:r>
        <w:rPr>
          <w:rFonts w:hint="eastAsia" w:ascii="仿宋" w:hAnsi="仿宋" w:eastAsia="仿宋" w:cs="仿宋_GB2312"/>
          <w:sz w:val="32"/>
          <w:szCs w:val="32"/>
          <w:shd w:val="clear" w:color="auto" w:fill="FFFFFF"/>
        </w:rPr>
        <w:t>480</w:t>
      </w:r>
      <w:r>
        <w:rPr>
          <w:rFonts w:ascii="仿宋" w:hAnsi="仿宋" w:eastAsia="仿宋" w:cs="仿宋_GB2312"/>
          <w:sz w:val="32"/>
          <w:szCs w:val="32"/>
          <w:shd w:val="clear" w:color="auto" w:fill="FFFFFF"/>
        </w:rPr>
        <w:t>公斤，玉米面积稳定在</w:t>
      </w:r>
      <w:r>
        <w:rPr>
          <w:rFonts w:hint="eastAsia" w:ascii="仿宋" w:hAnsi="仿宋" w:eastAsia="仿宋" w:cs="仿宋_GB2312"/>
          <w:sz w:val="32"/>
          <w:szCs w:val="32"/>
          <w:shd w:val="clear" w:color="auto" w:fill="FFFFFF"/>
        </w:rPr>
        <w:t>60.5</w:t>
      </w:r>
      <w:r>
        <w:rPr>
          <w:rFonts w:ascii="仿宋" w:hAnsi="仿宋" w:eastAsia="仿宋" w:cs="仿宋_GB2312"/>
          <w:sz w:val="32"/>
          <w:szCs w:val="32"/>
          <w:shd w:val="clear" w:color="auto" w:fill="FFFFFF"/>
        </w:rPr>
        <w:t>万亩左右，平均单产达到</w:t>
      </w:r>
      <w:r>
        <w:rPr>
          <w:rFonts w:hint="eastAsia" w:ascii="仿宋" w:hAnsi="仿宋" w:eastAsia="仿宋" w:cs="仿宋_GB2312"/>
          <w:sz w:val="32"/>
          <w:szCs w:val="32"/>
          <w:shd w:val="clear" w:color="auto" w:fill="FFFFFF"/>
        </w:rPr>
        <w:t>520</w:t>
      </w:r>
      <w:r>
        <w:rPr>
          <w:rFonts w:ascii="仿宋" w:hAnsi="仿宋" w:eastAsia="仿宋" w:cs="仿宋_GB2312"/>
          <w:sz w:val="32"/>
          <w:szCs w:val="32"/>
          <w:shd w:val="clear" w:color="auto" w:fill="FFFFFF"/>
        </w:rPr>
        <w:t>公斤，粮食总产达到</w:t>
      </w:r>
      <w:r>
        <w:rPr>
          <w:rFonts w:hint="eastAsia" w:ascii="仿宋" w:hAnsi="仿宋" w:eastAsia="仿宋" w:cs="仿宋_GB2312"/>
          <w:sz w:val="32"/>
          <w:szCs w:val="32"/>
          <w:shd w:val="clear" w:color="auto" w:fill="FFFFFF"/>
        </w:rPr>
        <w:t>62</w:t>
      </w:r>
      <w:r>
        <w:rPr>
          <w:rFonts w:ascii="仿宋" w:hAnsi="仿宋" w:eastAsia="仿宋" w:cs="仿宋_GB2312"/>
          <w:sz w:val="32"/>
          <w:szCs w:val="32"/>
          <w:shd w:val="clear" w:color="auto" w:fill="FFFFFF"/>
        </w:rPr>
        <w:t>万吨。</w:t>
      </w:r>
    </w:p>
    <w:p w14:paraId="1416C8F8">
      <w:pPr>
        <w:spacing w:line="560" w:lineRule="exact"/>
        <w:ind w:firstLine="643"/>
        <w:rPr>
          <w:rFonts w:ascii="仿宋" w:hAnsi="仿宋" w:eastAsia="仿宋" w:cs="仿宋_GB2312"/>
          <w:sz w:val="32"/>
          <w:szCs w:val="32"/>
          <w:shd w:val="clear" w:color="auto" w:fill="FFFFFF"/>
        </w:rPr>
      </w:pPr>
      <w:r>
        <w:rPr>
          <w:rFonts w:hint="eastAsia" w:ascii="仿宋" w:hAnsi="仿宋" w:eastAsia="仿宋" w:cs="楷体"/>
          <w:bCs/>
          <w:sz w:val="32"/>
          <w:szCs w:val="32"/>
          <w:shd w:val="clear" w:color="auto" w:fill="FFFFFF"/>
        </w:rPr>
        <w:t>（三）大力发展特色种养业，促进农民增收。</w:t>
      </w:r>
      <w:r>
        <w:rPr>
          <w:rFonts w:ascii="仿宋" w:hAnsi="仿宋" w:eastAsia="仿宋" w:cs="仿宋_GB2312"/>
          <w:sz w:val="32"/>
          <w:szCs w:val="32"/>
        </w:rPr>
        <w:t>实施“千斤粮、万元钱”工程，调优农业结构，发展订单农业，扩大优质种植面积，并发挥隆尧香梨、梅庄苹果，小孟甜瓜等特色优势，培育新型农业经营主体，推进一二三产深度融合，带动农业增效，农民增收。</w:t>
      </w:r>
      <w:r>
        <w:rPr>
          <w:rFonts w:ascii="仿宋" w:hAnsi="仿宋" w:eastAsia="仿宋" w:cs="仿宋_GB2312"/>
          <w:sz w:val="32"/>
          <w:szCs w:val="32"/>
          <w:shd w:val="clear" w:color="auto" w:fill="FFFFFF"/>
        </w:rPr>
        <w:t>特色种植业，以莲藕、大葱、苹果等特色优势农产品为重点，培育20个特色鲜明、知名度高、竞争力强的绿色优质农产品品牌。特色养殖业，重点发展壮大生猪、奶牛、蛋鸡等优势产业，大力发展标准化规模养殖，推动传统畜牧业向现代畜牧业转型。果蔬业，以主要种植基地为依托，实施品牌发展。重点建设以东良乡泽畔村及周边村的“泽畔莲藕”种植基地，推进“小孟甜瓜”“隆红密”果蔬品牌的覆盖面，提升品牌价值；以隆郭大葱专业合作社为龙头、以山口镇东尚村、隆尧镇丘底村为中心的大葱种植基地</w:t>
      </w:r>
      <w:r>
        <w:rPr>
          <w:rFonts w:hint="eastAsia" w:ascii="仿宋" w:hAnsi="仿宋" w:eastAsia="仿宋" w:cs="仿宋_GB2312"/>
          <w:sz w:val="32"/>
          <w:szCs w:val="32"/>
          <w:shd w:val="clear" w:color="auto" w:fill="FFFFFF"/>
        </w:rPr>
        <w:t>，</w:t>
      </w:r>
      <w:r>
        <w:rPr>
          <w:rFonts w:ascii="仿宋" w:hAnsi="仿宋" w:eastAsia="仿宋" w:cs="仿宋_GB2312"/>
          <w:sz w:val="32"/>
          <w:szCs w:val="32"/>
          <w:shd w:val="clear" w:color="auto" w:fill="FFFFFF"/>
        </w:rPr>
        <w:t>强化</w:t>
      </w:r>
      <w:r>
        <w:rPr>
          <w:rFonts w:hint="eastAsia" w:ascii="仿宋" w:hAnsi="仿宋" w:eastAsia="仿宋" w:cs="仿宋_GB2312"/>
          <w:sz w:val="32"/>
          <w:szCs w:val="32"/>
          <w:shd w:val="clear" w:color="auto" w:fill="FFFFFF"/>
        </w:rPr>
        <w:t>大葱区域公用品牌建设</w:t>
      </w:r>
      <w:r>
        <w:rPr>
          <w:rFonts w:ascii="仿宋" w:hAnsi="仿宋" w:eastAsia="仿宋" w:cs="仿宋_GB2312"/>
          <w:sz w:val="32"/>
          <w:szCs w:val="32"/>
          <w:shd w:val="clear" w:color="auto" w:fill="FFFFFF"/>
        </w:rPr>
        <w:t>。</w:t>
      </w:r>
    </w:p>
    <w:p w14:paraId="01CB3D59">
      <w:pPr>
        <w:spacing w:line="560" w:lineRule="exact"/>
        <w:ind w:firstLine="643"/>
        <w:rPr>
          <w:rFonts w:ascii="仿宋" w:hAnsi="仿宋" w:eastAsia="仿宋" w:cs="仿宋_GB2312"/>
          <w:sz w:val="32"/>
          <w:szCs w:val="32"/>
          <w:shd w:val="clear" w:color="auto" w:fill="FFFFFF"/>
        </w:rPr>
      </w:pPr>
      <w:r>
        <w:rPr>
          <w:rFonts w:hint="eastAsia" w:ascii="仿宋" w:hAnsi="仿宋" w:eastAsia="仿宋" w:cs="楷体"/>
          <w:bCs/>
          <w:sz w:val="32"/>
          <w:szCs w:val="32"/>
          <w:shd w:val="clear" w:color="auto" w:fill="FFFFFF"/>
        </w:rPr>
        <w:t>（四）培育发展主体和载体，加快农业产业化。</w:t>
      </w:r>
      <w:r>
        <w:rPr>
          <w:rFonts w:ascii="仿宋" w:hAnsi="仿宋" w:eastAsia="仿宋" w:cs="仿宋_GB2312"/>
          <w:sz w:val="32"/>
          <w:szCs w:val="32"/>
          <w:shd w:val="clear" w:color="auto" w:fill="FFFFFF"/>
        </w:rPr>
        <w:t>一是建设现代农业园区。十四五期间重点推动农业园区提质增效，扩大农业园区覆盖面，重点支持隆尧县东方现代农业园区争创省级精品农业园区，支持隆尧县北方现代农业园区、隆尧县千户现代农业园等争创市级精品农业园区，探索“隆郭大葱”区域公共品牌与园区建设融合发展。力争到2025年，建成各类农业园区达到10个以上，初步形成</w:t>
      </w:r>
      <w:r>
        <w:rPr>
          <w:rFonts w:hint="eastAsia" w:ascii="仿宋" w:hAnsi="仿宋" w:eastAsia="仿宋" w:cs="仿宋_GB2312"/>
          <w:sz w:val="32"/>
          <w:szCs w:val="32"/>
          <w:shd w:val="clear" w:color="auto" w:fill="FFFFFF"/>
        </w:rPr>
        <w:t>1</w:t>
      </w:r>
      <w:r>
        <w:rPr>
          <w:rFonts w:ascii="仿宋" w:hAnsi="仿宋" w:eastAsia="仿宋" w:cs="仿宋_GB2312"/>
          <w:sz w:val="32"/>
          <w:szCs w:val="32"/>
          <w:shd w:val="clear" w:color="auto" w:fill="FFFFFF"/>
        </w:rPr>
        <w:t>（省级园区）+</w:t>
      </w:r>
      <w:r>
        <w:rPr>
          <w:rFonts w:hint="eastAsia" w:ascii="仿宋" w:hAnsi="仿宋" w:eastAsia="仿宋" w:cs="仿宋_GB2312"/>
          <w:sz w:val="32"/>
          <w:szCs w:val="32"/>
          <w:shd w:val="clear" w:color="auto" w:fill="FFFFFF"/>
        </w:rPr>
        <w:t>6</w:t>
      </w:r>
      <w:r>
        <w:rPr>
          <w:rFonts w:ascii="仿宋" w:hAnsi="仿宋" w:eastAsia="仿宋" w:cs="仿宋_GB2312"/>
          <w:sz w:val="32"/>
          <w:szCs w:val="32"/>
          <w:shd w:val="clear" w:color="auto" w:fill="FFFFFF"/>
        </w:rPr>
        <w:t>（市级园区）+</w:t>
      </w:r>
      <w:r>
        <w:rPr>
          <w:rFonts w:hint="eastAsia" w:ascii="仿宋" w:hAnsi="仿宋" w:eastAsia="仿宋" w:cs="仿宋_GB2312"/>
          <w:sz w:val="32"/>
          <w:szCs w:val="32"/>
          <w:shd w:val="clear" w:color="auto" w:fill="FFFFFF"/>
        </w:rPr>
        <w:t>3</w:t>
      </w:r>
      <w:r>
        <w:rPr>
          <w:rFonts w:ascii="仿宋" w:hAnsi="仿宋" w:eastAsia="仿宋" w:cs="仿宋_GB2312"/>
          <w:sz w:val="32"/>
          <w:szCs w:val="32"/>
          <w:shd w:val="clear" w:color="auto" w:fill="FFFFFF"/>
        </w:rPr>
        <w:t>（县级园区）的现代农业园区格局。二是积极培育新型经营主体，发展多种形式的适度规模经营主体。以现代农业园区为平台，集聚科技、资金、人才、项目等要素，把适度规模经营与农业产业链条延伸有机结合，引导农民通过联合、合作等多种方式发展规模种养业、农产品加工和农村服务业。</w:t>
      </w:r>
    </w:p>
    <w:p w14:paraId="3BC7D7FA">
      <w:pPr>
        <w:pStyle w:val="8"/>
        <w:adjustRightInd w:val="0"/>
        <w:snapToGrid w:val="0"/>
        <w:spacing w:beforeAutospacing="0" w:afterAutospacing="0" w:line="560" w:lineRule="exact"/>
        <w:ind w:firstLine="640" w:firstLineChars="200"/>
        <w:jc w:val="both"/>
        <w:rPr>
          <w:rFonts w:ascii="仿宋" w:hAnsi="仿宋" w:eastAsia="仿宋" w:cs="仿宋_GB2312"/>
          <w:sz w:val="32"/>
          <w:szCs w:val="32"/>
          <w:shd w:val="clear" w:color="auto" w:fill="FFFFFF"/>
        </w:rPr>
      </w:pPr>
      <w:r>
        <w:rPr>
          <w:rFonts w:hint="eastAsia" w:ascii="仿宋" w:hAnsi="仿宋" w:eastAsia="仿宋" w:cs="楷体"/>
          <w:sz w:val="32"/>
          <w:szCs w:val="32"/>
          <w:shd w:val="clear" w:color="auto" w:fill="FFFFFF"/>
        </w:rPr>
        <w:t>（五）积极谋划农业重点项目。</w:t>
      </w:r>
      <w:r>
        <w:rPr>
          <w:rFonts w:hint="eastAsia" w:ascii="仿宋" w:hAnsi="仿宋" w:eastAsia="仿宋" w:cs="仿宋_GB2312"/>
          <w:sz w:val="32"/>
          <w:szCs w:val="32"/>
          <w:shd w:val="clear" w:color="auto" w:fill="FFFFFF"/>
        </w:rPr>
        <w:t>以人居环境整治、高标准农田建设等为重点，谋划储备一批农业重点项目，到2025年，一是计划完成农村人居环境村庄巷道硬化整县推进项目,建设任务拟硬化村庄巷道2353955.7平方米，总投资23539.557万元；二是计划完成高标准农田建设任务9万亩，总投资1.05亿元。</w:t>
      </w:r>
    </w:p>
    <w:p w14:paraId="025751F5">
      <w:pPr>
        <w:spacing w:line="500" w:lineRule="exact"/>
        <w:jc w:val="left"/>
        <w:rPr>
          <w:rFonts w:ascii="仿宋" w:hAnsi="仿宋" w:eastAsia="仿宋" w:cs="仿宋"/>
          <w:sz w:val="32"/>
          <w:szCs w:val="32"/>
        </w:rPr>
      </w:pPr>
      <w:r>
        <w:rPr>
          <w:rFonts w:hint="eastAsia" w:ascii="仿宋" w:hAnsi="仿宋" w:eastAsia="仿宋" w:cs="仿宋"/>
          <w:sz w:val="32"/>
          <w:szCs w:val="32"/>
        </w:rPr>
        <w:t>（四）年度整体绩效目标和工作任务。</w:t>
      </w:r>
    </w:p>
    <w:p w14:paraId="439E1D7E">
      <w:pPr>
        <w:spacing w:line="500" w:lineRule="exact"/>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1、在全县实施农业综合开发土地治理、产业化经营、示范区等项目，依据省、市确定的项目配套资金；在全县开发县组织实施高标准农田、生态综合治理、中型灌区配套改造、产业化经营财政补助项目、贴息项目、设施蔬菜项目、部门项目等项目，大力推进重点开发、效益开发，有效改善农业生产条件和生态环境，提高农业综合生产能力提高粮食产能，扶持农业龙头企业和新型经营主体，带动农业特色主导产业发展，探索现代农业发展路径，示范引导全县现代农业发展，促进农业增效、农民增收。</w:t>
      </w:r>
    </w:p>
    <w:p w14:paraId="1933F1C8">
      <w:pPr>
        <w:spacing w:line="500" w:lineRule="exact"/>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2、拉伸农业产业链条，提升农产品附加值，增加农民收入，创造县域经济发展新增长点；改善农村环境面貌，提升农民生产生活条件；使农业增效、农民增收、农村增活力；推动中央、省市和县委、县政府各县惠农政策落实，使农村经济健康发展、农民收入实现持续稳定增长农村经济持续较快发展；保障各项农村工作正常运行。</w:t>
      </w:r>
    </w:p>
    <w:p w14:paraId="446D8F91">
      <w:pPr>
        <w:spacing w:line="500" w:lineRule="exact"/>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3、促进农业现代化、提高农业劳动生产率，增加农民收入；规范流转行为，优化资源配置，促进农业专业合作经济组织健康发展，加快新农村建设和城镇化进程；通过实施农村面貌改造提升行动和开展新民居中心村示范点建设，加快建设社会主义新农村，改善农村环境面貌提升农民生产生活条件。保障农业农村工作的正常运行。</w:t>
      </w:r>
    </w:p>
    <w:p w14:paraId="4ECB8885">
      <w:pPr>
        <w:spacing w:line="500" w:lineRule="exact"/>
        <w:ind w:firstLine="640" w:firstLineChars="200"/>
        <w:jc w:val="left"/>
        <w:rPr>
          <w:rFonts w:ascii="楷体" w:hAnsi="楷体" w:eastAsia="楷体" w:cs="仿宋"/>
          <w:sz w:val="32"/>
          <w:szCs w:val="32"/>
        </w:rPr>
      </w:pPr>
      <w:r>
        <w:rPr>
          <w:rFonts w:hint="eastAsia" w:ascii="仿宋" w:hAnsi="仿宋" w:eastAsia="仿宋" w:cs="仿宋"/>
          <w:sz w:val="32"/>
          <w:szCs w:val="32"/>
        </w:rPr>
        <w:t>（五）预算资金安排及资金支出</w:t>
      </w:r>
      <w:r>
        <w:rPr>
          <w:rFonts w:hint="eastAsia" w:ascii="楷体" w:hAnsi="楷体" w:eastAsia="楷体" w:cs="仿宋"/>
          <w:sz w:val="32"/>
          <w:szCs w:val="32"/>
        </w:rPr>
        <w:t>情况。</w:t>
      </w:r>
    </w:p>
    <w:p w14:paraId="23F67785">
      <w:pPr>
        <w:spacing w:line="500" w:lineRule="exact"/>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2021年度预算资金安排23553.70万元，其中：中央财政资金11666.47万元、省级财政资金3326.04万元、市级财政资金205.5万元、县级财政资金8355.69万元。</w:t>
      </w:r>
    </w:p>
    <w:p w14:paraId="56B1D701">
      <w:pPr>
        <w:spacing w:line="500" w:lineRule="exact"/>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上述资金严格按照项目资金实施方案落实，资金支出完成95%以上。</w:t>
      </w:r>
    </w:p>
    <w:p w14:paraId="7403A719">
      <w:pPr>
        <w:adjustRightInd w:val="0"/>
        <w:rPr>
          <w:rFonts w:ascii="楷体" w:hAnsi="楷体" w:eastAsia="楷体" w:cs="仿宋"/>
          <w:sz w:val="32"/>
          <w:szCs w:val="32"/>
        </w:rPr>
      </w:pPr>
    </w:p>
    <w:p w14:paraId="30067CCD">
      <w:pPr>
        <w:pStyle w:val="19"/>
        <w:numPr>
          <w:ilvl w:val="0"/>
          <w:numId w:val="1"/>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3008E676">
      <w:pPr>
        <w:pStyle w:val="19"/>
        <w:numPr>
          <w:ilvl w:val="0"/>
          <w:numId w:val="2"/>
        </w:numPr>
        <w:adjustRightInd w:val="0"/>
        <w:ind w:firstLineChars="0"/>
        <w:rPr>
          <w:rFonts w:ascii="仿宋" w:hAnsi="仿宋" w:eastAsia="仿宋" w:cs="仿宋"/>
          <w:sz w:val="32"/>
          <w:szCs w:val="32"/>
        </w:rPr>
      </w:pPr>
      <w:r>
        <w:rPr>
          <w:rFonts w:hint="eastAsia" w:ascii="仿宋" w:hAnsi="仿宋" w:eastAsia="仿宋" w:cs="仿宋"/>
          <w:sz w:val="32"/>
          <w:szCs w:val="32"/>
        </w:rPr>
        <w:t>部门开展预算绩效管理情况。</w:t>
      </w:r>
    </w:p>
    <w:p w14:paraId="6760168B">
      <w:pPr>
        <w:spacing w:line="600" w:lineRule="atLeast"/>
        <w:ind w:firstLine="640" w:firstLineChars="200"/>
        <w:outlineLvl w:val="0"/>
        <w:rPr>
          <w:rFonts w:ascii="仿宋" w:hAnsi="仿宋" w:eastAsia="仿宋" w:cs="楷体_GB2312"/>
          <w:bCs/>
          <w:sz w:val="32"/>
          <w:szCs w:val="32"/>
        </w:rPr>
      </w:pPr>
      <w:r>
        <w:rPr>
          <w:rFonts w:hint="eastAsia" w:ascii="仿宋" w:hAnsi="仿宋" w:eastAsia="仿宋" w:cs="仿宋_GB2312"/>
          <w:color w:val="000000"/>
          <w:sz w:val="32"/>
          <w:szCs w:val="32"/>
        </w:rPr>
        <w:t>按照《隆尧县部门预算绩效管理办法》（隆财〔</w:t>
      </w:r>
      <w:r>
        <w:rPr>
          <w:rFonts w:ascii="仿宋" w:hAnsi="仿宋" w:eastAsia="仿宋" w:cs="仿宋_GB2312"/>
          <w:color w:val="000000"/>
          <w:sz w:val="32"/>
          <w:szCs w:val="32"/>
        </w:rPr>
        <w:t>2019</w:t>
      </w:r>
      <w:r>
        <w:rPr>
          <w:rFonts w:hint="eastAsia" w:ascii="仿宋" w:hAnsi="仿宋" w:eastAsia="仿宋" w:cs="仿宋_GB2312"/>
          <w:color w:val="000000"/>
          <w:sz w:val="32"/>
          <w:szCs w:val="32"/>
        </w:rPr>
        <w:t>〕117号）、《隆尧县全面实施预算绩效管理推进工作方案》（隆财预〔</w:t>
      </w:r>
      <w:r>
        <w:rPr>
          <w:rFonts w:ascii="仿宋" w:hAnsi="仿宋" w:eastAsia="仿宋" w:cs="仿宋_GB2312"/>
          <w:color w:val="000000"/>
          <w:sz w:val="32"/>
          <w:szCs w:val="32"/>
        </w:rPr>
        <w:t>2019</w:t>
      </w:r>
      <w:r>
        <w:rPr>
          <w:rFonts w:hint="eastAsia" w:ascii="仿宋" w:hAnsi="仿宋" w:eastAsia="仿宋" w:cs="仿宋_GB2312"/>
          <w:color w:val="000000"/>
          <w:sz w:val="32"/>
          <w:szCs w:val="32"/>
        </w:rPr>
        <w:t>〕118号）、《隆尧县县级部门绩效自评办法》（隆财〔2020〕28号）相关要求，</w:t>
      </w:r>
      <w:r>
        <w:rPr>
          <w:rFonts w:hint="eastAsia" w:ascii="仿宋" w:hAnsi="仿宋" w:eastAsia="仿宋"/>
          <w:color w:val="000000"/>
          <w:sz w:val="32"/>
          <w:szCs w:val="32"/>
        </w:rPr>
        <w:t>农业农村局成立了绩效评价领导小组，制定绩效自评和部门整体支出绩效自评工作实施方案，</w:t>
      </w:r>
      <w:r>
        <w:rPr>
          <w:rFonts w:hint="eastAsia" w:ascii="仿宋" w:hAnsi="仿宋" w:eastAsia="仿宋" w:cs="楷体_GB2312"/>
          <w:bCs/>
          <w:sz w:val="32"/>
          <w:szCs w:val="32"/>
        </w:rPr>
        <w:t>按照“谁使用、谁评价”的原则实施，根据项目下达任务清单及绩效指标（效果指标、</w:t>
      </w:r>
      <w:r>
        <w:rPr>
          <w:rFonts w:hint="eastAsia" w:ascii="仿宋" w:hAnsi="仿宋" w:eastAsia="仿宋" w:cs="黑体"/>
          <w:sz w:val="32"/>
          <w:szCs w:val="32"/>
        </w:rPr>
        <w:t>经济效益、社会效益、满意度指标）</w:t>
      </w:r>
      <w:r>
        <w:rPr>
          <w:rFonts w:hint="eastAsia" w:ascii="仿宋" w:hAnsi="仿宋" w:eastAsia="仿宋" w:cs="楷体_GB2312"/>
          <w:bCs/>
          <w:sz w:val="32"/>
          <w:szCs w:val="32"/>
        </w:rPr>
        <w:t>进行评价。认真组织和实施项目支出绩效自评，</w:t>
      </w:r>
      <w:r>
        <w:rPr>
          <w:rFonts w:hint="eastAsia" w:ascii="仿宋" w:hAnsi="仿宋" w:eastAsia="仿宋"/>
          <w:sz w:val="32"/>
          <w:szCs w:val="32"/>
        </w:rPr>
        <w:t>通过绩效自评提高绩效目标与指标相关性，增强评价指标反映项目绩效水平和绩效目标实现程度全面性。</w:t>
      </w:r>
    </w:p>
    <w:p w14:paraId="4ADF35CF">
      <w:pPr>
        <w:rPr>
          <w:rFonts w:ascii="仿宋" w:hAnsi="仿宋" w:eastAsia="仿宋" w:cs="仿宋"/>
          <w:sz w:val="32"/>
          <w:szCs w:val="32"/>
        </w:rPr>
      </w:pPr>
      <w:r>
        <w:rPr>
          <w:rFonts w:hint="eastAsia" w:ascii="仿宋" w:hAnsi="仿宋" w:eastAsia="仿宋" w:cs="仿宋"/>
          <w:sz w:val="32"/>
          <w:szCs w:val="32"/>
        </w:rPr>
        <w:t>（二）工作履行活动完成情况。</w:t>
      </w:r>
    </w:p>
    <w:p w14:paraId="02469B78">
      <w:pPr>
        <w:spacing w:line="56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shd w:val="clear" w:color="auto" w:fill="FFFFFF"/>
          <w14:textFill>
            <w14:solidFill>
              <w14:schemeClr w14:val="tx1"/>
            </w14:solidFill>
          </w14:textFill>
        </w:rPr>
        <w:t>（1）粮食生产。</w:t>
      </w:r>
      <w:r>
        <w:rPr>
          <w:rFonts w:hint="eastAsia" w:ascii="仿宋" w:hAnsi="仿宋" w:eastAsia="仿宋" w:cs="仿宋"/>
          <w:sz w:val="32"/>
          <w:szCs w:val="32"/>
        </w:rPr>
        <w:t xml:space="preserve">全年粮食任务面积125.3万亩，产量11.86亿斤，完成粮食种植面积125.3万亩，产量12.81亿斤，占任务108%。 </w:t>
      </w:r>
      <w:r>
        <w:rPr>
          <w:rFonts w:hint="eastAsia" w:ascii="仿宋" w:hAnsi="仿宋" w:eastAsia="仿宋" w:cs="仿宋"/>
          <w:color w:val="000000" w:themeColor="text1"/>
          <w:sz w:val="32"/>
          <w:szCs w:val="32"/>
          <w:shd w:val="clear" w:color="auto" w:fill="FFFFFF"/>
          <w14:textFill>
            <w14:solidFill>
              <w14:schemeClr w14:val="tx1"/>
            </w14:solidFill>
          </w14:textFill>
        </w:rPr>
        <w:t>夏粮</w:t>
      </w:r>
      <w:r>
        <w:rPr>
          <w:rFonts w:hint="eastAsia" w:ascii="仿宋" w:hAnsi="仿宋" w:eastAsia="仿宋" w:cs="仿宋"/>
          <w:color w:val="000000" w:themeColor="text1"/>
          <w:sz w:val="32"/>
          <w:szCs w:val="32"/>
          <w14:textFill>
            <w14:solidFill>
              <w14:schemeClr w14:val="tx1"/>
            </w14:solidFill>
          </w14:textFill>
        </w:rPr>
        <w:t>喜获丰收，夏粮收获面积61.4万亩，其中优质强筋麦面积34万亩，单产</w:t>
      </w:r>
      <w:r>
        <w:rPr>
          <w:rFonts w:hint="eastAsia" w:ascii="仿宋" w:hAnsi="仿宋" w:eastAsia="仿宋" w:cs="仿宋"/>
          <w:sz w:val="32"/>
          <w:szCs w:val="32"/>
        </w:rPr>
        <w:t>491.7公斤，总产6.04亿斤。秋粮种植面积63.9万亩，其中玉米面积60.8万亩，单产540公斤，总产6.56亿斤；杂粮（</w:t>
      </w:r>
      <w:r>
        <w:rPr>
          <w:rFonts w:ascii="仿宋" w:hAnsi="仿宋" w:eastAsia="仿宋" w:cs="Times New Roman"/>
          <w:sz w:val="32"/>
          <w:szCs w:val="32"/>
        </w:rPr>
        <w:t>高粱、谷子、大豆、薯类</w:t>
      </w:r>
      <w:r>
        <w:rPr>
          <w:rFonts w:hint="eastAsia" w:ascii="仿宋" w:hAnsi="仿宋" w:eastAsia="仿宋" w:cs="Times New Roman"/>
          <w:sz w:val="32"/>
          <w:szCs w:val="32"/>
        </w:rPr>
        <w:t>）</w:t>
      </w:r>
      <w:r>
        <w:rPr>
          <w:rFonts w:hint="eastAsia" w:ascii="仿宋" w:hAnsi="仿宋" w:eastAsia="仿宋" w:cs="仿宋"/>
          <w:sz w:val="32"/>
          <w:szCs w:val="32"/>
        </w:rPr>
        <w:t>3.1万亩，总产0.21亿斤。</w:t>
      </w:r>
    </w:p>
    <w:p w14:paraId="01165833">
      <w:pPr>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shd w:val="clear" w:color="auto" w:fill="FFFFFF"/>
          <w14:textFill>
            <w14:solidFill>
              <w14:schemeClr w14:val="tx1"/>
            </w14:solidFill>
          </w14:textFill>
        </w:rPr>
        <w:t>（2）蔬菜生产。</w:t>
      </w:r>
      <w:r>
        <w:rPr>
          <w:rFonts w:hint="eastAsia" w:ascii="仿宋" w:hAnsi="仿宋" w:eastAsia="仿宋"/>
          <w:color w:val="000000" w:themeColor="text1"/>
          <w:sz w:val="32"/>
          <w:szCs w:val="32"/>
          <w14:textFill>
            <w14:solidFill>
              <w14:schemeClr w14:val="tx1"/>
            </w14:solidFill>
          </w14:textFill>
        </w:rPr>
        <w:t>全县蔬菜总面积达8.5万亩，产量42.3万吨，同比增幅3.78%。</w:t>
      </w:r>
    </w:p>
    <w:p w14:paraId="249E8D68">
      <w:pPr>
        <w:pStyle w:val="9"/>
        <w:spacing w:line="560" w:lineRule="exact"/>
        <w:ind w:firstLine="160" w:firstLineChars="5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shd w:val="clear" w:color="auto" w:fill="FFFFFF"/>
          <w14:textFill>
            <w14:solidFill>
              <w14:schemeClr w14:val="tx1"/>
            </w14:solidFill>
          </w14:textFill>
        </w:rPr>
        <w:t>（3）畜牧工作。</w:t>
      </w:r>
      <w:r>
        <w:rPr>
          <w:rFonts w:hint="eastAsia" w:ascii="仿宋" w:hAnsi="仿宋" w:eastAsia="仿宋" w:cs="仿宋"/>
          <w:color w:val="000000" w:themeColor="text1"/>
          <w:sz w:val="32"/>
          <w:szCs w:val="32"/>
          <w14:textFill>
            <w14:solidFill>
              <w14:schemeClr w14:val="tx1"/>
            </w14:solidFill>
          </w14:textFill>
        </w:rPr>
        <w:t>一是畜牧养殖，全县生猪存栏达到10.3363万头，肉牛、奶牛存栏分别达到0.6586万头、0.15万头，蛋鸡存栏300万只，肉鸡存栏60万只，肉羊存栏达到5.4万只。肉、蛋、奶产量分别达到2.76万吨、5.8万吨、0.54万吨。二是开展重大动物疫病防控工作，确保不漏一村一户一畜（禽）一针，应免尽免，共免疫猪口蹄疫7.2万头、羊口蹄疫5.01万只、羊布病4.57万只、小反刍3.95万只、肉牛布病0.19万头、牛口蹄疫0.56万头、免疫禽流感233.7万羽。免疫密度达100%。三是鲈鱼养殖工作。大力发展高效渔业，已投放鲈鱼鱼苗127530尾，其他经济鱼苗140000尾。</w:t>
      </w:r>
    </w:p>
    <w:p w14:paraId="6BBA05AC">
      <w:pPr>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楷体"/>
          <w:color w:val="000000" w:themeColor="text1"/>
          <w:kern w:val="10"/>
          <w:sz w:val="32"/>
          <w:szCs w:val="32"/>
          <w14:textFill>
            <w14:solidFill>
              <w14:schemeClr w14:val="tx1"/>
            </w14:solidFill>
          </w14:textFill>
        </w:rPr>
        <w:t>（4）</w:t>
      </w:r>
      <w:r>
        <w:rPr>
          <w:rFonts w:hint="eastAsia" w:ascii="仿宋" w:hAnsi="仿宋" w:eastAsia="仿宋" w:cs="楷体"/>
          <w:color w:val="000000" w:themeColor="text1"/>
          <w:sz w:val="32"/>
          <w:szCs w:val="32"/>
          <w14:textFill>
            <w14:solidFill>
              <w14:schemeClr w14:val="tx1"/>
            </w14:solidFill>
          </w14:textFill>
        </w:rPr>
        <w:t>农机工作。</w:t>
      </w:r>
      <w:r>
        <w:rPr>
          <w:rFonts w:hint="eastAsia" w:ascii="仿宋" w:hAnsi="仿宋" w:eastAsia="仿宋" w:cs="仿宋"/>
          <w:color w:val="000000" w:themeColor="text1"/>
          <w:sz w:val="32"/>
          <w:szCs w:val="32"/>
          <w14:textFill>
            <w14:solidFill>
              <w14:schemeClr w14:val="tx1"/>
            </w14:solidFill>
          </w14:textFill>
        </w:rPr>
        <w:t>农机装备整体水平得到进一步提升，全县耕种收综合机械化水平达到98%以上。开展“三夏”麦收作业安全培训，</w:t>
      </w:r>
      <w:r>
        <w:rPr>
          <w:rFonts w:hint="eastAsia" w:ascii="仿宋" w:hAnsi="仿宋" w:eastAsia="仿宋"/>
          <w:color w:val="000000" w:themeColor="text1"/>
          <w:sz w:val="32"/>
          <w:szCs w:val="32"/>
          <w14:textFill>
            <w14:solidFill>
              <w14:schemeClr w14:val="tx1"/>
            </w14:solidFill>
          </w14:textFill>
        </w:rPr>
        <w:t>悬挂条幅100多条，发放宣传资料1000余份，检修大型农机具700多台，</w:t>
      </w:r>
      <w:r>
        <w:rPr>
          <w:rFonts w:hint="eastAsia" w:ascii="仿宋" w:hAnsi="仿宋" w:eastAsia="仿宋" w:cs="仿宋"/>
          <w:color w:val="000000" w:themeColor="text1"/>
          <w:sz w:val="32"/>
          <w:szCs w:val="32"/>
          <w14:textFill>
            <w14:solidFill>
              <w14:schemeClr w14:val="tx1"/>
            </w14:solidFill>
          </w14:textFill>
        </w:rPr>
        <w:t>办理</w:t>
      </w:r>
      <w:r>
        <w:rPr>
          <w:rFonts w:hint="eastAsia" w:ascii="仿宋" w:hAnsi="仿宋" w:eastAsia="仿宋"/>
          <w:color w:val="000000" w:themeColor="text1"/>
          <w:sz w:val="32"/>
          <w:szCs w:val="32"/>
          <w14:textFill>
            <w14:solidFill>
              <w14:schemeClr w14:val="tx1"/>
            </w14:solidFill>
          </w14:textFill>
        </w:rPr>
        <w:t>跨区作业证440个，办理农机补贴175份，受益户159户，机具数量177台，补贴资金643.8万元。</w:t>
      </w:r>
    </w:p>
    <w:p w14:paraId="2DCCAFB5">
      <w:pPr>
        <w:widowControl/>
        <w:spacing w:line="560" w:lineRule="exact"/>
        <w:ind w:firstLine="640" w:firstLineChars="200"/>
        <w:rPr>
          <w:rFonts w:ascii="仿宋" w:hAnsi="仿宋" w:eastAsia="仿宋" w:cs="Times New Roman"/>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shd w:val="clear" w:color="auto" w:fill="FFFFFF"/>
          <w14:textFill>
            <w14:solidFill>
              <w14:schemeClr w14:val="tx1"/>
            </w14:solidFill>
          </w14:textFill>
        </w:rPr>
        <w:t>（5）高标准农田建设项目。</w:t>
      </w:r>
      <w:r>
        <w:rPr>
          <w:rFonts w:hint="eastAsia" w:ascii="仿宋" w:hAnsi="仿宋" w:eastAsia="仿宋" w:cs="仿宋"/>
          <w:color w:val="000000" w:themeColor="text1"/>
          <w:sz w:val="32"/>
          <w:szCs w:val="32"/>
          <w14:textFill>
            <w14:solidFill>
              <w14:schemeClr w14:val="tx1"/>
            </w14:solidFill>
          </w14:textFill>
        </w:rPr>
        <w:t>项目建设规模2.1万亩，总投资3001万元。项目区涉及牛家桥乡、隆尧镇、东良镇、千户营乡四个乡镇9个村。项目已全部竣工，已完成县级验收。项目的建成，新增节水灌溉面积2万亩，年节约水量142万立方米；栽植农田防护林5900株，增加农田林网防护面积0.4万亩；年可新增粮食231万公斤，项目区直接受益农民年纯收入增加总额529万元。</w:t>
      </w:r>
    </w:p>
    <w:p w14:paraId="5B8A4E09">
      <w:pPr>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shd w:val="clear" w:color="auto" w:fill="FFFFFF"/>
          <w14:textFill>
            <w14:solidFill>
              <w14:schemeClr w14:val="tx1"/>
            </w14:solidFill>
          </w14:textFill>
        </w:rPr>
        <w:t>（6）“二品一标”认证工作。</w:t>
      </w:r>
      <w:r>
        <w:rPr>
          <w:rFonts w:hint="eastAsia" w:ascii="仿宋" w:hAnsi="仿宋" w:eastAsia="仿宋"/>
          <w:color w:val="000000" w:themeColor="text1"/>
          <w:sz w:val="32"/>
          <w:szCs w:val="32"/>
          <w14:textFill>
            <w14:solidFill>
              <w14:schemeClr w14:val="tx1"/>
            </w14:solidFill>
          </w14:textFill>
        </w:rPr>
        <w:t>完成泽阳园（苹果、醋）河北燕柏农业科技开发有限公司（韭菜）2个企业，3个产品的认证工作。其中，泽阳园已通过环评，河北彦柏农业科技开发有限公司已完成材料组织工作，上报省厅绿办，并通过环评。</w:t>
      </w:r>
    </w:p>
    <w:p w14:paraId="0A75D322">
      <w:pPr>
        <w:adjustRightInd w:val="0"/>
        <w:snapToGrid w:val="0"/>
        <w:spacing w:line="560" w:lineRule="exact"/>
        <w:ind w:firstLine="640" w:firstLineChars="200"/>
        <w:textAlignment w:val="baseline"/>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shd w:val="clear" w:color="auto" w:fill="FFFFFF"/>
          <w14:textFill>
            <w14:solidFill>
              <w14:schemeClr w14:val="tx1"/>
            </w14:solidFill>
          </w14:textFill>
        </w:rPr>
        <w:t>（7）农村重点领域改革。一是</w:t>
      </w:r>
      <w:r>
        <w:rPr>
          <w:rFonts w:hint="eastAsia" w:ascii="仿宋" w:hAnsi="仿宋" w:eastAsia="仿宋" w:cs="仿宋"/>
          <w:snapToGrid w:val="0"/>
          <w:color w:val="000000" w:themeColor="text1"/>
          <w:kern w:val="0"/>
          <w:sz w:val="32"/>
          <w:szCs w:val="32"/>
          <w14:textFill>
            <w14:solidFill>
              <w14:schemeClr w14:val="tx1"/>
            </w14:solidFill>
          </w14:textFill>
        </w:rPr>
        <w:t>农村土地确权应用工作全面开展。</w:t>
      </w:r>
      <w:r>
        <w:rPr>
          <w:rFonts w:hint="eastAsia" w:ascii="仿宋" w:hAnsi="仿宋" w:eastAsia="仿宋" w:cs="仿宋"/>
          <w:snapToGrid w:val="0"/>
          <w:color w:val="000000" w:themeColor="text1"/>
          <w:sz w:val="32"/>
          <w:szCs w:val="32"/>
          <w:shd w:val="clear" w:color="auto" w:fill="FFFFFF"/>
          <w14:textFill>
            <w14:solidFill>
              <w14:schemeClr w14:val="tx1"/>
            </w14:solidFill>
          </w14:textFill>
        </w:rPr>
        <w:t>根据河北省农业农村厅《关于进一步推进我省农村土地经营权抵押贷款试点工作的通知》（冀农发〔2019〕11号）文件精神，</w:t>
      </w:r>
      <w:r>
        <w:rPr>
          <w:rFonts w:hint="eastAsia" w:ascii="仿宋" w:hAnsi="仿宋" w:eastAsia="仿宋" w:cs="仿宋"/>
          <w:color w:val="000000" w:themeColor="text1"/>
          <w:sz w:val="32"/>
          <w:szCs w:val="32"/>
          <w14:textFill>
            <w14:solidFill>
              <w14:schemeClr w14:val="tx1"/>
            </w14:solidFill>
          </w14:textFill>
        </w:rPr>
        <w:t>我县为河北省14个试点县之一。</w:t>
      </w:r>
      <w:r>
        <w:rPr>
          <w:rFonts w:hint="eastAsia" w:ascii="仿宋" w:hAnsi="仿宋" w:eastAsia="仿宋"/>
          <w:color w:val="000000" w:themeColor="text1"/>
          <w:sz w:val="32"/>
          <w:szCs w:val="32"/>
          <w:lang w:eastAsia="zh-CN"/>
          <w14:textFill>
            <w14:solidFill>
              <w14:schemeClr w14:val="tx1"/>
            </w14:solidFill>
          </w14:textFill>
        </w:rPr>
        <w:t>截至</w:t>
      </w:r>
      <w:r>
        <w:rPr>
          <w:rFonts w:hint="eastAsia" w:ascii="仿宋" w:hAnsi="仿宋" w:eastAsia="仿宋"/>
          <w:color w:val="000000" w:themeColor="text1"/>
          <w:sz w:val="32"/>
          <w:szCs w:val="32"/>
          <w14:textFill>
            <w14:solidFill>
              <w14:schemeClr w14:val="tx1"/>
            </w14:solidFill>
          </w14:textFill>
        </w:rPr>
        <w:t>5月25日，我县共办理土地经营权抵押贷款(地押云贷)7户，授信金额504.6万元，贷款余额448.32万元，授信户数、金额及贷款金额新增均位列全市第一。</w:t>
      </w:r>
      <w:r>
        <w:rPr>
          <w:rFonts w:hint="eastAsia" w:ascii="仿宋" w:hAnsi="仿宋" w:eastAsia="仿宋" w:cs="仿宋"/>
          <w:color w:val="000000" w:themeColor="text1"/>
          <w:sz w:val="32"/>
          <w:szCs w:val="32"/>
          <w14:textFill>
            <w14:solidFill>
              <w14:schemeClr w14:val="tx1"/>
            </w14:solidFill>
          </w14:textFill>
        </w:rPr>
        <w:t>二是</w:t>
      </w:r>
      <w:r>
        <w:rPr>
          <w:rFonts w:hint="eastAsia" w:ascii="仿宋" w:hAnsi="仿宋" w:eastAsia="仿宋" w:cs="仿宋"/>
          <w:snapToGrid w:val="0"/>
          <w:color w:val="000000" w:themeColor="text1"/>
          <w:kern w:val="0"/>
          <w:sz w:val="32"/>
          <w:szCs w:val="32"/>
          <w14:textFill>
            <w14:solidFill>
              <w14:schemeClr w14:val="tx1"/>
            </w14:solidFill>
          </w14:textFill>
        </w:rPr>
        <w:t>农村土地适度规模经营步伐加快。</w:t>
      </w:r>
      <w:r>
        <w:rPr>
          <w:rFonts w:ascii="仿宋" w:hAnsi="仿宋" w:eastAsia="仿宋"/>
          <w:snapToGrid w:val="0"/>
          <w:color w:val="000000" w:themeColor="text1"/>
          <w:kern w:val="0"/>
          <w:sz w:val="32"/>
          <w:szCs w:val="32"/>
          <w14:textFill>
            <w14:solidFill>
              <w14:schemeClr w14:val="tx1"/>
            </w14:solidFill>
          </w14:textFill>
        </w:rPr>
        <w:t>全县土地流转面积达到</w:t>
      </w:r>
      <w:r>
        <w:rPr>
          <w:rFonts w:hint="eastAsia" w:ascii="仿宋" w:hAnsi="仿宋" w:eastAsia="仿宋"/>
          <w:snapToGrid w:val="0"/>
          <w:color w:val="000000" w:themeColor="text1"/>
          <w:kern w:val="0"/>
          <w:sz w:val="32"/>
          <w:szCs w:val="32"/>
          <w14:textFill>
            <w14:solidFill>
              <w14:schemeClr w14:val="tx1"/>
            </w14:solidFill>
          </w14:textFill>
        </w:rPr>
        <w:t>34.9</w:t>
      </w:r>
      <w:r>
        <w:rPr>
          <w:rFonts w:ascii="仿宋" w:hAnsi="仿宋" w:eastAsia="仿宋"/>
          <w:snapToGrid w:val="0"/>
          <w:color w:val="000000" w:themeColor="text1"/>
          <w:kern w:val="0"/>
          <w:sz w:val="32"/>
          <w:szCs w:val="32"/>
          <w14:textFill>
            <w14:solidFill>
              <w14:schemeClr w14:val="tx1"/>
            </w14:solidFill>
          </w14:textFill>
        </w:rPr>
        <w:t>万亩，占耕地面积</w:t>
      </w:r>
      <w:r>
        <w:rPr>
          <w:rFonts w:hint="eastAsia" w:ascii="仿宋" w:hAnsi="仿宋" w:eastAsia="仿宋"/>
          <w:snapToGrid w:val="0"/>
          <w:color w:val="000000" w:themeColor="text1"/>
          <w:kern w:val="0"/>
          <w:sz w:val="32"/>
          <w:szCs w:val="32"/>
          <w14:textFill>
            <w14:solidFill>
              <w14:schemeClr w14:val="tx1"/>
            </w14:solidFill>
          </w14:textFill>
        </w:rPr>
        <w:t>的47</w:t>
      </w:r>
      <w:r>
        <w:rPr>
          <w:rFonts w:ascii="仿宋" w:hAnsi="仿宋" w:eastAsia="仿宋"/>
          <w:snapToGrid w:val="0"/>
          <w:color w:val="000000" w:themeColor="text1"/>
          <w:kern w:val="0"/>
          <w:sz w:val="32"/>
          <w:szCs w:val="32"/>
          <w14:textFill>
            <w14:solidFill>
              <w14:schemeClr w14:val="tx1"/>
            </w14:solidFill>
          </w14:textFill>
        </w:rPr>
        <w:t>%；50亩以上的</w:t>
      </w:r>
      <w:r>
        <w:rPr>
          <w:rFonts w:hint="eastAsia" w:ascii="仿宋" w:hAnsi="仿宋" w:eastAsia="仿宋"/>
          <w:snapToGrid w:val="0"/>
          <w:color w:val="000000" w:themeColor="text1"/>
          <w:kern w:val="0"/>
          <w:sz w:val="32"/>
          <w:szCs w:val="32"/>
          <w14:textFill>
            <w14:solidFill>
              <w14:schemeClr w14:val="tx1"/>
            </w14:solidFill>
          </w14:textFill>
        </w:rPr>
        <w:t>23.34</w:t>
      </w:r>
      <w:r>
        <w:rPr>
          <w:rFonts w:ascii="仿宋" w:hAnsi="仿宋" w:eastAsia="仿宋"/>
          <w:snapToGrid w:val="0"/>
          <w:color w:val="000000" w:themeColor="text1"/>
          <w:kern w:val="0"/>
          <w:sz w:val="32"/>
          <w:szCs w:val="32"/>
          <w14:textFill>
            <w14:solidFill>
              <w14:schemeClr w14:val="tx1"/>
            </w14:solidFill>
          </w14:textFill>
        </w:rPr>
        <w:t>万亩，占全县土地流转总面积的6</w:t>
      </w:r>
      <w:r>
        <w:rPr>
          <w:rFonts w:hint="eastAsia" w:ascii="仿宋" w:hAnsi="仿宋" w:eastAsia="仿宋"/>
          <w:snapToGrid w:val="0"/>
          <w:color w:val="000000" w:themeColor="text1"/>
          <w:kern w:val="0"/>
          <w:sz w:val="32"/>
          <w:szCs w:val="32"/>
          <w14:textFill>
            <w14:solidFill>
              <w14:schemeClr w14:val="tx1"/>
            </w14:solidFill>
          </w14:textFill>
        </w:rPr>
        <w:t>6</w:t>
      </w:r>
      <w:r>
        <w:rPr>
          <w:rFonts w:ascii="仿宋" w:hAnsi="仿宋" w:eastAsia="仿宋"/>
          <w:snapToGrid w:val="0"/>
          <w:color w:val="000000" w:themeColor="text1"/>
          <w:kern w:val="0"/>
          <w:sz w:val="32"/>
          <w:szCs w:val="32"/>
          <w14:textFill>
            <w14:solidFill>
              <w14:schemeClr w14:val="tx1"/>
            </w14:solidFill>
          </w14:textFill>
        </w:rPr>
        <w:t>%；百亩以上的</w:t>
      </w:r>
      <w:r>
        <w:rPr>
          <w:rFonts w:hint="eastAsia" w:ascii="仿宋" w:hAnsi="仿宋" w:eastAsia="仿宋"/>
          <w:snapToGrid w:val="0"/>
          <w:color w:val="000000" w:themeColor="text1"/>
          <w:kern w:val="0"/>
          <w:sz w:val="32"/>
          <w:szCs w:val="32"/>
          <w14:textFill>
            <w14:solidFill>
              <w14:schemeClr w14:val="tx1"/>
            </w14:solidFill>
          </w14:textFill>
        </w:rPr>
        <w:t>12.94</w:t>
      </w:r>
      <w:r>
        <w:rPr>
          <w:rFonts w:ascii="仿宋" w:hAnsi="仿宋" w:eastAsia="仿宋"/>
          <w:snapToGrid w:val="0"/>
          <w:color w:val="000000" w:themeColor="text1"/>
          <w:kern w:val="0"/>
          <w:sz w:val="32"/>
          <w:szCs w:val="32"/>
          <w14:textFill>
            <w14:solidFill>
              <w14:schemeClr w14:val="tx1"/>
            </w14:solidFill>
          </w14:textFill>
        </w:rPr>
        <w:t>万余亩；全县发展各类家庭农场</w:t>
      </w:r>
      <w:r>
        <w:rPr>
          <w:rFonts w:hint="eastAsia" w:ascii="仿宋" w:hAnsi="仿宋" w:eastAsia="仿宋"/>
          <w:snapToGrid w:val="0"/>
          <w:color w:val="000000" w:themeColor="text1"/>
          <w:kern w:val="0"/>
          <w:sz w:val="32"/>
          <w:szCs w:val="32"/>
          <w14:textFill>
            <w14:solidFill>
              <w14:schemeClr w14:val="tx1"/>
            </w14:solidFill>
          </w14:textFill>
        </w:rPr>
        <w:t>550</w:t>
      </w:r>
      <w:r>
        <w:rPr>
          <w:rFonts w:ascii="仿宋" w:hAnsi="仿宋" w:eastAsia="仿宋"/>
          <w:snapToGrid w:val="0"/>
          <w:color w:val="000000" w:themeColor="text1"/>
          <w:kern w:val="0"/>
          <w:sz w:val="32"/>
          <w:szCs w:val="32"/>
          <w14:textFill>
            <w14:solidFill>
              <w14:schemeClr w14:val="tx1"/>
            </w14:solidFill>
          </w14:textFill>
        </w:rPr>
        <w:t>个（种植业</w:t>
      </w:r>
      <w:r>
        <w:rPr>
          <w:rFonts w:hint="eastAsia" w:ascii="仿宋" w:hAnsi="仿宋" w:eastAsia="仿宋"/>
          <w:snapToGrid w:val="0"/>
          <w:color w:val="000000" w:themeColor="text1"/>
          <w:kern w:val="0"/>
          <w:sz w:val="32"/>
          <w:szCs w:val="32"/>
          <w14:textFill>
            <w14:solidFill>
              <w14:schemeClr w14:val="tx1"/>
            </w14:solidFill>
          </w14:textFill>
        </w:rPr>
        <w:t>449</w:t>
      </w:r>
      <w:r>
        <w:rPr>
          <w:rFonts w:ascii="仿宋" w:hAnsi="仿宋" w:eastAsia="仿宋"/>
          <w:snapToGrid w:val="0"/>
          <w:color w:val="000000" w:themeColor="text1"/>
          <w:kern w:val="0"/>
          <w:sz w:val="32"/>
          <w:szCs w:val="32"/>
          <w14:textFill>
            <w14:solidFill>
              <w14:schemeClr w14:val="tx1"/>
            </w14:solidFill>
          </w14:textFill>
        </w:rPr>
        <w:t>个、养殖业</w:t>
      </w:r>
      <w:r>
        <w:rPr>
          <w:rFonts w:hint="eastAsia" w:ascii="仿宋" w:hAnsi="仿宋" w:eastAsia="仿宋"/>
          <w:snapToGrid w:val="0"/>
          <w:color w:val="000000" w:themeColor="text1"/>
          <w:kern w:val="0"/>
          <w:sz w:val="32"/>
          <w:szCs w:val="32"/>
          <w14:textFill>
            <w14:solidFill>
              <w14:schemeClr w14:val="tx1"/>
            </w14:solidFill>
          </w14:textFill>
        </w:rPr>
        <w:t>30</w:t>
      </w:r>
      <w:r>
        <w:rPr>
          <w:rFonts w:ascii="仿宋" w:hAnsi="仿宋" w:eastAsia="仿宋"/>
          <w:snapToGrid w:val="0"/>
          <w:color w:val="000000" w:themeColor="text1"/>
          <w:kern w:val="0"/>
          <w:sz w:val="32"/>
          <w:szCs w:val="32"/>
          <w14:textFill>
            <w14:solidFill>
              <w14:schemeClr w14:val="tx1"/>
            </w14:solidFill>
          </w14:textFill>
        </w:rPr>
        <w:t>个、种养结合</w:t>
      </w:r>
      <w:r>
        <w:rPr>
          <w:rFonts w:hint="eastAsia" w:ascii="仿宋" w:hAnsi="仿宋" w:eastAsia="仿宋"/>
          <w:snapToGrid w:val="0"/>
          <w:color w:val="000000" w:themeColor="text1"/>
          <w:kern w:val="0"/>
          <w:sz w:val="32"/>
          <w:szCs w:val="32"/>
          <w14:textFill>
            <w14:solidFill>
              <w14:schemeClr w14:val="tx1"/>
            </w14:solidFill>
          </w14:textFill>
        </w:rPr>
        <w:t>45</w:t>
      </w:r>
      <w:r>
        <w:rPr>
          <w:rFonts w:ascii="仿宋" w:hAnsi="仿宋" w:eastAsia="仿宋"/>
          <w:snapToGrid w:val="0"/>
          <w:color w:val="000000" w:themeColor="text1"/>
          <w:kern w:val="0"/>
          <w:sz w:val="32"/>
          <w:szCs w:val="32"/>
          <w14:textFill>
            <w14:solidFill>
              <w14:schemeClr w14:val="tx1"/>
            </w14:solidFill>
          </w14:textFill>
        </w:rPr>
        <w:t>个、其他类</w:t>
      </w:r>
      <w:r>
        <w:rPr>
          <w:rFonts w:hint="eastAsia" w:ascii="仿宋" w:hAnsi="仿宋" w:eastAsia="仿宋"/>
          <w:snapToGrid w:val="0"/>
          <w:color w:val="000000" w:themeColor="text1"/>
          <w:kern w:val="0"/>
          <w:sz w:val="32"/>
          <w:szCs w:val="32"/>
          <w14:textFill>
            <w14:solidFill>
              <w14:schemeClr w14:val="tx1"/>
            </w14:solidFill>
          </w14:textFill>
        </w:rPr>
        <w:t>26</w:t>
      </w:r>
      <w:r>
        <w:rPr>
          <w:rFonts w:ascii="仿宋" w:hAnsi="仿宋" w:eastAsia="仿宋"/>
          <w:snapToGrid w:val="0"/>
          <w:color w:val="000000" w:themeColor="text1"/>
          <w:kern w:val="0"/>
          <w:sz w:val="32"/>
          <w:szCs w:val="32"/>
          <w14:textFill>
            <w14:solidFill>
              <w14:schemeClr w14:val="tx1"/>
            </w14:solidFill>
          </w14:textFill>
        </w:rPr>
        <w:t>家）。其中，省级示范农场</w:t>
      </w:r>
      <w:r>
        <w:rPr>
          <w:rFonts w:hint="eastAsia" w:ascii="仿宋" w:hAnsi="仿宋" w:eastAsia="仿宋"/>
          <w:snapToGrid w:val="0"/>
          <w:color w:val="000000" w:themeColor="text1"/>
          <w:kern w:val="0"/>
          <w:sz w:val="32"/>
          <w:szCs w:val="32"/>
          <w14:textFill>
            <w14:solidFill>
              <w14:schemeClr w14:val="tx1"/>
            </w14:solidFill>
          </w14:textFill>
        </w:rPr>
        <w:t>18</w:t>
      </w:r>
      <w:r>
        <w:rPr>
          <w:rFonts w:ascii="仿宋" w:hAnsi="仿宋" w:eastAsia="仿宋"/>
          <w:snapToGrid w:val="0"/>
          <w:color w:val="000000" w:themeColor="text1"/>
          <w:kern w:val="0"/>
          <w:sz w:val="32"/>
          <w:szCs w:val="32"/>
          <w14:textFill>
            <w14:solidFill>
              <w14:schemeClr w14:val="tx1"/>
            </w14:solidFill>
          </w14:textFill>
        </w:rPr>
        <w:t>家</w:t>
      </w:r>
      <w:r>
        <w:rPr>
          <w:rFonts w:hint="eastAsia" w:ascii="仿宋" w:hAnsi="仿宋" w:eastAsia="仿宋"/>
          <w:snapToGrid w:val="0"/>
          <w:color w:val="000000" w:themeColor="text1"/>
          <w:kern w:val="0"/>
          <w:sz w:val="32"/>
          <w:szCs w:val="32"/>
          <w14:textFill>
            <w14:solidFill>
              <w14:schemeClr w14:val="tx1"/>
            </w14:solidFill>
          </w14:textFill>
        </w:rPr>
        <w:t>，</w:t>
      </w:r>
      <w:r>
        <w:rPr>
          <w:rFonts w:ascii="仿宋" w:hAnsi="仿宋" w:eastAsia="仿宋"/>
          <w:snapToGrid w:val="0"/>
          <w:color w:val="000000" w:themeColor="text1"/>
          <w:kern w:val="0"/>
          <w:sz w:val="32"/>
          <w:szCs w:val="32"/>
          <w14:textFill>
            <w14:solidFill>
              <w14:schemeClr w14:val="tx1"/>
            </w14:solidFill>
          </w14:textFill>
        </w:rPr>
        <w:t>市级示范农场</w:t>
      </w:r>
      <w:r>
        <w:rPr>
          <w:rFonts w:hint="eastAsia" w:ascii="仿宋" w:hAnsi="仿宋" w:eastAsia="仿宋"/>
          <w:snapToGrid w:val="0"/>
          <w:color w:val="000000" w:themeColor="text1"/>
          <w:kern w:val="0"/>
          <w:sz w:val="32"/>
          <w:szCs w:val="32"/>
          <w14:textFill>
            <w14:solidFill>
              <w14:schemeClr w14:val="tx1"/>
            </w14:solidFill>
          </w14:textFill>
        </w:rPr>
        <w:t>49</w:t>
      </w:r>
      <w:r>
        <w:rPr>
          <w:rFonts w:ascii="仿宋" w:hAnsi="仿宋" w:eastAsia="仿宋"/>
          <w:snapToGrid w:val="0"/>
          <w:color w:val="000000" w:themeColor="text1"/>
          <w:kern w:val="0"/>
          <w:sz w:val="32"/>
          <w:szCs w:val="32"/>
          <w14:textFill>
            <w14:solidFill>
              <w14:schemeClr w14:val="tx1"/>
            </w14:solidFill>
          </w14:textFill>
        </w:rPr>
        <w:t>家</w:t>
      </w:r>
      <w:r>
        <w:rPr>
          <w:rFonts w:hint="eastAsia" w:ascii="仿宋" w:hAnsi="仿宋" w:eastAsia="仿宋"/>
          <w:snapToGrid w:val="0"/>
          <w:color w:val="000000" w:themeColor="text1"/>
          <w:kern w:val="0"/>
          <w:sz w:val="32"/>
          <w:szCs w:val="32"/>
          <w14:textFill>
            <w14:solidFill>
              <w14:schemeClr w14:val="tx1"/>
            </w14:solidFill>
          </w14:textFill>
        </w:rPr>
        <w:t>，县级示范农场152家，省级示范农场和市级示范农场目前邢台市处于第一位次。</w:t>
      </w:r>
      <w:r>
        <w:rPr>
          <w:rFonts w:hint="eastAsia" w:ascii="仿宋" w:hAnsi="仿宋" w:eastAsia="仿宋" w:cs="仿宋"/>
          <w:color w:val="000000" w:themeColor="text1"/>
          <w:sz w:val="32"/>
          <w:szCs w:val="32"/>
          <w14:textFill>
            <w14:solidFill>
              <w14:schemeClr w14:val="tx1"/>
            </w14:solidFill>
          </w14:textFill>
        </w:rPr>
        <w:t>印发了《关于开展2021年度隆尧县县级示范家庭农场创建活动的通知》和《关于扎实开展农民合作社示范社创建活动的通知》，已评选出县级示范农场51家，根据省市文件精神，推荐市级示范农场26家，省级示范农场9家，材料已报市报省待批。</w:t>
      </w:r>
      <w:r>
        <w:rPr>
          <w:rFonts w:hint="eastAsia" w:ascii="仿宋" w:hAnsi="仿宋" w:eastAsia="仿宋"/>
          <w:snapToGrid w:val="0"/>
          <w:color w:val="000000" w:themeColor="text1"/>
          <w:kern w:val="0"/>
          <w:sz w:val="32"/>
          <w:szCs w:val="32"/>
          <w14:textFill>
            <w14:solidFill>
              <w14:schemeClr w14:val="tx1"/>
            </w14:solidFill>
          </w14:textFill>
        </w:rPr>
        <w:t>三是</w:t>
      </w:r>
      <w:r>
        <w:rPr>
          <w:rFonts w:hint="eastAsia" w:ascii="仿宋" w:hAnsi="仿宋" w:eastAsia="仿宋" w:cs="仿宋"/>
          <w:snapToGrid w:val="0"/>
          <w:color w:val="000000" w:themeColor="text1"/>
          <w:kern w:val="0"/>
          <w:sz w:val="32"/>
          <w:szCs w:val="32"/>
          <w14:textFill>
            <w14:solidFill>
              <w14:schemeClr w14:val="tx1"/>
            </w14:solidFill>
          </w14:textFill>
        </w:rPr>
        <w:t>农宅管理与改革有序推进。</w:t>
      </w:r>
      <w:r>
        <w:rPr>
          <w:rFonts w:hint="eastAsia" w:ascii="仿宋" w:hAnsi="仿宋" w:eastAsia="仿宋" w:cs="仿宋"/>
          <w:color w:val="000000" w:themeColor="text1"/>
          <w:sz w:val="32"/>
          <w:szCs w:val="32"/>
          <w14:textFill>
            <w14:solidFill>
              <w14:schemeClr w14:val="tx1"/>
            </w14:solidFill>
          </w14:textFill>
        </w:rPr>
        <w:t>成立农村宅基地管理与改革工作领导小组，明确机构负责人，承担日常协调、沟通、督促等工作，12个乡镇建立了宅基地审批管理工作专班工作站，276个村全部设立农村宅基协管员，形成了县、乡、村三级农村宅基地管理工作机构，做到了上下对口，指挥顺畅。</w:t>
      </w:r>
      <w:r>
        <w:rPr>
          <w:rFonts w:hint="eastAsia" w:ascii="仿宋" w:hAnsi="仿宋" w:eastAsia="仿宋" w:cs="仿宋"/>
          <w:snapToGrid w:val="0"/>
          <w:color w:val="000000" w:themeColor="text1"/>
          <w:kern w:val="0"/>
          <w:sz w:val="32"/>
          <w:szCs w:val="32"/>
          <w14:textFill>
            <w14:solidFill>
              <w14:schemeClr w14:val="tx1"/>
            </w14:solidFill>
          </w14:textFill>
        </w:rPr>
        <w:t>四是农村集体资产产权制度改革扎实推进。</w:t>
      </w:r>
      <w:r>
        <w:rPr>
          <w:rFonts w:hint="eastAsia" w:ascii="仿宋" w:hAnsi="仿宋" w:eastAsia="仿宋" w:cs="仿宋"/>
          <w:color w:val="000000" w:themeColor="text1"/>
          <w:kern w:val="0"/>
          <w:sz w:val="32"/>
          <w:szCs w:val="32"/>
          <w14:textFill>
            <w14:solidFill>
              <w14:schemeClr w14:val="tx1"/>
            </w14:solidFill>
          </w14:textFill>
        </w:rPr>
        <w:t>在完成全县</w:t>
      </w:r>
      <w:r>
        <w:rPr>
          <w:rFonts w:ascii="仿宋" w:hAnsi="仿宋" w:eastAsia="仿宋" w:cs="仿宋"/>
          <w:color w:val="000000" w:themeColor="text1"/>
          <w:kern w:val="0"/>
          <w:sz w:val="32"/>
          <w:szCs w:val="32"/>
          <w14:textFill>
            <w14:solidFill>
              <w14:schemeClr w14:val="tx1"/>
            </w14:solidFill>
          </w14:textFill>
        </w:rPr>
        <w:t>276</w:t>
      </w:r>
      <w:r>
        <w:rPr>
          <w:rFonts w:hint="eastAsia" w:ascii="仿宋" w:hAnsi="仿宋" w:eastAsia="仿宋" w:cs="仿宋"/>
          <w:color w:val="000000" w:themeColor="text1"/>
          <w:kern w:val="0"/>
          <w:sz w:val="32"/>
          <w:szCs w:val="32"/>
          <w14:textFill>
            <w14:solidFill>
              <w14:schemeClr w14:val="tx1"/>
            </w14:solidFill>
          </w14:textFill>
        </w:rPr>
        <w:t>个村清产核资、身份界定、“三会设立”、股权量化、农村集体经济组织赋码工作的基础上，</w:t>
      </w:r>
      <w:r>
        <w:rPr>
          <w:rFonts w:hint="eastAsia" w:ascii="仿宋" w:hAnsi="仿宋" w:eastAsia="仿宋" w:cs="仿宋"/>
          <w:color w:val="000000" w:themeColor="text1"/>
          <w:sz w:val="32"/>
          <w:szCs w:val="32"/>
          <w14:textFill>
            <w14:solidFill>
              <w14:schemeClr w14:val="tx1"/>
            </w14:solidFill>
          </w14:textFill>
        </w:rPr>
        <w:t>完成了12个乡镇农业农村部2020年的清产核资报表、年报和河北省农村集体经济收入台账管理系统276个村的基本情况和集体收入等数据的录入上报工作，</w:t>
      </w:r>
      <w:r>
        <w:rPr>
          <w:rFonts w:hint="eastAsia" w:ascii="仿宋" w:hAnsi="仿宋" w:eastAsia="仿宋"/>
          <w:color w:val="000000" w:themeColor="text1"/>
          <w:sz w:val="32"/>
          <w:szCs w:val="32"/>
          <w14:textFill>
            <w14:solidFill>
              <w14:schemeClr w14:val="tx1"/>
            </w14:solidFill>
          </w14:textFill>
        </w:rPr>
        <w:t>为上级制定政策提供了依据。</w:t>
      </w:r>
    </w:p>
    <w:p w14:paraId="4F25859A">
      <w:pPr>
        <w:pStyle w:val="9"/>
        <w:spacing w:line="560" w:lineRule="exact"/>
        <w:ind w:firstLine="640"/>
        <w:rPr>
          <w:rFonts w:ascii="仿宋" w:hAnsi="仿宋" w:eastAsia="仿宋"/>
          <w:color w:val="000000" w:themeColor="text1"/>
          <w:kern w:val="0"/>
          <w:sz w:val="32"/>
          <w:szCs w:val="32"/>
          <w14:textFill>
            <w14:solidFill>
              <w14:schemeClr w14:val="tx1"/>
            </w14:solidFill>
          </w14:textFill>
        </w:rPr>
      </w:pPr>
      <w:r>
        <w:rPr>
          <w:rFonts w:hint="eastAsia" w:ascii="仿宋" w:hAnsi="仿宋" w:eastAsia="仿宋" w:cs="楷体"/>
          <w:color w:val="000000" w:themeColor="text1"/>
          <w:sz w:val="32"/>
          <w:szCs w:val="32"/>
          <w:shd w:val="clear" w:color="auto" w:fill="FFFFFF"/>
          <w14:textFill>
            <w14:solidFill>
              <w14:schemeClr w14:val="tx1"/>
            </w14:solidFill>
          </w14:textFill>
        </w:rPr>
        <w:t>（8）乡村振兴示范区创建。</w:t>
      </w:r>
      <w:r>
        <w:rPr>
          <w:rFonts w:hint="eastAsia" w:ascii="仿宋" w:hAnsi="仿宋" w:eastAsia="仿宋" w:cs="楷体"/>
          <w:color w:val="000000" w:themeColor="text1"/>
          <w:sz w:val="32"/>
          <w:szCs w:val="32"/>
          <w14:textFill>
            <w14:solidFill>
              <w14:schemeClr w14:val="tx1"/>
            </w14:solidFill>
          </w14:textFill>
        </w:rPr>
        <w:t>一是</w:t>
      </w:r>
      <w:r>
        <w:rPr>
          <w:rFonts w:hint="eastAsia" w:ascii="仿宋" w:hAnsi="仿宋" w:eastAsia="仿宋" w:cs="仿宋"/>
          <w:color w:val="000000" w:themeColor="text1"/>
          <w:sz w:val="32"/>
          <w:szCs w:val="32"/>
          <w14:textFill>
            <w14:solidFill>
              <w14:schemeClr w14:val="tx1"/>
            </w14:solidFill>
          </w14:textFill>
        </w:rPr>
        <w:t>制定印发了《中共隆尧县委、隆尧县人民政府关于认真贯彻落实习近平总书记重要讲话精神，全面推进乡村振兴加快农业农村现代化的实施意见》（</w:t>
      </w:r>
      <w:r>
        <w:rPr>
          <w:rFonts w:hint="eastAsia" w:ascii="仿宋" w:hAnsi="仿宋" w:eastAsia="仿宋" w:cs="楷体"/>
          <w:color w:val="000000" w:themeColor="text1"/>
          <w:sz w:val="32"/>
          <w:szCs w:val="32"/>
          <w14:textFill>
            <w14:solidFill>
              <w14:schemeClr w14:val="tx1"/>
            </w14:solidFill>
          </w14:textFill>
        </w:rPr>
        <w:t>隆发【2021年】10号文件</w:t>
      </w:r>
      <w:r>
        <w:rPr>
          <w:rFonts w:hint="eastAsia" w:ascii="仿宋" w:hAnsi="仿宋" w:eastAsia="仿宋" w:cs="仿宋"/>
          <w:color w:val="000000" w:themeColor="text1"/>
          <w:sz w:val="32"/>
          <w:szCs w:val="32"/>
          <w14:textFill>
            <w14:solidFill>
              <w14:schemeClr w14:val="tx1"/>
            </w14:solidFill>
          </w14:textFill>
        </w:rPr>
        <w:t>）和《隆尧县2021年度推进乡村振兴战略实施工作要点》，二是以东方食品城为核心的10个村庄已认定为市级乡村振兴示范区，并建立乡村振兴推进制度，对示范区实行项目化管理，对已确定的26个建设项目进行了分解，落实到责任单位。三是北方现代农业园区提升为市级精品农业园区（</w:t>
      </w:r>
      <w:r>
        <w:rPr>
          <w:rFonts w:hint="eastAsia" w:ascii="仿宋" w:hAnsi="仿宋" w:eastAsia="仿宋" w:cs="楷体"/>
          <w:color w:val="000000" w:themeColor="text1"/>
          <w:sz w:val="32"/>
          <w:szCs w:val="32"/>
          <w14:textFill>
            <w14:solidFill>
              <w14:schemeClr w14:val="tx1"/>
            </w14:solidFill>
          </w14:textFill>
        </w:rPr>
        <w:t>邢农字【2021】3号文件</w:t>
      </w:r>
      <w:r>
        <w:rPr>
          <w:rFonts w:hint="eastAsia" w:ascii="仿宋" w:hAnsi="仿宋" w:eastAsia="仿宋" w:cs="仿宋"/>
          <w:color w:val="000000" w:themeColor="text1"/>
          <w:sz w:val="32"/>
          <w:szCs w:val="32"/>
          <w14:textFill>
            <w14:solidFill>
              <w14:schemeClr w14:val="tx1"/>
            </w14:solidFill>
          </w14:textFill>
        </w:rPr>
        <w:t>），柏人现代农业园区拟提升为市级精品农业园区，目前正在完善资料和制定规划书。</w:t>
      </w:r>
    </w:p>
    <w:p w14:paraId="6738E2B7">
      <w:pPr>
        <w:pStyle w:val="9"/>
        <w:spacing w:line="560" w:lineRule="exact"/>
        <w:ind w:firstLine="640"/>
        <w:rPr>
          <w:rFonts w:ascii="仿宋" w:hAnsi="仿宋" w:eastAsia="仿宋" w:cs="仿宋"/>
          <w:color w:val="000000" w:themeColor="text1"/>
          <w:sz w:val="32"/>
          <w:szCs w:val="32"/>
          <w:shd w:val="clear" w:color="auto" w:fill="FFFFFF"/>
          <w14:textFill>
            <w14:solidFill>
              <w14:schemeClr w14:val="tx1"/>
            </w14:solidFill>
          </w14:textFill>
        </w:rPr>
      </w:pPr>
      <w:r>
        <w:rPr>
          <w:rFonts w:hint="eastAsia" w:ascii="仿宋" w:hAnsi="仿宋" w:eastAsia="仿宋" w:cs="楷体"/>
          <w:color w:val="000000" w:themeColor="text1"/>
          <w:sz w:val="32"/>
          <w:szCs w:val="32"/>
          <w:shd w:val="clear" w:color="auto" w:fill="FFFFFF"/>
          <w14:textFill>
            <w14:solidFill>
              <w14:schemeClr w14:val="tx1"/>
            </w14:solidFill>
          </w14:textFill>
        </w:rPr>
        <w:t>（9）农业产业化工作。</w:t>
      </w:r>
      <w:r>
        <w:rPr>
          <w:rFonts w:hint="eastAsia" w:ascii="仿宋" w:hAnsi="仿宋" w:eastAsia="仿宋" w:cs="仿宋"/>
          <w:color w:val="000000" w:themeColor="text1"/>
          <w:sz w:val="32"/>
          <w:szCs w:val="32"/>
          <w14:textFill>
            <w14:solidFill>
              <w14:schemeClr w14:val="tx1"/>
            </w14:solidFill>
          </w14:textFill>
        </w:rPr>
        <w:t>河北柳行农业科技集团有限公司、河北兴东农业开发有限公司、河北丰旭农业开发有限公司3家企业被评为市级农业产业化龙头企业，河北凤韩食品有限公司、河北朝花夕实农业科技有限公司被评为省级农业产业化重点龙头企业。新增县级示范农场52家，推荐省级示范农场9家、市级示范农场26家。拟申报隆尧小孟甜瓜农业产业化联合体和隆尧梅庄苹果农业产业化联合体为市级农业产业化联合体，目前正在组织材料。</w:t>
      </w:r>
    </w:p>
    <w:p w14:paraId="0431821F">
      <w:pPr>
        <w:spacing w:line="560" w:lineRule="exact"/>
        <w:ind w:firstLine="640" w:firstLineChars="200"/>
        <w:rPr>
          <w:rFonts w:ascii="仿宋" w:hAnsi="仿宋" w:eastAsia="仿宋" w:cs="Times New Roman"/>
          <w:bCs/>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shd w:val="clear" w:color="auto" w:fill="FFFFFF"/>
          <w14:textFill>
            <w14:solidFill>
              <w14:schemeClr w14:val="tx1"/>
            </w14:solidFill>
          </w14:textFill>
        </w:rPr>
        <w:t>（10）农村人居环境整治工作。</w:t>
      </w:r>
      <w:r>
        <w:rPr>
          <w:rFonts w:hint="eastAsia" w:ascii="仿宋" w:hAnsi="仿宋" w:eastAsia="仿宋" w:cs="Times New Roman"/>
          <w:bCs/>
          <w:color w:val="000000" w:themeColor="text1"/>
          <w:sz w:val="32"/>
          <w:szCs w:val="32"/>
          <w14:textFill>
            <w14:solidFill>
              <w14:schemeClr w14:val="tx1"/>
            </w14:solidFill>
          </w14:textFill>
        </w:rPr>
        <w:t>重点抓了农村人居环境的巩固和提升，目前共改造各类卫生及无害化卫生厕所1808座，新建108座公厕的主体工程已经投入使用。共清理生活垃圾34621立方米，建设小游园、小菜园、小果园453个，村庄绿化2000亩，建设美丽庭院3600个。改造空心村39个。</w:t>
      </w:r>
    </w:p>
    <w:p w14:paraId="3B8DAA02">
      <w:pPr>
        <w:spacing w:line="560" w:lineRule="exact"/>
        <w:ind w:firstLine="640" w:firstLineChars="200"/>
        <w:rPr>
          <w:rFonts w:ascii="仿宋" w:hAnsi="仿宋" w:eastAsia="仿宋" w:cs="Times New Roman"/>
          <w:bCs/>
          <w:color w:val="000000" w:themeColor="text1"/>
          <w:sz w:val="32"/>
          <w:szCs w:val="32"/>
          <w14:textFill>
            <w14:solidFill>
              <w14:schemeClr w14:val="tx1"/>
            </w14:solidFill>
          </w14:textFill>
        </w:rPr>
      </w:pPr>
      <w:r>
        <w:rPr>
          <w:rFonts w:hint="eastAsia" w:ascii="仿宋" w:hAnsi="仿宋" w:eastAsia="仿宋" w:cs="楷体"/>
          <w:bCs/>
          <w:color w:val="000000" w:themeColor="text1"/>
          <w:sz w:val="32"/>
          <w:szCs w:val="32"/>
          <w14:textFill>
            <w14:solidFill>
              <w14:schemeClr w14:val="tx1"/>
            </w14:solidFill>
          </w14:textFill>
        </w:rPr>
        <w:t>（11）美丽乡村建设。</w:t>
      </w:r>
      <w:r>
        <w:rPr>
          <w:rFonts w:hint="eastAsia" w:ascii="仿宋" w:hAnsi="仿宋" w:eastAsia="仿宋" w:cs="仿宋"/>
          <w:bCs/>
          <w:color w:val="000000" w:themeColor="text1"/>
          <w:sz w:val="32"/>
          <w:szCs w:val="32"/>
          <w14:textFill>
            <w14:solidFill>
              <w14:schemeClr w14:val="tx1"/>
            </w14:solidFill>
          </w14:textFill>
        </w:rPr>
        <w:t>一是</w:t>
      </w:r>
      <w:r>
        <w:rPr>
          <w:rFonts w:hint="eastAsia" w:ascii="仿宋" w:hAnsi="仿宋" w:eastAsia="仿宋" w:cs="仿宋"/>
          <w:color w:val="000000" w:themeColor="text1"/>
          <w:sz w:val="32"/>
          <w:szCs w:val="32"/>
          <w14:textFill>
            <w14:solidFill>
              <w14:schemeClr w14:val="tx1"/>
            </w14:solidFill>
          </w14:textFill>
        </w:rPr>
        <w:t>完成了8个美丽乡村建设，即双碑乡的双碑、木花、王街、西良前、西良中5个村和莲子镇镇的莲子镇、西范、东庄3个村。重点任务涉及人居环境整治、建筑风貌改善和基础设施提升三项，具体任务为生活污水有效处理村庄数6个，改造户厕67座，建设公厕13座，村庄绿化面积49000平方米，建设小菜园、小果园、小游园21个，主要出入口设置村庄标识3个，巷道硬化1000平方米。圆满完成了年初制定的各项任务目标。二是公厕建设，</w:t>
      </w:r>
      <w:r>
        <w:rPr>
          <w:rFonts w:hint="eastAsia" w:ascii="仿宋" w:hAnsi="仿宋" w:eastAsia="仿宋" w:cs="仿宋"/>
          <w:color w:val="000000" w:themeColor="text1"/>
          <w:sz w:val="32"/>
          <w:szCs w:val="32"/>
          <w:shd w:val="clear" w:color="auto" w:fill="FFFFFF"/>
          <w14:textFill>
            <w14:solidFill>
              <w14:schemeClr w14:val="tx1"/>
            </w14:solidFill>
          </w14:textFill>
        </w:rPr>
        <w:t>我县的农村公厕建设任务是100座，截</w:t>
      </w:r>
      <w:r>
        <w:rPr>
          <w:rFonts w:hint="eastAsia" w:ascii="仿宋" w:hAnsi="仿宋" w:eastAsia="仿宋" w:cs="仿宋"/>
          <w:color w:val="000000" w:themeColor="text1"/>
          <w:sz w:val="32"/>
          <w:szCs w:val="32"/>
          <w:shd w:val="clear" w:color="auto" w:fill="FFFFFF"/>
          <w:lang w:eastAsia="zh-CN"/>
          <w14:textFill>
            <w14:solidFill>
              <w14:schemeClr w14:val="tx1"/>
            </w14:solidFill>
          </w14:textFill>
        </w:rPr>
        <w:t>至</w:t>
      </w:r>
      <w:r>
        <w:rPr>
          <w:rFonts w:hint="eastAsia" w:ascii="仿宋" w:hAnsi="仿宋" w:eastAsia="仿宋" w:cs="仿宋"/>
          <w:color w:val="000000" w:themeColor="text1"/>
          <w:sz w:val="32"/>
          <w:szCs w:val="32"/>
          <w:shd w:val="clear" w:color="auto" w:fill="FFFFFF"/>
          <w14:textFill>
            <w14:solidFill>
              <w14:schemeClr w14:val="tx1"/>
            </w14:solidFill>
          </w14:textFill>
        </w:rPr>
        <w:t>目前我县已经完成108座的建设任务，现已全部投入使用并建立了长效管护机制。在7月份全省农村厕所改造工作暨户厕问题摸排整改进度的通报中名列第三名。</w:t>
      </w:r>
    </w:p>
    <w:p w14:paraId="09ECAA51">
      <w:pPr>
        <w:spacing w:line="56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14:textFill>
            <w14:solidFill>
              <w14:schemeClr w14:val="tx1"/>
            </w14:solidFill>
          </w14:textFill>
        </w:rPr>
        <w:t>（12）积极推进巩固</w:t>
      </w:r>
      <w:r>
        <w:rPr>
          <w:rFonts w:hint="eastAsia" w:ascii="仿宋" w:hAnsi="仿宋" w:eastAsia="仿宋" w:cs="楷体"/>
          <w:color w:val="000000" w:themeColor="text1"/>
          <w:sz w:val="32"/>
          <w:szCs w:val="32"/>
          <w:lang w:eastAsia="zh-CN"/>
          <w14:textFill>
            <w14:solidFill>
              <w14:schemeClr w14:val="tx1"/>
            </w14:solidFill>
          </w14:textFill>
        </w:rPr>
        <w:t>拓展</w:t>
      </w:r>
      <w:r>
        <w:rPr>
          <w:rFonts w:hint="eastAsia" w:ascii="仿宋" w:hAnsi="仿宋" w:eastAsia="仿宋" w:cs="楷体"/>
          <w:color w:val="000000" w:themeColor="text1"/>
          <w:sz w:val="32"/>
          <w:szCs w:val="32"/>
          <w14:textFill>
            <w14:solidFill>
              <w14:schemeClr w14:val="tx1"/>
            </w14:solidFill>
          </w14:textFill>
        </w:rPr>
        <w:t>脱贫攻坚成果与乡村振兴有序衔接。</w:t>
      </w:r>
      <w:r>
        <w:rPr>
          <w:rFonts w:hint="eastAsia" w:ascii="仿宋" w:hAnsi="仿宋" w:eastAsia="仿宋" w:cs="仿宋"/>
          <w:color w:val="000000" w:themeColor="text1"/>
          <w:sz w:val="32"/>
          <w:szCs w:val="32"/>
          <w14:textFill>
            <w14:solidFill>
              <w14:schemeClr w14:val="tx1"/>
            </w14:solidFill>
          </w14:textFill>
        </w:rPr>
        <w:t>一是按照国家及省、市统一部署，将县扶贫开发办公室重组为县乡村振兴局，负责巩固拓展脱贫攻坚成果、统筹推进实施乡村振兴战略有关具体工作，6月2日在县农业农村局加挂牌子。二是制定出台了《中共隆尧县委、隆尧县人民政府关于实现巩固拓展脱贫攻坚成果同乡村振兴有效衔接的实施意见》，为我县高质量推进实施乡村振兴战略提供坚强体制机制保障。三是完善我县防贫防返贫机制。出台《关于防贫防返贫监测系统操作办法》，理顺操作流程，明确救助时限，压实责任分工。建立防贫监测线与低保线相挂钩的动态调整机制，将县级监测标准由“2020年按照农村家庭人均纯收入高于当年度国家脱贫线1.5倍以内（6000元）”，调整为“农村家庭人均纯收入低于农村低保线1.5倍（7254元）”。探索研究将城市边缘群体纳入防贫监测救助范围，研究起草了《隆尧县关于健全城镇低收入群体防贫监测和帮扶机制的指导意见》。开展了防止返贫动态监测和帮扶集中排查整改工作，共排查12个乡镇276个村 110064户，所有农户“三保障”和饮水安全稳定实现。新增10户37人，全部纳入了防返贫监测范围，均采取帮扶措施。四是积极开展预警、救助工作。927名村预警员通过电话、微信等的方式，利用手机APP及时启动预警，今年1-11月份，落实政策、低保、医疗、临时救助、防贫险、产业救助、社会救助等4973次，发放资金1103.68万元，没有出现一例返贫致贫现象。</w:t>
      </w:r>
    </w:p>
    <w:p w14:paraId="19DC64E7">
      <w:pPr>
        <w:widowControl/>
        <w:spacing w:line="600" w:lineRule="exact"/>
        <w:ind w:firstLine="640" w:firstLineChars="200"/>
        <w:rPr>
          <w:rFonts w:ascii="仿宋" w:hAnsi="仿宋" w:eastAsia="仿宋" w:cs="黑体"/>
          <w:b/>
          <w:bCs/>
          <w:sz w:val="32"/>
          <w:szCs w:val="32"/>
        </w:rPr>
      </w:pPr>
      <w:r>
        <w:rPr>
          <w:rFonts w:hint="eastAsia" w:ascii="仿宋" w:hAnsi="仿宋" w:eastAsia="仿宋" w:cs="楷体"/>
          <w:color w:val="000000" w:themeColor="text1"/>
          <w:sz w:val="32"/>
          <w:szCs w:val="32"/>
          <w14:textFill>
            <w14:solidFill>
              <w14:schemeClr w14:val="tx1"/>
            </w14:solidFill>
          </w14:textFill>
        </w:rPr>
        <w:t>（13）深入开展“千斤粮、万元钱”工程。</w:t>
      </w:r>
      <w:r>
        <w:rPr>
          <w:rFonts w:hint="eastAsia" w:ascii="仿宋" w:hAnsi="仿宋" w:eastAsia="仿宋" w:cs="仿宋"/>
          <w:color w:val="000000" w:themeColor="text1"/>
          <w:sz w:val="32"/>
          <w:szCs w:val="32"/>
          <w14:textFill>
            <w14:solidFill>
              <w14:schemeClr w14:val="tx1"/>
            </w14:solidFill>
          </w14:textFill>
        </w:rPr>
        <w:t>全年市局分配我县任务为60328亩。</w:t>
      </w:r>
      <w:r>
        <w:rPr>
          <w:rFonts w:hint="eastAsia" w:ascii="仿宋" w:hAnsi="仿宋" w:eastAsia="仿宋"/>
          <w:color w:val="000000" w:themeColor="text1"/>
          <w:sz w:val="32"/>
          <w:szCs w:val="32"/>
          <w14:textFill>
            <w14:solidFill>
              <w14:schemeClr w14:val="tx1"/>
            </w14:solidFill>
          </w14:textFill>
        </w:rPr>
        <w:t>制定印发了《隆尧县2021年“万元钱”种植业推进方案》，</w:t>
      </w:r>
      <w:r>
        <w:rPr>
          <w:rFonts w:hint="eastAsia" w:ascii="仿宋" w:hAnsi="仿宋" w:eastAsia="仿宋"/>
          <w:sz w:val="32"/>
          <w:szCs w:val="32"/>
        </w:rPr>
        <w:t>完成62533亩，其中：蔬菜22560亩，水果3195亩，中药材7313亩，特色粮油23284亩，全市排名第9名。</w:t>
      </w:r>
    </w:p>
    <w:p w14:paraId="0841D60F">
      <w:pPr>
        <w:adjustRightInd w:val="0"/>
        <w:ind w:firstLine="480" w:firstLineChars="150"/>
        <w:rPr>
          <w:rFonts w:ascii="仿宋" w:hAnsi="仿宋" w:eastAsia="仿宋" w:cs="仿宋"/>
          <w:sz w:val="32"/>
          <w:szCs w:val="32"/>
        </w:rPr>
      </w:pPr>
    </w:p>
    <w:p w14:paraId="33096303">
      <w:pPr>
        <w:pStyle w:val="19"/>
        <w:numPr>
          <w:ilvl w:val="0"/>
          <w:numId w:val="2"/>
        </w:numPr>
        <w:adjustRightInd w:val="0"/>
        <w:ind w:firstLineChars="0"/>
        <w:rPr>
          <w:rFonts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1404235C">
      <w:pPr>
        <w:adjustRightInd w:val="0"/>
        <w:ind w:left="284" w:firstLine="480" w:firstLineChars="150"/>
        <w:rPr>
          <w:rFonts w:ascii="仿宋" w:hAnsi="仿宋" w:eastAsia="仿宋" w:cs="仿宋"/>
          <w:sz w:val="32"/>
          <w:szCs w:val="32"/>
        </w:rPr>
      </w:pPr>
      <w:r>
        <w:rPr>
          <w:rFonts w:hint="eastAsia" w:ascii="仿宋" w:hAnsi="仿宋" w:eastAsia="仿宋" w:cs="仿宋"/>
          <w:sz w:val="32"/>
          <w:szCs w:val="32"/>
        </w:rPr>
        <w:t>根据财政下达项目资金，按照项目实施方案要求，落实财政资金到位率达100%，促进农业产业的发展，促进乡村振兴战略实施，减少因动物疫情产生的经济损失，无因动物防疫生态及公共安全事故；建立农产品检测和追溯系统，确保农产品检测合格率98%；建设良种技术示范区，新品种新技术覆盖率90%，农作物绿色防控覆盖率达70%，使农业增效农民增收，服务对象涉农企业、新型农业经营主体及受益农户满意度在95%以上。</w:t>
      </w:r>
    </w:p>
    <w:p w14:paraId="0F66D6C4">
      <w:pPr>
        <w:pStyle w:val="19"/>
        <w:numPr>
          <w:ilvl w:val="0"/>
          <w:numId w:val="1"/>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32AAD37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（一）评价对象绩效目标。</w:t>
      </w:r>
    </w:p>
    <w:p w14:paraId="5AAA117A">
      <w:pPr>
        <w:spacing w:line="500" w:lineRule="exact"/>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1、在全县实施农业综合开发土地治理、产业化经营、示范区等项目，依据省、市确定的项目配套资金；在全县开发县组织实施高标准农田、生态综合治理、中型灌区配套改造、产业化经营财政补助项目、贴息项目、设施蔬菜项目、部门项目等项目，大力推进重点开发、效益开发，有效改善农业生产条件和生态环境，提高农业综合生产能力提高粮食产能，扶持农业龙头企业和新型经营主体，带动农业特色主导产业发展，探索现代农业发展路径，示范引导全县现代农业发展，促进农业增效、农民增收。</w:t>
      </w:r>
    </w:p>
    <w:p w14:paraId="4FC10951">
      <w:pPr>
        <w:spacing w:line="500" w:lineRule="exact"/>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2、拉伸农业产业链条，提升农产品附加值，增加农民收入，创造县域经济发展新增长点；改善农村环境面貌，提升农民生产生活条件；使农业增效、农民增收、农村增活力；推动中央、省市和县委、县政府各县惠农政策落实，使农村经济健康发展、农民收入实现持续稳定增长农村经济持续较快发展；保障各项农村工作正常运行。</w:t>
      </w:r>
    </w:p>
    <w:p w14:paraId="298F1141">
      <w:pPr>
        <w:spacing w:line="500" w:lineRule="exact"/>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3、促进农业现代化、提高农业劳动生产率，增加农民收入；规范流转行为，优化资源配置，促进农业专业合作经济组织健康发展，加快新农村建设和城镇化进程；通过实施农村面貌改造提升行动和开展新民居中心村示范点建设，加快建设社会主义新农村，改善农村环境面貌提升农民生产生活条件。保障农业农村工作的正常运行。</w:t>
      </w:r>
    </w:p>
    <w:p w14:paraId="504F1CE5">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（二）绩效指标。</w:t>
      </w:r>
    </w:p>
    <w:p w14:paraId="63F024B7">
      <w:pPr>
        <w:adjustRightInd w:val="0"/>
        <w:spacing w:line="600" w:lineRule="exact"/>
        <w:ind w:firstLine="640"/>
        <w:rPr>
          <w:rFonts w:ascii="仿宋" w:hAnsi="仿宋" w:eastAsia="仿宋" w:cs="方正仿宋_GBK"/>
          <w:sz w:val="32"/>
          <w:szCs w:val="32"/>
        </w:rPr>
      </w:pPr>
      <w:r>
        <w:rPr>
          <w:rFonts w:hint="eastAsia" w:ascii="仿宋" w:hAnsi="仿宋" w:eastAsia="仿宋" w:cs="仿宋_GB2312"/>
          <w:sz w:val="32"/>
          <w:szCs w:val="32"/>
        </w:rPr>
        <w:t>(</w:t>
      </w:r>
      <w:r>
        <w:rPr>
          <w:rFonts w:hint="eastAsia" w:ascii="仿宋" w:hAnsi="仿宋" w:eastAsia="仿宋" w:cs="Times New Roman"/>
          <w:sz w:val="32"/>
          <w:szCs w:val="32"/>
        </w:rPr>
        <w:t>1)、指导粮食，农产品生产，组织落实促进主要农产品生产发展的相关政策措施，引导农业产业结构调整和产品</w:t>
      </w:r>
      <w:r>
        <w:rPr>
          <w:rFonts w:hint="eastAsia" w:ascii="仿宋" w:hAnsi="仿宋" w:eastAsia="仿宋" w:cs="方正仿宋_GBK"/>
          <w:sz w:val="32"/>
          <w:szCs w:val="32"/>
        </w:rPr>
        <w:t>品质的改善。会同有关部门指导农业标准化、规模化生产。负责提出农业固定资产投资规模和方向、财政性资金安排的意见。编报部门预算并组织执行。提出扶持农业农村发展的财政政策和项目建议，经批准后制定实施方案并指导实施。</w:t>
      </w:r>
    </w:p>
    <w:p w14:paraId="129FFE1C">
      <w:pPr>
        <w:spacing w:line="500" w:lineRule="exact"/>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(2)、负责农作物重大病虫害防治。会同有关部门制定动植物防疫检疫办法并指导实施，指导动植物防疫和检疫体系建设。组织、监督对县内动植物的防疫检疫工作，发布疫情并组织扑灭。组织植物检疫性有害生物普查。组织兽医医政、兽药药政药检工作。负责执业兽医的管理。</w:t>
      </w:r>
    </w:p>
    <w:p w14:paraId="2F9F4B35">
      <w:pPr>
        <w:spacing w:line="500" w:lineRule="exact"/>
        <w:ind w:firstLine="640" w:firstLineChars="200"/>
        <w:jc w:val="left"/>
        <w:rPr>
          <w:rFonts w:ascii="仿宋" w:hAnsi="仿宋" w:eastAsia="仿宋" w:cs="方正仿宋_GBK"/>
          <w:sz w:val="32"/>
          <w:szCs w:val="32"/>
        </w:rPr>
      </w:pPr>
      <w:r>
        <w:rPr>
          <w:rFonts w:hint="eastAsia" w:ascii="仿宋" w:hAnsi="仿宋" w:eastAsia="仿宋" w:cs="方正仿宋_GBK"/>
          <w:sz w:val="32"/>
          <w:szCs w:val="32"/>
        </w:rPr>
        <w:t>(3)、负责农机作业规范和技术标准的组织实施工作；承担依法组织实施农业机械安全监理和试验鉴定等有关工作；依法组织对在用的特定种类农业机械产品进行调查；指导农机作业安全和维修管理。</w:t>
      </w:r>
    </w:p>
    <w:p w14:paraId="556CCDD3">
      <w:pPr>
        <w:adjustRightInd w:val="0"/>
        <w:ind w:firstLine="480" w:firstLineChars="150"/>
        <w:rPr>
          <w:rFonts w:ascii="仿宋" w:hAnsi="仿宋" w:eastAsia="仿宋" w:cs="仿宋"/>
          <w:sz w:val="32"/>
          <w:szCs w:val="32"/>
        </w:rPr>
      </w:pPr>
    </w:p>
    <w:p w14:paraId="5BDBFCDB">
      <w:pPr>
        <w:pStyle w:val="19"/>
        <w:numPr>
          <w:ilvl w:val="0"/>
          <w:numId w:val="2"/>
        </w:numPr>
        <w:spacing w:line="600" w:lineRule="atLeast"/>
        <w:ind w:firstLineChars="0"/>
        <w:outlineLvl w:val="0"/>
        <w:rPr>
          <w:rFonts w:ascii="仿宋" w:hAnsi="仿宋" w:eastAsia="仿宋" w:cs="仿宋"/>
          <w:sz w:val="32"/>
          <w:szCs w:val="32"/>
        </w:rPr>
      </w:pPr>
      <w:r>
        <w:rPr>
          <w:rFonts w:hint="eastAsia" w:ascii="仿宋" w:hAnsi="仿宋" w:eastAsia="仿宋" w:cs="仿宋"/>
          <w:sz w:val="32"/>
          <w:szCs w:val="32"/>
        </w:rPr>
        <w:t>评价标准和评价方法。</w:t>
      </w:r>
    </w:p>
    <w:p w14:paraId="6DEE3218">
      <w:pPr>
        <w:spacing w:line="600" w:lineRule="atLeast"/>
        <w:ind w:left="284" w:firstLine="480" w:firstLineChars="150"/>
        <w:outlineLvl w:val="0"/>
        <w:rPr>
          <w:rFonts w:ascii="仿宋" w:hAnsi="仿宋" w:eastAsia="仿宋" w:cs="楷体_GB2312"/>
          <w:bCs/>
          <w:sz w:val="32"/>
          <w:szCs w:val="32"/>
        </w:rPr>
      </w:pPr>
      <w:r>
        <w:rPr>
          <w:rFonts w:hint="eastAsia" w:ascii="仿宋" w:hAnsi="仿宋" w:eastAsia="仿宋" w:cs="楷体_GB2312"/>
          <w:bCs/>
          <w:sz w:val="32"/>
          <w:szCs w:val="32"/>
        </w:rPr>
        <w:t>根据项目下达的任务清单及绩效指标（效果指标、</w:t>
      </w:r>
      <w:r>
        <w:rPr>
          <w:rFonts w:hint="eastAsia" w:ascii="仿宋" w:hAnsi="仿宋" w:eastAsia="仿宋" w:cs="黑体"/>
          <w:sz w:val="32"/>
          <w:szCs w:val="32"/>
        </w:rPr>
        <w:t>经济效益、社会效益、满意度指标）</w:t>
      </w:r>
      <w:r>
        <w:rPr>
          <w:rFonts w:hint="eastAsia" w:ascii="仿宋" w:hAnsi="仿宋" w:eastAsia="仿宋" w:cs="楷体_GB2312"/>
          <w:bCs/>
          <w:sz w:val="32"/>
          <w:szCs w:val="32"/>
        </w:rPr>
        <w:t>进行评价。认真收集整理评价基础数据资料，加强</w:t>
      </w:r>
      <w:r>
        <w:rPr>
          <w:rFonts w:hint="eastAsia" w:ascii="仿宋" w:hAnsi="仿宋" w:eastAsia="仿宋"/>
          <w:color w:val="000000"/>
          <w:sz w:val="32"/>
          <w:szCs w:val="32"/>
        </w:rPr>
        <w:t>现场勘验力度，严格自评材料审核，确保自评材料全面真实。</w:t>
      </w:r>
    </w:p>
    <w:p w14:paraId="08B35A1A">
      <w:pPr>
        <w:ind w:left="284" w:firstLine="480" w:firstLineChars="150"/>
        <w:rPr>
          <w:rFonts w:ascii="仿宋" w:hAnsi="仿宋" w:eastAsia="仿宋"/>
          <w:sz w:val="32"/>
          <w:szCs w:val="32"/>
        </w:rPr>
      </w:pPr>
      <w:r>
        <w:rPr>
          <w:rFonts w:hint="eastAsia" w:ascii="仿宋" w:hAnsi="仿宋" w:eastAsia="仿宋"/>
          <w:sz w:val="32"/>
          <w:szCs w:val="32"/>
        </w:rPr>
        <w:t xml:space="preserve">1、建立内部监督和评价机制。要建立健全内部控制监督检查和自我评价制度，及时发现问题、漏洞并加以解决、控制，将内部监督、绩效评价与干部考核相结合，采用适当方式予以内部公开。  </w:t>
      </w:r>
    </w:p>
    <w:p w14:paraId="4A756E86">
      <w:pPr>
        <w:ind w:firstLine="640" w:firstLineChars="200"/>
        <w:rPr>
          <w:rFonts w:ascii="仿宋" w:hAnsi="仿宋" w:eastAsia="仿宋"/>
          <w:sz w:val="32"/>
          <w:szCs w:val="32"/>
        </w:rPr>
      </w:pPr>
      <w:r>
        <w:rPr>
          <w:rFonts w:hint="eastAsia" w:ascii="仿宋" w:hAnsi="仿宋" w:eastAsia="仿宋"/>
          <w:sz w:val="32"/>
          <w:szCs w:val="32"/>
        </w:rPr>
        <w:t xml:space="preserve">2、纳入年度绩效评估与考核。绩效评价工作将作为各股室年终考评的重要组成部分，从而进一步推动绩效评价工作的开展。 </w:t>
      </w:r>
    </w:p>
    <w:p w14:paraId="224E04A8">
      <w:pPr>
        <w:ind w:firstLine="640" w:firstLineChars="200"/>
        <w:rPr>
          <w:rFonts w:ascii="仿宋" w:hAnsi="仿宋" w:eastAsia="仿宋"/>
          <w:sz w:val="32"/>
          <w:szCs w:val="32"/>
        </w:rPr>
      </w:pPr>
      <w:r>
        <w:rPr>
          <w:rFonts w:hint="eastAsia" w:ascii="仿宋" w:hAnsi="仿宋" w:eastAsia="仿宋"/>
          <w:sz w:val="32"/>
          <w:szCs w:val="32"/>
        </w:rPr>
        <w:t>3、强化外部监督。各股室要加强沟通协调和信息共享，形成监督合力，既对绩效评价实行专项检查，又结合日常工作开展检查，充分利用各股室出具的绩效评价报告，提高财务管理和审计的效率和效果，接受监督，并将监督检查结果、绩效评价情况作为安排财政预算、实施预算绩效评价与财务规划的重要依据。</w:t>
      </w:r>
    </w:p>
    <w:p w14:paraId="0C5B698E">
      <w:pPr>
        <w:adjustRightInd w:val="0"/>
        <w:ind w:firstLine="480" w:firstLineChars="150"/>
        <w:rPr>
          <w:rFonts w:ascii="仿宋" w:hAnsi="仿宋" w:eastAsia="仿宋" w:cs="仿宋"/>
          <w:sz w:val="32"/>
          <w:szCs w:val="32"/>
        </w:rPr>
      </w:pPr>
    </w:p>
    <w:p w14:paraId="5B85CC6B">
      <w:pPr>
        <w:pStyle w:val="19"/>
        <w:numPr>
          <w:ilvl w:val="0"/>
          <w:numId w:val="1"/>
        </w:numPr>
        <w:ind w:firstLineChars="0"/>
        <w:rPr>
          <w:rFonts w:ascii="仿宋" w:hAnsi="仿宋" w:eastAsia="仿宋" w:cs="仿宋"/>
          <w:sz w:val="32"/>
          <w:szCs w:val="32"/>
        </w:rPr>
      </w:pPr>
      <w:r>
        <w:rPr>
          <w:rFonts w:hint="eastAsia" w:ascii="黑体" w:hAnsi="黑体" w:eastAsia="黑体" w:cs="仿宋"/>
          <w:sz w:val="32"/>
          <w:szCs w:val="32"/>
        </w:rPr>
        <w:t>各项绩效目标的实现程度及差异性原因分析</w:t>
      </w:r>
      <w:r>
        <w:rPr>
          <w:rFonts w:hint="eastAsia" w:ascii="仿宋" w:hAnsi="仿宋" w:eastAsia="仿宋" w:cs="仿宋"/>
          <w:sz w:val="32"/>
          <w:szCs w:val="32"/>
        </w:rPr>
        <w:t>。</w:t>
      </w:r>
    </w:p>
    <w:p w14:paraId="6D745AA5">
      <w:pPr>
        <w:pStyle w:val="19"/>
        <w:ind w:left="1287" w:firstLine="0" w:firstLineChars="0"/>
        <w:rPr>
          <w:rFonts w:ascii="仿宋" w:hAnsi="仿宋" w:eastAsia="仿宋" w:cs="仿宋"/>
          <w:sz w:val="32"/>
          <w:szCs w:val="32"/>
        </w:rPr>
      </w:pPr>
      <w:r>
        <w:rPr>
          <w:rFonts w:hint="eastAsia" w:ascii="仿宋" w:hAnsi="仿宋" w:eastAsia="仿宋" w:cs="仿宋"/>
          <w:sz w:val="32"/>
          <w:szCs w:val="32"/>
        </w:rPr>
        <w:t>无</w:t>
      </w:r>
    </w:p>
    <w:p w14:paraId="43DA9132">
      <w:pPr>
        <w:pStyle w:val="19"/>
        <w:numPr>
          <w:ilvl w:val="0"/>
          <w:numId w:val="1"/>
        </w:numPr>
        <w:ind w:firstLineChars="0"/>
        <w:rPr>
          <w:rFonts w:ascii="黑体" w:hAnsi="黑体" w:eastAsia="黑体" w:cs="仿宋"/>
          <w:sz w:val="32"/>
          <w:szCs w:val="32"/>
        </w:rPr>
      </w:pPr>
      <w:r>
        <w:rPr>
          <w:rFonts w:hint="eastAsia" w:ascii="黑体" w:hAnsi="黑体" w:eastAsia="黑体" w:cs="仿宋"/>
          <w:sz w:val="32"/>
          <w:szCs w:val="32"/>
        </w:rPr>
        <w:t>存在问题</w:t>
      </w:r>
    </w:p>
    <w:p w14:paraId="1C8148FC">
      <w:pPr>
        <w:ind w:left="851" w:firstLine="480" w:firstLineChars="150"/>
        <w:rPr>
          <w:rFonts w:ascii="仿宋" w:hAnsi="仿宋" w:eastAsia="仿宋" w:cs="仿宋"/>
          <w:sz w:val="32"/>
          <w:szCs w:val="32"/>
        </w:rPr>
      </w:pPr>
      <w:r>
        <w:rPr>
          <w:rFonts w:hint="eastAsia" w:ascii="仿宋" w:hAnsi="仿宋" w:eastAsia="仿宋" w:cs="仿宋"/>
          <w:sz w:val="32"/>
          <w:szCs w:val="32"/>
        </w:rPr>
        <w:t>吸取2020年有些项目偏离绩效目标，认真反思，立行立改，严格执行绩效目标，严格执行项目建设工期，加大监管力度，确保项目建设按期完成。</w:t>
      </w:r>
    </w:p>
    <w:p w14:paraId="15DE8F82">
      <w:pPr>
        <w:ind w:firstLine="419" w:firstLineChars="131"/>
        <w:rPr>
          <w:rFonts w:ascii="黑体" w:hAnsi="黑体" w:eastAsia="黑体" w:cs="仿宋"/>
          <w:sz w:val="32"/>
          <w:szCs w:val="32"/>
        </w:rPr>
      </w:pPr>
      <w:r>
        <w:rPr>
          <w:rFonts w:hint="eastAsia" w:ascii="黑体" w:hAnsi="黑体" w:eastAsia="黑体" w:cs="仿宋"/>
          <w:sz w:val="32"/>
          <w:szCs w:val="32"/>
        </w:rPr>
        <w:t>六</w:t>
      </w:r>
      <w:r>
        <w:rPr>
          <w:rFonts w:hint="eastAsia" w:ascii="仿宋" w:hAnsi="仿宋" w:eastAsia="仿宋" w:cs="仿宋"/>
          <w:sz w:val="32"/>
          <w:szCs w:val="32"/>
        </w:rPr>
        <w:t>、</w:t>
      </w:r>
      <w:r>
        <w:rPr>
          <w:rFonts w:hint="eastAsia" w:ascii="黑体" w:hAnsi="黑体" w:eastAsia="黑体" w:cs="仿宋"/>
          <w:sz w:val="32"/>
          <w:szCs w:val="32"/>
        </w:rPr>
        <w:t>采取的纠偏措施及改进绩效管理建议。</w:t>
      </w:r>
    </w:p>
    <w:p w14:paraId="40D3F1DB">
      <w:pPr>
        <w:widowControl/>
        <w:spacing w:line="560" w:lineRule="exact"/>
        <w:ind w:firstLine="640" w:firstLineChars="200"/>
        <w:rPr>
          <w:rFonts w:ascii="仿宋" w:hAnsi="仿宋" w:eastAsia="仿宋"/>
          <w:sz w:val="32"/>
          <w:szCs w:val="32"/>
        </w:rPr>
      </w:pPr>
      <w:r>
        <w:rPr>
          <w:rFonts w:hint="eastAsia" w:ascii="仿宋" w:hAnsi="仿宋" w:eastAsia="仿宋"/>
          <w:sz w:val="32"/>
          <w:szCs w:val="32"/>
        </w:rPr>
        <w:t>1、严格执行项目实施计划，按年度计划合理组织项目实施，提前做好项目招投标工作，确保项目年内建设。</w:t>
      </w:r>
    </w:p>
    <w:p w14:paraId="3EF9CFDE">
      <w:pPr>
        <w:widowControl/>
        <w:spacing w:line="560" w:lineRule="exact"/>
        <w:ind w:firstLine="640" w:firstLineChars="200"/>
        <w:rPr>
          <w:rFonts w:ascii="仿宋" w:hAnsi="仿宋" w:eastAsia="仿宋"/>
          <w:sz w:val="32"/>
          <w:szCs w:val="32"/>
        </w:rPr>
      </w:pPr>
      <w:r>
        <w:rPr>
          <w:rFonts w:hint="eastAsia" w:ascii="仿宋" w:hAnsi="仿宋" w:eastAsia="仿宋"/>
          <w:sz w:val="32"/>
          <w:szCs w:val="32"/>
        </w:rPr>
        <w:t>2、严格项目运行管理，加强事中监管、监督检查、确保项目工程建设质量，确保项目资金使用安全。</w:t>
      </w:r>
    </w:p>
    <w:p w14:paraId="2316F326">
      <w:pPr>
        <w:widowControl/>
        <w:spacing w:line="560" w:lineRule="exact"/>
        <w:ind w:firstLine="640" w:firstLineChars="200"/>
        <w:rPr>
          <w:rFonts w:ascii="仿宋" w:hAnsi="仿宋" w:eastAsia="仿宋"/>
          <w:sz w:val="32"/>
          <w:szCs w:val="32"/>
        </w:rPr>
      </w:pPr>
      <w:r>
        <w:rPr>
          <w:rFonts w:hint="eastAsia" w:ascii="仿宋" w:hAnsi="仿宋" w:eastAsia="仿宋"/>
          <w:sz w:val="32"/>
          <w:szCs w:val="32"/>
        </w:rPr>
        <w:t>进一步加快工作进度和资金</w:t>
      </w:r>
      <w:r>
        <w:rPr>
          <w:rFonts w:hint="eastAsia" w:ascii="仿宋" w:hAnsi="仿宋" w:eastAsia="仿宋"/>
          <w:sz w:val="32"/>
          <w:szCs w:val="32"/>
          <w:lang w:eastAsia="zh-CN"/>
        </w:rPr>
        <w:t>拨</w:t>
      </w:r>
      <w:r>
        <w:rPr>
          <w:rFonts w:hint="eastAsia" w:ascii="仿宋" w:hAnsi="仿宋" w:eastAsia="仿宋"/>
          <w:sz w:val="32"/>
          <w:szCs w:val="32"/>
        </w:rPr>
        <w:t>付进度，高质量完成项目要求的各项工作，完成全年工作目标。</w:t>
      </w:r>
    </w:p>
    <w:p w14:paraId="7FBA8B87">
      <w:pPr>
        <w:rPr>
          <w:rFonts w:ascii="仿宋" w:hAnsi="仿宋" w:eastAsia="仿宋" w:cs="仿宋"/>
          <w:color w:val="FF0000"/>
          <w:sz w:val="32"/>
          <w:szCs w:val="32"/>
        </w:rPr>
      </w:pPr>
    </w:p>
    <w:p w14:paraId="649DD45C">
      <w:pPr>
        <w:pStyle w:val="19"/>
        <w:ind w:left="1571" w:firstLine="0" w:firstLineChars="0"/>
        <w:rPr>
          <w:rFonts w:ascii="黑体" w:hAnsi="黑体" w:eastAsia="黑体" w:cs="仿宋"/>
          <w:sz w:val="32"/>
          <w:szCs w:val="32"/>
        </w:rPr>
      </w:pPr>
    </w:p>
    <w:p w14:paraId="0B238331">
      <w:pPr>
        <w:rPr>
          <w:rFonts w:ascii="黑体" w:hAnsi="黑体" w:eastAsia="黑体" w:cs="仿宋"/>
          <w:sz w:val="32"/>
          <w:szCs w:val="32"/>
        </w:rPr>
      </w:pPr>
    </w:p>
    <w:p w14:paraId="50A50475">
      <w:pPr>
        <w:rPr>
          <w:rFonts w:ascii="黑体" w:hAnsi="黑体" w:eastAsia="黑体" w:cs="仿宋"/>
          <w:sz w:val="32"/>
          <w:szCs w:val="32"/>
        </w:rPr>
      </w:pPr>
      <w:bookmarkStart w:id="0" w:name="_GoBack"/>
      <w:bookmarkEnd w:id="0"/>
    </w:p>
    <w:p w14:paraId="76FAAC8B">
      <w:pPr>
        <w:rPr>
          <w:rFonts w:ascii="黑体" w:hAnsi="黑体" w:eastAsia="黑体" w:cs="仿宋"/>
          <w:sz w:val="32"/>
          <w:szCs w:val="32"/>
        </w:rPr>
      </w:pPr>
    </w:p>
    <w:p w14:paraId="5EE373CF">
      <w:pPr>
        <w:rPr>
          <w:rFonts w:ascii="黑体" w:hAnsi="黑体" w:eastAsia="黑体" w:cs="仿宋"/>
          <w:sz w:val="32"/>
          <w:szCs w:val="32"/>
        </w:rPr>
      </w:pPr>
    </w:p>
    <w:p w14:paraId="023A3014">
      <w:pPr>
        <w:rPr>
          <w:rFonts w:ascii="黑体" w:hAnsi="黑体" w:eastAsia="黑体" w:cs="仿宋"/>
          <w:sz w:val="32"/>
          <w:szCs w:val="32"/>
        </w:rPr>
      </w:pPr>
    </w:p>
    <w:p w14:paraId="73CA1302">
      <w:pPr>
        <w:rPr>
          <w:rFonts w:ascii="黑体" w:hAnsi="黑体" w:eastAsia="黑体" w:cs="仿宋"/>
          <w:sz w:val="32"/>
          <w:szCs w:val="32"/>
        </w:rPr>
      </w:pPr>
    </w:p>
    <w:p w14:paraId="30AB1674">
      <w:pPr>
        <w:rPr>
          <w:rFonts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 w:name="华文仿宋">
    <w:altName w:val="hakuyoxingshu7000"/>
    <w:panose1 w:val="00000000000000000000"/>
    <w:charset w:val="86"/>
    <w:family w:val="auto"/>
    <w:pitch w:val="default"/>
    <w:sig w:usb0="00000000" w:usb1="00000000" w:usb2="00000000" w:usb3="00000000" w:csb0="0004009F" w:csb1="DFD70000"/>
  </w:font>
  <w:font w:name="hakuyoxingshu7000">
    <w:panose1 w:val="02000600000000000000"/>
    <w:charset w:val="86"/>
    <w:family w:val="auto"/>
    <w:pitch w:val="default"/>
    <w:sig w:usb0="FFFFFFFF" w:usb1="E9FFFFFF" w:usb2="0000003F" w:usb3="00000000" w:csb0="603F00FF" w:csb1="FFFF0000"/>
  </w:font>
  <w:font w:name="楷体_GB2312">
    <w:altName w:val="楷体"/>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12145">
    <w:pPr>
      <w:pStyle w:val="6"/>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14</w:t>
    </w:r>
    <w:r>
      <w:rPr>
        <w:rStyle w:val="13"/>
        <w:rFonts w:ascii="宋体" w:hAnsi="宋体" w:eastAsia="宋体"/>
        <w:sz w:val="28"/>
        <w:szCs w:val="28"/>
      </w:rPr>
      <w:fldChar w:fldCharType="end"/>
    </w:r>
    <w:r>
      <w:rPr>
        <w:rStyle w:val="13"/>
        <w:rFonts w:hint="eastAsia" w:ascii="宋体" w:hAnsi="宋体" w:eastAsia="宋体"/>
        <w:sz w:val="28"/>
        <w:szCs w:val="28"/>
      </w:rPr>
      <w:t>-</w:t>
    </w:r>
  </w:p>
  <w:p w14:paraId="68098BD3">
    <w:pPr>
      <w:pStyle w:val="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564F6">
    <w:pPr>
      <w:pStyle w:val="6"/>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14:paraId="36411489">
    <w:pPr>
      <w:pStyle w:val="6"/>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F74CE2"/>
    <w:multiLevelType w:val="multilevel"/>
    <w:tmpl w:val="58F74CE2"/>
    <w:lvl w:ilvl="0" w:tentative="0">
      <w:start w:val="2"/>
      <w:numFmt w:val="japaneseCounting"/>
      <w:lvlText w:val="%1、"/>
      <w:lvlJc w:val="left"/>
      <w:pPr>
        <w:ind w:left="1287" w:hanging="720"/>
      </w:pPr>
      <w:rPr>
        <w:rFonts w:hint="default"/>
        <w:b/>
      </w:rPr>
    </w:lvl>
    <w:lvl w:ilvl="1" w:tentative="0">
      <w:start w:val="1"/>
      <w:numFmt w:val="lowerLetter"/>
      <w:lvlText w:val="%2)"/>
      <w:lvlJc w:val="left"/>
      <w:pPr>
        <w:ind w:left="1691" w:hanging="420"/>
      </w:pPr>
    </w:lvl>
    <w:lvl w:ilvl="2" w:tentative="0">
      <w:start w:val="1"/>
      <w:numFmt w:val="lowerRoman"/>
      <w:lvlText w:val="%3."/>
      <w:lvlJc w:val="right"/>
      <w:pPr>
        <w:ind w:left="2111" w:hanging="420"/>
      </w:pPr>
    </w:lvl>
    <w:lvl w:ilvl="3" w:tentative="0">
      <w:start w:val="1"/>
      <w:numFmt w:val="decimal"/>
      <w:lvlText w:val="%4."/>
      <w:lvlJc w:val="left"/>
      <w:pPr>
        <w:ind w:left="2531" w:hanging="420"/>
      </w:pPr>
    </w:lvl>
    <w:lvl w:ilvl="4" w:tentative="0">
      <w:start w:val="1"/>
      <w:numFmt w:val="lowerLetter"/>
      <w:lvlText w:val="%5)"/>
      <w:lvlJc w:val="left"/>
      <w:pPr>
        <w:ind w:left="2951" w:hanging="420"/>
      </w:pPr>
    </w:lvl>
    <w:lvl w:ilvl="5" w:tentative="0">
      <w:start w:val="1"/>
      <w:numFmt w:val="lowerRoman"/>
      <w:lvlText w:val="%6."/>
      <w:lvlJc w:val="right"/>
      <w:pPr>
        <w:ind w:left="3371" w:hanging="420"/>
      </w:pPr>
    </w:lvl>
    <w:lvl w:ilvl="6" w:tentative="0">
      <w:start w:val="1"/>
      <w:numFmt w:val="decimal"/>
      <w:lvlText w:val="%7."/>
      <w:lvlJc w:val="left"/>
      <w:pPr>
        <w:ind w:left="3791" w:hanging="420"/>
      </w:pPr>
    </w:lvl>
    <w:lvl w:ilvl="7" w:tentative="0">
      <w:start w:val="1"/>
      <w:numFmt w:val="lowerLetter"/>
      <w:lvlText w:val="%8)"/>
      <w:lvlJc w:val="left"/>
      <w:pPr>
        <w:ind w:left="4211" w:hanging="420"/>
      </w:pPr>
    </w:lvl>
    <w:lvl w:ilvl="8" w:tentative="0">
      <w:start w:val="1"/>
      <w:numFmt w:val="lowerRoman"/>
      <w:lvlText w:val="%9."/>
      <w:lvlJc w:val="right"/>
      <w:pPr>
        <w:ind w:left="4631" w:hanging="420"/>
      </w:pPr>
    </w:lvl>
  </w:abstractNum>
  <w:abstractNum w:abstractNumId="1">
    <w:nsid w:val="5C2A71D1"/>
    <w:multiLevelType w:val="multilevel"/>
    <w:tmpl w:val="5C2A71D1"/>
    <w:lvl w:ilvl="0" w:tentative="0">
      <w:start w:val="1"/>
      <w:numFmt w:val="japaneseCounting"/>
      <w:lvlText w:val="（%1）"/>
      <w:lvlJc w:val="left"/>
      <w:pPr>
        <w:ind w:left="1080" w:hanging="1080"/>
      </w:pPr>
      <w:rPr>
        <w:rFonts w:hint="default"/>
      </w:rPr>
    </w:lvl>
    <w:lvl w:ilvl="1" w:tentative="0">
      <w:start w:val="1"/>
      <w:numFmt w:val="lowerLetter"/>
      <w:lvlText w:val="%2)"/>
      <w:lvlJc w:val="left"/>
      <w:pPr>
        <w:ind w:left="1036" w:hanging="420"/>
      </w:pPr>
    </w:lvl>
    <w:lvl w:ilvl="2" w:tentative="0">
      <w:start w:val="1"/>
      <w:numFmt w:val="lowerRoman"/>
      <w:lvlText w:val="%3."/>
      <w:lvlJc w:val="right"/>
      <w:pPr>
        <w:ind w:left="1456" w:hanging="420"/>
      </w:pPr>
    </w:lvl>
    <w:lvl w:ilvl="3" w:tentative="0">
      <w:start w:val="1"/>
      <w:numFmt w:val="decimal"/>
      <w:lvlText w:val="%4."/>
      <w:lvlJc w:val="left"/>
      <w:pPr>
        <w:ind w:left="1876" w:hanging="420"/>
      </w:pPr>
    </w:lvl>
    <w:lvl w:ilvl="4" w:tentative="0">
      <w:start w:val="1"/>
      <w:numFmt w:val="lowerLetter"/>
      <w:lvlText w:val="%5)"/>
      <w:lvlJc w:val="left"/>
      <w:pPr>
        <w:ind w:left="2296" w:hanging="420"/>
      </w:pPr>
    </w:lvl>
    <w:lvl w:ilvl="5" w:tentative="0">
      <w:start w:val="1"/>
      <w:numFmt w:val="lowerRoman"/>
      <w:lvlText w:val="%6."/>
      <w:lvlJc w:val="right"/>
      <w:pPr>
        <w:ind w:left="2716" w:hanging="420"/>
      </w:pPr>
    </w:lvl>
    <w:lvl w:ilvl="6" w:tentative="0">
      <w:start w:val="1"/>
      <w:numFmt w:val="decimal"/>
      <w:lvlText w:val="%7."/>
      <w:lvlJc w:val="left"/>
      <w:pPr>
        <w:ind w:left="3136" w:hanging="420"/>
      </w:pPr>
    </w:lvl>
    <w:lvl w:ilvl="7" w:tentative="0">
      <w:start w:val="1"/>
      <w:numFmt w:val="lowerLetter"/>
      <w:lvlText w:val="%8)"/>
      <w:lvlJc w:val="left"/>
      <w:pPr>
        <w:ind w:left="3556" w:hanging="420"/>
      </w:pPr>
    </w:lvl>
    <w:lvl w:ilvl="8" w:tentative="0">
      <w:start w:val="1"/>
      <w:numFmt w:val="lowerRoman"/>
      <w:lvlText w:val="%9."/>
      <w:lvlJc w:val="right"/>
      <w:pPr>
        <w:ind w:left="3976"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NhMmUwOWQwNWYxZmUwOGRiYjc5OTkzNjBmN2RlMTAifQ=="/>
  </w:docVars>
  <w:rsids>
    <w:rsidRoot w:val="00042933"/>
    <w:rsid w:val="000028DD"/>
    <w:rsid w:val="00002F2C"/>
    <w:rsid w:val="00006FE5"/>
    <w:rsid w:val="000070A8"/>
    <w:rsid w:val="00016CA4"/>
    <w:rsid w:val="000324AE"/>
    <w:rsid w:val="00042933"/>
    <w:rsid w:val="0005239B"/>
    <w:rsid w:val="00074438"/>
    <w:rsid w:val="0008033E"/>
    <w:rsid w:val="00083780"/>
    <w:rsid w:val="0008759D"/>
    <w:rsid w:val="00094F2B"/>
    <w:rsid w:val="000B0A83"/>
    <w:rsid w:val="000B6322"/>
    <w:rsid w:val="000C2CC1"/>
    <w:rsid w:val="000C5452"/>
    <w:rsid w:val="000D4249"/>
    <w:rsid w:val="000E4A5A"/>
    <w:rsid w:val="00103547"/>
    <w:rsid w:val="0011546D"/>
    <w:rsid w:val="001233C3"/>
    <w:rsid w:val="00136EC7"/>
    <w:rsid w:val="0017068B"/>
    <w:rsid w:val="00184CAE"/>
    <w:rsid w:val="00185A3C"/>
    <w:rsid w:val="00192D5A"/>
    <w:rsid w:val="001C59B3"/>
    <w:rsid w:val="001D49CC"/>
    <w:rsid w:val="001E0886"/>
    <w:rsid w:val="001E6102"/>
    <w:rsid w:val="001F7E31"/>
    <w:rsid w:val="002071BC"/>
    <w:rsid w:val="0022134B"/>
    <w:rsid w:val="00225AE6"/>
    <w:rsid w:val="002270EB"/>
    <w:rsid w:val="00235F0F"/>
    <w:rsid w:val="00255783"/>
    <w:rsid w:val="0028127D"/>
    <w:rsid w:val="00282C42"/>
    <w:rsid w:val="00290BA1"/>
    <w:rsid w:val="002A6AEA"/>
    <w:rsid w:val="002C7B5F"/>
    <w:rsid w:val="002F07DF"/>
    <w:rsid w:val="002F2268"/>
    <w:rsid w:val="00306712"/>
    <w:rsid w:val="00386CCA"/>
    <w:rsid w:val="003A1233"/>
    <w:rsid w:val="003A20DB"/>
    <w:rsid w:val="003B30E2"/>
    <w:rsid w:val="003B3CBB"/>
    <w:rsid w:val="003C50C2"/>
    <w:rsid w:val="003D56E3"/>
    <w:rsid w:val="003D6DB9"/>
    <w:rsid w:val="003E3C45"/>
    <w:rsid w:val="0041099F"/>
    <w:rsid w:val="00423D50"/>
    <w:rsid w:val="00436A1D"/>
    <w:rsid w:val="004379D7"/>
    <w:rsid w:val="00454A50"/>
    <w:rsid w:val="004A68B1"/>
    <w:rsid w:val="004B64F3"/>
    <w:rsid w:val="004E3B64"/>
    <w:rsid w:val="005020C5"/>
    <w:rsid w:val="00567FE6"/>
    <w:rsid w:val="00571169"/>
    <w:rsid w:val="0058162A"/>
    <w:rsid w:val="005B2327"/>
    <w:rsid w:val="005B3616"/>
    <w:rsid w:val="005E12FA"/>
    <w:rsid w:val="0062001A"/>
    <w:rsid w:val="006279F4"/>
    <w:rsid w:val="00676510"/>
    <w:rsid w:val="00683167"/>
    <w:rsid w:val="00691193"/>
    <w:rsid w:val="006A1CCC"/>
    <w:rsid w:val="006A5056"/>
    <w:rsid w:val="006E64C9"/>
    <w:rsid w:val="007048FF"/>
    <w:rsid w:val="00712100"/>
    <w:rsid w:val="0071700D"/>
    <w:rsid w:val="00732816"/>
    <w:rsid w:val="00742652"/>
    <w:rsid w:val="00752E24"/>
    <w:rsid w:val="00756EFC"/>
    <w:rsid w:val="007641F8"/>
    <w:rsid w:val="00772600"/>
    <w:rsid w:val="00776B6C"/>
    <w:rsid w:val="007A2EB8"/>
    <w:rsid w:val="007A7631"/>
    <w:rsid w:val="007D5D41"/>
    <w:rsid w:val="007F01F9"/>
    <w:rsid w:val="0082503B"/>
    <w:rsid w:val="0083552D"/>
    <w:rsid w:val="008559B1"/>
    <w:rsid w:val="00856BA1"/>
    <w:rsid w:val="00865B8E"/>
    <w:rsid w:val="00867620"/>
    <w:rsid w:val="008709E0"/>
    <w:rsid w:val="008A6A10"/>
    <w:rsid w:val="008A6A31"/>
    <w:rsid w:val="008C54C8"/>
    <w:rsid w:val="00904AF4"/>
    <w:rsid w:val="00905542"/>
    <w:rsid w:val="00917700"/>
    <w:rsid w:val="00921750"/>
    <w:rsid w:val="009343E1"/>
    <w:rsid w:val="00956F74"/>
    <w:rsid w:val="00971A6E"/>
    <w:rsid w:val="009841E5"/>
    <w:rsid w:val="009A1FE5"/>
    <w:rsid w:val="009A285F"/>
    <w:rsid w:val="009B0B5F"/>
    <w:rsid w:val="009C04DA"/>
    <w:rsid w:val="009C4C62"/>
    <w:rsid w:val="009E3627"/>
    <w:rsid w:val="009F53E7"/>
    <w:rsid w:val="00A063D6"/>
    <w:rsid w:val="00A10E4F"/>
    <w:rsid w:val="00A11BF8"/>
    <w:rsid w:val="00A14A33"/>
    <w:rsid w:val="00A26281"/>
    <w:rsid w:val="00A5698D"/>
    <w:rsid w:val="00A6449D"/>
    <w:rsid w:val="00A67AAC"/>
    <w:rsid w:val="00A768DB"/>
    <w:rsid w:val="00A93A5F"/>
    <w:rsid w:val="00AA09C8"/>
    <w:rsid w:val="00AA2ABC"/>
    <w:rsid w:val="00AA7F7B"/>
    <w:rsid w:val="00AD5F30"/>
    <w:rsid w:val="00B0681D"/>
    <w:rsid w:val="00B35917"/>
    <w:rsid w:val="00B460EF"/>
    <w:rsid w:val="00B56C08"/>
    <w:rsid w:val="00B81BB7"/>
    <w:rsid w:val="00B9023F"/>
    <w:rsid w:val="00BC13EB"/>
    <w:rsid w:val="00BC1FDC"/>
    <w:rsid w:val="00BD0FD8"/>
    <w:rsid w:val="00C04EB5"/>
    <w:rsid w:val="00C310D9"/>
    <w:rsid w:val="00C44804"/>
    <w:rsid w:val="00C610A7"/>
    <w:rsid w:val="00C6362A"/>
    <w:rsid w:val="00C63AA0"/>
    <w:rsid w:val="00C81363"/>
    <w:rsid w:val="00C97AC7"/>
    <w:rsid w:val="00CB27A5"/>
    <w:rsid w:val="00CD55ED"/>
    <w:rsid w:val="00CD63C0"/>
    <w:rsid w:val="00CE62A0"/>
    <w:rsid w:val="00CF19FF"/>
    <w:rsid w:val="00D21F0C"/>
    <w:rsid w:val="00D366C1"/>
    <w:rsid w:val="00D36CB5"/>
    <w:rsid w:val="00D877F7"/>
    <w:rsid w:val="00DA2A78"/>
    <w:rsid w:val="00DA5696"/>
    <w:rsid w:val="00DB2D43"/>
    <w:rsid w:val="00DC4BA9"/>
    <w:rsid w:val="00E266F1"/>
    <w:rsid w:val="00E3413D"/>
    <w:rsid w:val="00E534C3"/>
    <w:rsid w:val="00E53F05"/>
    <w:rsid w:val="00E578ED"/>
    <w:rsid w:val="00E878F5"/>
    <w:rsid w:val="00E924C0"/>
    <w:rsid w:val="00E92DE3"/>
    <w:rsid w:val="00EA154F"/>
    <w:rsid w:val="00EB16A8"/>
    <w:rsid w:val="00EB2EB4"/>
    <w:rsid w:val="00EC7904"/>
    <w:rsid w:val="00F06996"/>
    <w:rsid w:val="00F25F5B"/>
    <w:rsid w:val="00F72E93"/>
    <w:rsid w:val="00F87A11"/>
    <w:rsid w:val="00FB131C"/>
    <w:rsid w:val="00FB2D24"/>
    <w:rsid w:val="00FB7E01"/>
    <w:rsid w:val="00FC424E"/>
    <w:rsid w:val="00FE5F4C"/>
    <w:rsid w:val="00FF39F6"/>
    <w:rsid w:val="05374814"/>
    <w:rsid w:val="0C8F0285"/>
    <w:rsid w:val="0CD0364E"/>
    <w:rsid w:val="0E481C4E"/>
    <w:rsid w:val="0F8F6BFC"/>
    <w:rsid w:val="107166F3"/>
    <w:rsid w:val="1C841DE7"/>
    <w:rsid w:val="2A0A6A4D"/>
    <w:rsid w:val="3791647A"/>
    <w:rsid w:val="3FB87F0A"/>
    <w:rsid w:val="455969D8"/>
    <w:rsid w:val="48725571"/>
    <w:rsid w:val="4BDB04ED"/>
    <w:rsid w:val="519F24C4"/>
    <w:rsid w:val="526A3656"/>
    <w:rsid w:val="53CD5365"/>
    <w:rsid w:val="5D643D56"/>
    <w:rsid w:val="64283056"/>
    <w:rsid w:val="69BD0A47"/>
    <w:rsid w:val="71A911C9"/>
    <w:rsid w:val="71CE3B9F"/>
    <w:rsid w:val="76FB60E6"/>
    <w:rsid w:val="7793669D"/>
    <w:rsid w:val="7B382CC6"/>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7"/>
    <w:autoRedefine/>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autoRedefine/>
    <w:semiHidden/>
    <w:unhideWhenUsed/>
    <w:qFormat/>
    <w:uiPriority w:val="1"/>
  </w:style>
  <w:style w:type="table" w:default="1" w:styleId="10">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autoRedefine/>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Body Text Indent"/>
    <w:basedOn w:val="1"/>
    <w:link w:val="21"/>
    <w:autoRedefine/>
    <w:semiHidden/>
    <w:unhideWhenUsed/>
    <w:qFormat/>
    <w:uiPriority w:val="99"/>
    <w:pPr>
      <w:spacing w:after="120"/>
      <w:ind w:left="420" w:leftChars="200"/>
    </w:pPr>
  </w:style>
  <w:style w:type="paragraph" w:styleId="5">
    <w:name w:val="Plain Text"/>
    <w:basedOn w:val="1"/>
    <w:link w:val="16"/>
    <w:autoRedefine/>
    <w:qFormat/>
    <w:uiPriority w:val="0"/>
    <w:rPr>
      <w:rFonts w:ascii="宋体" w:hAnsi="Courier New" w:eastAsia="宋体" w:cs="Courier New"/>
      <w:szCs w:val="21"/>
    </w:rPr>
  </w:style>
  <w:style w:type="paragraph" w:styleId="6">
    <w:name w:val="footer"/>
    <w:basedOn w:val="1"/>
    <w:link w:val="15"/>
    <w:autoRedefine/>
    <w:unhideWhenUsed/>
    <w:qFormat/>
    <w:uiPriority w:val="99"/>
    <w:pPr>
      <w:tabs>
        <w:tab w:val="center" w:pos="4153"/>
        <w:tab w:val="right" w:pos="8306"/>
      </w:tabs>
      <w:snapToGrid w:val="0"/>
      <w:jc w:val="left"/>
    </w:pPr>
    <w:rPr>
      <w:sz w:val="18"/>
      <w:szCs w:val="18"/>
    </w:rPr>
  </w:style>
  <w:style w:type="paragraph" w:styleId="7">
    <w:name w:val="header"/>
    <w:basedOn w:val="1"/>
    <w:link w:val="1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9">
    <w:name w:val="Body Text First Indent 2"/>
    <w:basedOn w:val="4"/>
    <w:link w:val="22"/>
    <w:autoRedefine/>
    <w:semiHidden/>
    <w:unhideWhenUsed/>
    <w:qFormat/>
    <w:uiPriority w:val="99"/>
    <w:pPr>
      <w:ind w:firstLine="420" w:firstLineChars="200"/>
    </w:pPr>
  </w:style>
  <w:style w:type="character" w:styleId="12">
    <w:name w:val="Strong"/>
    <w:basedOn w:val="11"/>
    <w:autoRedefine/>
    <w:qFormat/>
    <w:uiPriority w:val="22"/>
    <w:rPr>
      <w:b/>
      <w:bCs/>
    </w:rPr>
  </w:style>
  <w:style w:type="character" w:styleId="13">
    <w:name w:val="page number"/>
    <w:basedOn w:val="11"/>
    <w:autoRedefine/>
    <w:semiHidden/>
    <w:unhideWhenUsed/>
    <w:qFormat/>
    <w:uiPriority w:val="99"/>
  </w:style>
  <w:style w:type="character" w:customStyle="1" w:styleId="14">
    <w:name w:val="页眉 Char"/>
    <w:basedOn w:val="11"/>
    <w:link w:val="7"/>
    <w:autoRedefine/>
    <w:qFormat/>
    <w:uiPriority w:val="99"/>
    <w:rPr>
      <w:sz w:val="18"/>
      <w:szCs w:val="18"/>
    </w:rPr>
  </w:style>
  <w:style w:type="character" w:customStyle="1" w:styleId="15">
    <w:name w:val="页脚 Char"/>
    <w:basedOn w:val="11"/>
    <w:link w:val="6"/>
    <w:autoRedefine/>
    <w:qFormat/>
    <w:uiPriority w:val="99"/>
    <w:rPr>
      <w:sz w:val="18"/>
      <w:szCs w:val="18"/>
    </w:rPr>
  </w:style>
  <w:style w:type="character" w:customStyle="1" w:styleId="16">
    <w:name w:val="纯文本 Char"/>
    <w:basedOn w:val="11"/>
    <w:link w:val="5"/>
    <w:autoRedefine/>
    <w:qFormat/>
    <w:uiPriority w:val="0"/>
    <w:rPr>
      <w:rFonts w:ascii="宋体" w:hAnsi="Courier New" w:eastAsia="宋体" w:cs="Courier New"/>
      <w:szCs w:val="21"/>
    </w:rPr>
  </w:style>
  <w:style w:type="character" w:customStyle="1" w:styleId="17">
    <w:name w:val="标题 1 Char"/>
    <w:basedOn w:val="11"/>
    <w:link w:val="2"/>
    <w:autoRedefine/>
    <w:qFormat/>
    <w:uiPriority w:val="9"/>
    <w:rPr>
      <w:rFonts w:ascii="宋体" w:hAnsi="宋体" w:eastAsia="宋体" w:cs="宋体"/>
      <w:b/>
      <w:kern w:val="44"/>
      <w:sz w:val="48"/>
      <w:szCs w:val="48"/>
    </w:rPr>
  </w:style>
  <w:style w:type="character" w:customStyle="1" w:styleId="18">
    <w:name w:val="font31"/>
    <w:basedOn w:val="11"/>
    <w:autoRedefine/>
    <w:qFormat/>
    <w:uiPriority w:val="0"/>
    <w:rPr>
      <w:rFonts w:hint="eastAsia" w:ascii="宋体" w:hAnsi="宋体" w:eastAsia="宋体" w:cs="宋体"/>
      <w:b/>
      <w:color w:val="000000"/>
      <w:sz w:val="36"/>
      <w:szCs w:val="36"/>
      <w:u w:val="none"/>
    </w:rPr>
  </w:style>
  <w:style w:type="paragraph" w:styleId="19">
    <w:name w:val="List Paragraph"/>
    <w:basedOn w:val="1"/>
    <w:autoRedefine/>
    <w:unhideWhenUsed/>
    <w:qFormat/>
    <w:uiPriority w:val="99"/>
    <w:pPr>
      <w:ind w:firstLine="420" w:firstLineChars="200"/>
    </w:pPr>
  </w:style>
  <w:style w:type="paragraph" w:customStyle="1" w:styleId="20">
    <w:name w:val="插入文本样式-插入部门职责文件"/>
    <w:basedOn w:val="1"/>
    <w:autoRedefine/>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character" w:customStyle="1" w:styleId="21">
    <w:name w:val="正文文本缩进 Char"/>
    <w:basedOn w:val="11"/>
    <w:link w:val="4"/>
    <w:autoRedefine/>
    <w:semiHidden/>
    <w:qFormat/>
    <w:uiPriority w:val="99"/>
    <w:rPr>
      <w:rFonts w:asciiTheme="minorHAnsi" w:hAnsiTheme="minorHAnsi" w:eastAsiaTheme="minorEastAsia" w:cstheme="minorBidi"/>
      <w:kern w:val="2"/>
      <w:sz w:val="21"/>
      <w:szCs w:val="22"/>
    </w:rPr>
  </w:style>
  <w:style w:type="character" w:customStyle="1" w:styleId="22">
    <w:name w:val="正文首行缩进 2 Char"/>
    <w:basedOn w:val="21"/>
    <w:link w:val="9"/>
    <w:autoRedefine/>
    <w:semiHidden/>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25</Pages>
  <Words>14459</Words>
  <Characters>15302</Characters>
  <Lines>112</Lines>
  <Paragraphs>31</Paragraphs>
  <TotalTime>554</TotalTime>
  <ScaleCrop>false</ScaleCrop>
  <LinksUpToDate>false</LinksUpToDate>
  <CharactersWithSpaces>15370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第一城体彩（先款后票，诚信至上）</cp:lastModifiedBy>
  <cp:lastPrinted>2018-11-29T03:23:00Z</cp:lastPrinted>
  <dcterms:modified xsi:type="dcterms:W3CDTF">2025-04-30T02:56:56Z</dcterms:modified>
  <cp:revision>131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CE43E332804E447BA025A2744AB59726_13</vt:lpwstr>
  </property>
  <property fmtid="{D5CDD505-2E9C-101B-9397-08002B2CF9AE}" pid="4" name="KSOTemplateDocerSaveRecord">
    <vt:lpwstr>eyJoZGlkIjoiNTQ5YTNjMjdmM2U0NTk4Y2RmYmM2OTE0YmZhNWY0OGQiLCJ1c2VySWQiOiI4NTQyMTg2MjcifQ==</vt:lpwstr>
  </property>
</Properties>
</file>