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22B199">
      <w:pPr>
        <w:widowControl/>
        <w:spacing w:line="400" w:lineRule="exact"/>
        <w:jc w:val="left"/>
        <w:rPr>
          <w:rFonts w:ascii="仿宋" w:hAnsi="仿宋" w:eastAsia="仿宋" w:cs="仿宋"/>
          <w:kern w:val="0"/>
          <w:sz w:val="32"/>
          <w:szCs w:val="32"/>
          <w:shd w:val="clear" w:color="auto" w:fill="FFFFFF"/>
        </w:rPr>
      </w:pPr>
    </w:p>
    <w:p w14:paraId="6F40508D">
      <w:pPr>
        <w:widowControl/>
        <w:spacing w:line="480" w:lineRule="exact"/>
        <w:jc w:val="left"/>
        <w:outlineLvl w:val="0"/>
        <w:rPr>
          <w:rFonts w:ascii="宋体" w:hAnsi="宋体" w:eastAsia="宋体" w:cs="宋体"/>
          <w:b/>
          <w:color w:val="000000"/>
          <w:kern w:val="0"/>
          <w:sz w:val="44"/>
          <w:szCs w:val="44"/>
          <w:shd w:val="clear" w:color="auto" w:fill="FFFFFF"/>
        </w:rPr>
      </w:pPr>
      <w:r>
        <w:rPr>
          <w:rFonts w:hint="eastAsia" w:ascii="仿宋" w:hAnsi="仿宋" w:eastAsia="仿宋" w:cs="仿宋"/>
          <w:kern w:val="0"/>
          <w:sz w:val="32"/>
          <w:szCs w:val="32"/>
          <w:shd w:val="clear" w:color="auto" w:fill="FFFFFF"/>
        </w:rPr>
        <w:t>附件7：</w:t>
      </w:r>
    </w:p>
    <w:p w14:paraId="1A306CBE">
      <w:pPr>
        <w:spacing w:line="480" w:lineRule="exact"/>
        <w:jc w:val="center"/>
        <w:outlineLvl w:val="0"/>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tbl>
      <w:tblPr>
        <w:tblStyle w:val="8"/>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14:paraId="6EE78C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45440687">
            <w:pPr>
              <w:widowControl/>
              <w:spacing w:line="240" w:lineRule="exact"/>
              <w:jc w:val="center"/>
              <w:rPr>
                <w:b/>
              </w:rPr>
            </w:pPr>
            <w:r>
              <w:rPr>
                <w:rFonts w:ascii="仿宋_GB2312" w:hAnsi="新宋体" w:eastAsia="仿宋_GB2312" w:cs="仿宋_GB2312"/>
                <w:b/>
                <w:kern w:val="0"/>
                <w:sz w:val="24"/>
                <w:szCs w:val="24"/>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6B00CF8D">
            <w:pPr>
              <w:widowControl/>
              <w:spacing w:line="240" w:lineRule="exact"/>
              <w:jc w:val="center"/>
              <w:rPr>
                <w:b/>
              </w:rPr>
            </w:pPr>
            <w:r>
              <w:rPr>
                <w:rFonts w:ascii="仿宋_GB2312" w:hAnsi="新宋体" w:eastAsia="仿宋_GB2312" w:cs="仿宋_GB2312"/>
                <w:b/>
                <w:kern w:val="0"/>
                <w:sz w:val="24"/>
                <w:szCs w:val="24"/>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14:paraId="4A2AA8C6">
            <w:pPr>
              <w:widowControl/>
              <w:spacing w:line="240" w:lineRule="exact"/>
              <w:jc w:val="center"/>
              <w:rPr>
                <w:b/>
              </w:rPr>
            </w:pPr>
            <w:r>
              <w:rPr>
                <w:rFonts w:ascii="仿宋_GB2312" w:hAnsi="新宋体" w:eastAsia="仿宋_GB2312" w:cs="仿宋_GB2312"/>
                <w:b/>
                <w:kern w:val="0"/>
                <w:sz w:val="24"/>
                <w:szCs w:val="24"/>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14:paraId="0EB7FBBB">
            <w:pPr>
              <w:widowControl/>
              <w:spacing w:line="240" w:lineRule="exact"/>
              <w:jc w:val="center"/>
              <w:rPr>
                <w:b/>
              </w:rPr>
            </w:pPr>
            <w:r>
              <w:rPr>
                <w:rFonts w:ascii="仿宋_GB2312" w:hAnsi="新宋体" w:eastAsia="仿宋_GB2312" w:cs="仿宋_GB2312"/>
                <w:b/>
                <w:kern w:val="0"/>
                <w:sz w:val="24"/>
                <w:szCs w:val="24"/>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14:paraId="2EB43574">
            <w:pPr>
              <w:widowControl/>
              <w:spacing w:line="240" w:lineRule="exact"/>
              <w:jc w:val="left"/>
              <w:rPr>
                <w:b/>
              </w:rPr>
            </w:pPr>
            <w:r>
              <w:rPr>
                <w:rFonts w:ascii="仿宋_GB2312" w:hAnsi="新宋体" w:eastAsia="仿宋_GB2312" w:cs="仿宋_GB2312"/>
                <w:b/>
                <w:kern w:val="0"/>
                <w:sz w:val="24"/>
                <w:szCs w:val="24"/>
              </w:rPr>
              <w:t>得分</w:t>
            </w:r>
          </w:p>
        </w:tc>
      </w:tr>
      <w:tr w14:paraId="36FA79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53D7DB1">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CAA0B56">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50C5E51">
            <w:pPr>
              <w:widowControl/>
              <w:spacing w:line="240" w:lineRule="exact"/>
              <w:jc w:val="center"/>
              <w:rPr>
                <w:b/>
              </w:rPr>
            </w:pPr>
            <w:r>
              <w:rPr>
                <w:rFonts w:ascii="仿宋_GB2312" w:hAnsi="新宋体" w:eastAsia="仿宋_GB2312" w:cs="仿宋_GB2312"/>
                <w:b/>
                <w:kern w:val="0"/>
                <w:sz w:val="24"/>
                <w:szCs w:val="24"/>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14:paraId="632BA8AA">
            <w:pPr>
              <w:widowControl/>
              <w:spacing w:line="240" w:lineRule="exact"/>
              <w:jc w:val="center"/>
              <w:rPr>
                <w:b/>
              </w:rPr>
            </w:pPr>
            <w:r>
              <w:rPr>
                <w:rFonts w:ascii="仿宋_GB2312" w:hAnsi="新宋体" w:eastAsia="仿宋_GB2312" w:cs="仿宋_GB2312"/>
                <w:b/>
                <w:kern w:val="0"/>
                <w:sz w:val="24"/>
                <w:szCs w:val="24"/>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14:paraId="72568B3B">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14:paraId="776E34FE">
            <w:pPr>
              <w:rPr>
                <w:rFonts w:ascii="宋体"/>
                <w:szCs w:val="21"/>
              </w:rPr>
            </w:pPr>
          </w:p>
        </w:tc>
      </w:tr>
      <w:tr w14:paraId="386A4B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5265068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31A2B5E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绩效目标设定情况</w:t>
            </w:r>
          </w:p>
          <w:p w14:paraId="5E049586">
            <w:pPr>
              <w:widowControl/>
              <w:spacing w:line="240" w:lineRule="exact"/>
              <w:jc w:val="left"/>
              <w:rPr>
                <w:rFonts w:ascii="仿宋_GB2312" w:hAnsi="仿宋_GB2312" w:eastAsia="仿宋_GB2312" w:cs="仿宋_GB2312"/>
                <w:color w:val="FF0000"/>
                <w:szCs w:val="21"/>
              </w:rPr>
            </w:pPr>
            <w:r>
              <w:rPr>
                <w:rFonts w:hint="eastAsia" w:ascii="仿宋_GB2312" w:hAnsi="仿宋_GB2312" w:eastAsia="仿宋_GB2312" w:cs="仿宋_GB2312"/>
                <w:kern w:val="0"/>
                <w:szCs w:val="21"/>
              </w:rPr>
              <w:t>（5分）</w:t>
            </w:r>
          </w:p>
        </w:tc>
        <w:tc>
          <w:tcPr>
            <w:tcW w:w="1275" w:type="dxa"/>
            <w:tcBorders>
              <w:top w:val="single" w:color="000000" w:sz="4" w:space="0"/>
              <w:left w:val="single" w:color="000000" w:sz="4" w:space="0"/>
              <w:bottom w:val="single" w:color="auto" w:sz="4" w:space="0"/>
              <w:right w:val="single" w:color="auto" w:sz="4" w:space="0"/>
            </w:tcBorders>
            <w:vAlign w:val="center"/>
          </w:tcPr>
          <w:p w14:paraId="04EE660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14:paraId="0659F8B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14:paraId="062F356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符合（1）；</w:t>
            </w:r>
          </w:p>
          <w:p w14:paraId="3996566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436D7B02">
            <w:pPr>
              <w:widowControl/>
              <w:spacing w:line="240" w:lineRule="exact"/>
              <w:jc w:val="left"/>
              <w:rPr>
                <w:szCs w:val="21"/>
              </w:rPr>
            </w:pPr>
            <w:r>
              <w:rPr>
                <w:rFonts w:hint="eastAsia"/>
                <w:szCs w:val="21"/>
              </w:rPr>
              <w:t>1</w:t>
            </w:r>
          </w:p>
        </w:tc>
      </w:tr>
      <w:tr w14:paraId="55177C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06F414F">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67798F8E">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69E3B68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14:paraId="61E31BB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部门的活动是否在职责范围之内并符合部门中长期规划，用以反映和评价部门活动目标与部门履职、年度工作任务的相符性情况。</w:t>
            </w:r>
          </w:p>
          <w:p w14:paraId="5FD8942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2967276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1.部门活动的设定在部门所确定的职责范围之内；</w:t>
            </w:r>
          </w:p>
          <w:p w14:paraId="2492F4D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14:paraId="3C56B52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14:paraId="0A446BA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7D4C9A9F">
            <w:pPr>
              <w:widowControl/>
              <w:spacing w:line="240" w:lineRule="exact"/>
              <w:jc w:val="left"/>
              <w:rPr>
                <w:szCs w:val="21"/>
              </w:rPr>
            </w:pPr>
            <w:r>
              <w:rPr>
                <w:rFonts w:hint="eastAsia"/>
                <w:szCs w:val="21"/>
              </w:rPr>
              <w:t>2</w:t>
            </w:r>
          </w:p>
        </w:tc>
      </w:tr>
      <w:tr w14:paraId="0B4E3A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66F4F8F">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8FB71F7">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76B802A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14:paraId="1A8763C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部门所设立的活动是否明确合理、活动的关键性指标设置是否可衡量，用以反映和评价部门活动目标设定的合理性。</w:t>
            </w:r>
          </w:p>
          <w:p w14:paraId="261C8F3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058FB61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1.活动目标的设定是可量化的，可通过清晰、可衡量的关键指标值予以体现；</w:t>
            </w:r>
          </w:p>
          <w:p w14:paraId="465BFBF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14:paraId="594C7B9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14:paraId="03AE69A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324513D8">
            <w:pPr>
              <w:widowControl/>
              <w:spacing w:line="240" w:lineRule="exact"/>
              <w:jc w:val="left"/>
              <w:rPr>
                <w:szCs w:val="21"/>
              </w:rPr>
            </w:pPr>
            <w:r>
              <w:rPr>
                <w:rFonts w:hint="eastAsia"/>
                <w:szCs w:val="21"/>
              </w:rPr>
              <w:t>2</w:t>
            </w:r>
          </w:p>
        </w:tc>
      </w:tr>
      <w:tr w14:paraId="0DAAD7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50318EC">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14:paraId="7142DFD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预算配置情况(5分)</w:t>
            </w:r>
          </w:p>
        </w:tc>
        <w:tc>
          <w:tcPr>
            <w:tcW w:w="1275" w:type="dxa"/>
            <w:tcBorders>
              <w:top w:val="single" w:color="auto" w:sz="4" w:space="0"/>
              <w:left w:val="single" w:color="000000" w:sz="4" w:space="0"/>
              <w:right w:val="single" w:color="auto" w:sz="4" w:space="0"/>
            </w:tcBorders>
            <w:vAlign w:val="center"/>
          </w:tcPr>
          <w:p w14:paraId="052699E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在职人员控制率（1分）</w:t>
            </w:r>
          </w:p>
        </w:tc>
        <w:tc>
          <w:tcPr>
            <w:tcW w:w="3436" w:type="dxa"/>
            <w:tcBorders>
              <w:top w:val="single" w:color="auto" w:sz="4" w:space="0"/>
              <w:left w:val="single" w:color="auto" w:sz="4" w:space="0"/>
              <w:right w:val="single" w:color="auto" w:sz="4" w:space="0"/>
            </w:tcBorders>
            <w:vAlign w:val="center"/>
          </w:tcPr>
          <w:p w14:paraId="7807D87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部门本年度实际在职人员数与编制数的比率，用以反映和评价部门对人员成本的控制程度。</w:t>
            </w:r>
          </w:p>
          <w:p w14:paraId="01CA84F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在职人员控制率=（在职人员数/编制数）×100%。</w:t>
            </w:r>
          </w:p>
          <w:p w14:paraId="54A76B60">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在职人员数：部门实际在职人数，以财政部确定的部门决算编制口径为准，由编制部门和人劳部门批复同意的临聘人员除外。</w:t>
            </w:r>
          </w:p>
          <w:p w14:paraId="41CB373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14:paraId="68AF491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1.在职人员控制率小于或等于100%的，得满分；</w:t>
            </w:r>
          </w:p>
          <w:p w14:paraId="2BF4D178">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2.在职人员控制率大于或等于115%的，得0分；</w:t>
            </w:r>
          </w:p>
          <w:p w14:paraId="65DACC5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3.在职人员控制率在100%-115%之间的，在0分和满分之间计算确定：</w:t>
            </w:r>
          </w:p>
          <w:p w14:paraId="3B806B2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2748BFD9">
            <w:pPr>
              <w:widowControl/>
              <w:spacing w:line="240" w:lineRule="exact"/>
              <w:jc w:val="left"/>
              <w:rPr>
                <w:szCs w:val="21"/>
              </w:rPr>
            </w:pPr>
            <w:r>
              <w:rPr>
                <w:rFonts w:hint="eastAsia"/>
                <w:szCs w:val="21"/>
              </w:rPr>
              <w:t>1</w:t>
            </w:r>
          </w:p>
        </w:tc>
      </w:tr>
      <w:tr w14:paraId="3907A2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14:paraId="401B4427">
            <w:pPr>
              <w:spacing w:line="240" w:lineRule="exact"/>
              <w:rPr>
                <w:rFonts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14:paraId="50D8EDA0">
            <w:pPr>
              <w:widowControl/>
              <w:spacing w:line="240" w:lineRule="exact"/>
              <w:jc w:val="left"/>
              <w:rPr>
                <w:rFonts w:ascii="仿宋_GB2312" w:hAnsi="仿宋_GB2312"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14:paraId="02D96CD6">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变动率（2分）</w:t>
            </w:r>
          </w:p>
        </w:tc>
        <w:tc>
          <w:tcPr>
            <w:tcW w:w="3436" w:type="dxa"/>
            <w:tcBorders>
              <w:top w:val="single" w:color="auto" w:sz="4" w:space="0"/>
              <w:left w:val="single" w:color="auto" w:sz="4" w:space="0"/>
              <w:right w:val="single" w:color="auto" w:sz="4" w:space="0"/>
            </w:tcBorders>
            <w:vAlign w:val="center"/>
          </w:tcPr>
          <w:p w14:paraId="3E1CB375">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预算数与上年度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预算数的变动比率，用以反映和考核部门对控制重点行政成本的努力程度。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变动率=[（本年度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14:paraId="634F7C94">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小于或等于-5%的，得满分；</w:t>
            </w:r>
          </w:p>
          <w:p w14:paraId="47B80380">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大于或等于10%的，得0分；</w:t>
            </w:r>
          </w:p>
          <w:p w14:paraId="6A7B0DB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3.在职人员控制率在-5%-10%之间的，在0分和满分之间计算确定：</w:t>
            </w:r>
          </w:p>
          <w:p w14:paraId="4F40F495">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得分=[max（</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3C3D723B">
            <w:pPr>
              <w:widowControl/>
              <w:spacing w:line="240" w:lineRule="exact"/>
              <w:jc w:val="left"/>
              <w:rPr>
                <w:szCs w:val="21"/>
              </w:rPr>
            </w:pPr>
            <w:r>
              <w:rPr>
                <w:rFonts w:hint="eastAsia"/>
                <w:szCs w:val="21"/>
              </w:rPr>
              <w:t>2</w:t>
            </w:r>
          </w:p>
        </w:tc>
      </w:tr>
      <w:tr w14:paraId="114540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14:paraId="67971FAA">
            <w:pPr>
              <w:spacing w:line="240" w:lineRule="exact"/>
              <w:rPr>
                <w:rFonts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14:paraId="7CA0BD01">
            <w:pPr>
              <w:widowControl/>
              <w:spacing w:line="240" w:lineRule="exact"/>
              <w:jc w:val="left"/>
              <w:rPr>
                <w:rFonts w:ascii="仿宋_GB2312" w:hAnsi="仿宋_GB2312"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14:paraId="4E139FB7">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重点支出安排率（2分）</w:t>
            </w:r>
          </w:p>
        </w:tc>
        <w:tc>
          <w:tcPr>
            <w:tcW w:w="3436" w:type="dxa"/>
            <w:tcBorders>
              <w:top w:val="single" w:color="auto" w:sz="4" w:space="0"/>
              <w:left w:val="single" w:color="auto" w:sz="4" w:space="0"/>
              <w:right w:val="single" w:color="auto" w:sz="4" w:space="0"/>
            </w:tcBorders>
            <w:vAlign w:val="center"/>
          </w:tcPr>
          <w:p w14:paraId="2E845F17">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14:paraId="7EF35244">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大于或等于95%的，得满分；</w:t>
            </w:r>
          </w:p>
          <w:p w14:paraId="228A1B0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小于或等于85%的，得0分；</w:t>
            </w:r>
          </w:p>
          <w:p w14:paraId="51E8C4FE">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在85%-95%之间的，在0分和满分之间计算确定：</w:t>
            </w:r>
          </w:p>
          <w:p w14:paraId="1F4131AF">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得分=[某部门</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6AC84A48">
            <w:pPr>
              <w:widowControl/>
              <w:spacing w:line="240" w:lineRule="exact"/>
              <w:jc w:val="left"/>
              <w:rPr>
                <w:szCs w:val="21"/>
              </w:rPr>
            </w:pPr>
            <w:r>
              <w:rPr>
                <w:rFonts w:hint="eastAsia"/>
                <w:szCs w:val="21"/>
              </w:rPr>
              <w:t>2</w:t>
            </w:r>
          </w:p>
        </w:tc>
      </w:tr>
      <w:tr w14:paraId="07CB60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78FFDD0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7890CD0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14:paraId="73CC21F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14:paraId="1B809CEA">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通过对部门本年度预算完成数与预算数的比较，反映和评价部门预算的完成程度。</w:t>
            </w:r>
          </w:p>
          <w:p w14:paraId="4BC168E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0132B4D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1.预算完成率大于或等于95%的，得满分；</w:t>
            </w:r>
          </w:p>
          <w:p w14:paraId="7251CF5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2.预算完成率小于或等于85%的，得0分；</w:t>
            </w:r>
          </w:p>
          <w:p w14:paraId="3A9341C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3.预算完成率在85%-95%之间的，在0分和满分之间计算确定：</w:t>
            </w:r>
          </w:p>
          <w:p w14:paraId="5C9686C0">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61AADD24">
            <w:pPr>
              <w:widowControl/>
              <w:spacing w:line="240" w:lineRule="exact"/>
              <w:jc w:val="left"/>
              <w:rPr>
                <w:szCs w:val="21"/>
              </w:rPr>
            </w:pPr>
            <w:r>
              <w:rPr>
                <w:rFonts w:hint="eastAsia"/>
                <w:szCs w:val="21"/>
              </w:rPr>
              <w:t>5</w:t>
            </w:r>
          </w:p>
        </w:tc>
      </w:tr>
      <w:tr w14:paraId="5A7F7A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74B82F6">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CAD3A56">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5BE8D3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14:paraId="16C5ABF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部门本年度预算调整数与预算数的比率，用以反映和评价部门预算的调整程度。</w:t>
            </w:r>
          </w:p>
          <w:p w14:paraId="003CD40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2091AE6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1.预算调整率等于0的，得满分； </w:t>
            </w:r>
          </w:p>
          <w:p w14:paraId="34C3948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2.预算调整率大于或等于10%的，得0分；</w:t>
            </w:r>
          </w:p>
          <w:p w14:paraId="2F736E2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3.预算调整率在0-10%之间的，在0分和满分之间确定：</w:t>
            </w:r>
          </w:p>
          <w:p w14:paraId="5D52AEF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4CF936C8">
            <w:pPr>
              <w:widowControl/>
              <w:spacing w:line="240" w:lineRule="exact"/>
              <w:jc w:val="left"/>
              <w:rPr>
                <w:szCs w:val="21"/>
              </w:rPr>
            </w:pPr>
            <w:r>
              <w:rPr>
                <w:rFonts w:hint="eastAsia"/>
                <w:szCs w:val="21"/>
              </w:rPr>
              <w:t>3</w:t>
            </w:r>
          </w:p>
        </w:tc>
      </w:tr>
      <w:tr w14:paraId="65B0C1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C949861">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73D173E">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4D617A6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支付进度率</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7642DA3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部门年度支付数与年度任务数的比率，用以反映和评价部门预算执行的及时和均衡程度。</w:t>
            </w:r>
          </w:p>
          <w:p w14:paraId="3794A2D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14:paraId="15F0E81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按年度的执行情况进行打分。得分=年度支付数/年度任务数×该指标分值。</w:t>
            </w:r>
          </w:p>
          <w:p w14:paraId="259E78B0">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14:paraId="1D99FD5C">
            <w:pPr>
              <w:widowControl/>
              <w:spacing w:line="240" w:lineRule="exact"/>
              <w:jc w:val="left"/>
              <w:rPr>
                <w:szCs w:val="21"/>
              </w:rPr>
            </w:pPr>
            <w:r>
              <w:rPr>
                <w:rFonts w:hint="eastAsia"/>
                <w:szCs w:val="21"/>
              </w:rPr>
              <w:t>4</w:t>
            </w:r>
          </w:p>
        </w:tc>
      </w:tr>
      <w:tr w14:paraId="4F24E6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B7CD352">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46876D6">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998D46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2C257A0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通过对部门本年度结转结余总额与支出预算数的比较，反映和评价部门对本年度结转结余资金的实际控制程度。</w:t>
            </w:r>
          </w:p>
          <w:p w14:paraId="0F078D0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6F3DEB8E">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1.结转结余率等于0的，得满分；</w:t>
            </w:r>
          </w:p>
          <w:p w14:paraId="7222AE1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2.结转结余率大于或等于50%的，得0分；</w:t>
            </w:r>
          </w:p>
          <w:p w14:paraId="38F6283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3.结转结余率在0-50%之间的，在0和满分之间计算确定：</w:t>
            </w:r>
          </w:p>
          <w:p w14:paraId="64A79B9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3434C694">
            <w:pPr>
              <w:widowControl/>
              <w:spacing w:line="240" w:lineRule="exact"/>
              <w:jc w:val="left"/>
              <w:rPr>
                <w:szCs w:val="21"/>
              </w:rPr>
            </w:pPr>
            <w:r>
              <w:rPr>
                <w:rFonts w:hint="eastAsia"/>
                <w:szCs w:val="21"/>
              </w:rPr>
              <w:t>3</w:t>
            </w:r>
          </w:p>
        </w:tc>
      </w:tr>
      <w:tr w14:paraId="7A47D4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A680364">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2D4D600">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3E4017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6BDD1456">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通过对部门本年度实际支出的公用经费总额与预算安排的公用经费总额的比率，反映和评价部门对机构运转成本的实际控制程度。</w:t>
            </w:r>
          </w:p>
          <w:p w14:paraId="56973197">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14:paraId="3D4F2534">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1.公用经费控制率小于或等于100%的，得满分；</w:t>
            </w:r>
          </w:p>
          <w:p w14:paraId="6F2FE79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2.公用经费控制率大于或等于105%的，得0分；</w:t>
            </w:r>
          </w:p>
          <w:p w14:paraId="750858A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3.公用经费控制率在100%-105%之间的，在0和满分之间计算确定：</w:t>
            </w:r>
          </w:p>
          <w:p w14:paraId="5C31948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3740F9FF">
            <w:pPr>
              <w:widowControl/>
              <w:spacing w:line="240" w:lineRule="exact"/>
              <w:jc w:val="left"/>
              <w:rPr>
                <w:szCs w:val="21"/>
              </w:rPr>
            </w:pPr>
            <w:r>
              <w:rPr>
                <w:rFonts w:hint="eastAsia"/>
                <w:szCs w:val="21"/>
              </w:rPr>
              <w:t>4</w:t>
            </w:r>
          </w:p>
        </w:tc>
      </w:tr>
      <w:tr w14:paraId="1A8AE6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C417F76">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93AB025">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E2605A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272E722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通过对部门本年度实际政府采购预算项目个数与政府采购预算项目个数的比较，反映和评价部门政府采购预算执行情况。</w:t>
            </w:r>
          </w:p>
          <w:p w14:paraId="59F9D1D8">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政府采购执行率=（实际政府采购预算项目个数/政府采购预算项目个数）×100%。</w:t>
            </w:r>
          </w:p>
          <w:p w14:paraId="5F99672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14:paraId="50894EC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1.政府采购执行率等于100%的，得满分；</w:t>
            </w:r>
          </w:p>
          <w:p w14:paraId="745D33D7">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2.政府采购执行率小于或等于90%的，0分；</w:t>
            </w:r>
          </w:p>
          <w:p w14:paraId="0459404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3.政府采购执行率在90%-100%之间的，在0和满分之间计算确定：</w:t>
            </w:r>
          </w:p>
          <w:p w14:paraId="30AD8820">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6D2DCE77">
            <w:pPr>
              <w:widowControl/>
              <w:spacing w:line="240" w:lineRule="exact"/>
              <w:jc w:val="left"/>
              <w:rPr>
                <w:szCs w:val="21"/>
              </w:rPr>
            </w:pPr>
            <w:r>
              <w:rPr>
                <w:rFonts w:hint="eastAsia"/>
                <w:szCs w:val="21"/>
              </w:rPr>
              <w:t>4</w:t>
            </w:r>
          </w:p>
        </w:tc>
      </w:tr>
      <w:tr w14:paraId="3FF735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27A6335">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5CC302F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预算管理情况</w:t>
            </w:r>
          </w:p>
          <w:p w14:paraId="6D7B2C1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（15）</w:t>
            </w:r>
          </w:p>
        </w:tc>
        <w:tc>
          <w:tcPr>
            <w:tcW w:w="1275" w:type="dxa"/>
            <w:tcBorders>
              <w:top w:val="single" w:color="000000" w:sz="4" w:space="0"/>
              <w:left w:val="single" w:color="000000" w:sz="4" w:space="0"/>
              <w:bottom w:val="single" w:color="000000" w:sz="4" w:space="0"/>
              <w:right w:val="single" w:color="auto" w:sz="4" w:space="0"/>
            </w:tcBorders>
            <w:vAlign w:val="center"/>
          </w:tcPr>
          <w:p w14:paraId="690C3D5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14:paraId="0D468F9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部门使用预算资金是否符合相关的预算财务管理制度的规定，反映和评价部门预算资金的规范运行情况。</w:t>
            </w:r>
          </w:p>
          <w:p w14:paraId="11ADDD6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1F2F9C0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1.符合国家财经法规和财务管理制度规定以及有关部门资金管理办法的规定；</w:t>
            </w:r>
          </w:p>
          <w:p w14:paraId="7E9A00F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2.资金的拨付有完整的审批过程和手续；</w:t>
            </w:r>
          </w:p>
          <w:p w14:paraId="7A7111F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3.项目的重大开支经过评估论证；</w:t>
            </w:r>
          </w:p>
          <w:p w14:paraId="4143D1B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4.符合部门预算批复的用途；</w:t>
            </w:r>
          </w:p>
          <w:p w14:paraId="07A457F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5.不存在截留情况；</w:t>
            </w:r>
          </w:p>
          <w:p w14:paraId="7B5EF25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6.不存在挤占情况；</w:t>
            </w:r>
          </w:p>
          <w:p w14:paraId="2FF755D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7.不存在挪用情况；</w:t>
            </w:r>
          </w:p>
          <w:p w14:paraId="60E69F6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14:paraId="6F019EF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全部符合（8）；</w:t>
            </w:r>
          </w:p>
          <w:p w14:paraId="62C65F0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符合其中七项（6）；</w:t>
            </w:r>
          </w:p>
          <w:p w14:paraId="560EEC2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符合其中六项（4）；</w:t>
            </w:r>
          </w:p>
          <w:p w14:paraId="44B0C1C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符合其中五项（2）；</w:t>
            </w:r>
          </w:p>
          <w:p w14:paraId="4A7D067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0003228A">
            <w:pPr>
              <w:widowControl/>
              <w:spacing w:line="240" w:lineRule="exact"/>
              <w:jc w:val="left"/>
              <w:rPr>
                <w:szCs w:val="21"/>
              </w:rPr>
            </w:pPr>
            <w:r>
              <w:rPr>
                <w:rFonts w:hint="eastAsia"/>
                <w:szCs w:val="21"/>
              </w:rPr>
              <w:t>8</w:t>
            </w:r>
          </w:p>
        </w:tc>
      </w:tr>
      <w:tr w14:paraId="43E245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B40B784">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DBE273A">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2832883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14:paraId="3489443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部门是否按照政府信息公开有关规定公开相关预决算信息，用以反映和评价部门预决算管理的公开透明情况。</w:t>
            </w:r>
          </w:p>
          <w:p w14:paraId="00D1F46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预决算信息是指与部门预算、执行、决算、监督、绩效等管理相关的信息。</w:t>
            </w:r>
          </w:p>
          <w:p w14:paraId="1D7E040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152866D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1.公开预决算信息；</w:t>
            </w:r>
          </w:p>
          <w:p w14:paraId="1D73B52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2.按规定内容公开预决算信息；</w:t>
            </w:r>
          </w:p>
          <w:p w14:paraId="764629E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14:paraId="60A790D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全部符合（3）；</w:t>
            </w:r>
          </w:p>
          <w:p w14:paraId="4A63087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14:paraId="114C092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613193B9">
            <w:pPr>
              <w:widowControl/>
              <w:spacing w:line="240" w:lineRule="exact"/>
              <w:jc w:val="left"/>
              <w:rPr>
                <w:szCs w:val="21"/>
              </w:rPr>
            </w:pPr>
            <w:r>
              <w:rPr>
                <w:rFonts w:hint="eastAsia"/>
                <w:szCs w:val="21"/>
              </w:rPr>
              <w:t>3</w:t>
            </w:r>
          </w:p>
        </w:tc>
      </w:tr>
      <w:tr w14:paraId="3476FA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D782059">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E9A4F17">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24C7524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基础信息完善性</w:t>
            </w:r>
            <w:r>
              <w:rPr>
                <w:rFonts w:hint="eastAsia" w:ascii="仿宋_GB2312" w:hAnsi="仿宋_GB2312" w:eastAsia="仿宋_GB2312" w:cs="仿宋_GB2312"/>
                <w:kern w:val="0"/>
                <w:szCs w:val="21"/>
              </w:rPr>
              <w:t>（4分）</w:t>
            </w:r>
          </w:p>
        </w:tc>
        <w:tc>
          <w:tcPr>
            <w:tcW w:w="3436" w:type="dxa"/>
            <w:tcBorders>
              <w:top w:val="single" w:color="000000" w:sz="4" w:space="0"/>
              <w:left w:val="single" w:color="auto" w:sz="4" w:space="0"/>
              <w:bottom w:val="single" w:color="000000" w:sz="4" w:space="0"/>
              <w:right w:val="single" w:color="auto" w:sz="4" w:space="0"/>
            </w:tcBorders>
            <w:vAlign w:val="center"/>
          </w:tcPr>
          <w:p w14:paraId="3CCA888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部门基础信息是否完善，用以反映和评价基础信息对预算管理工作的支撑情况。</w:t>
            </w:r>
          </w:p>
          <w:p w14:paraId="70787A9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55EAD9F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1.基本财务管理制度健全；</w:t>
            </w:r>
          </w:p>
          <w:p w14:paraId="14D094D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2.基础数据信息和会计信息资料真实；</w:t>
            </w:r>
          </w:p>
          <w:p w14:paraId="6E053B1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3.基础数据信息和会计信息资料完整；</w:t>
            </w:r>
          </w:p>
          <w:p w14:paraId="58F0932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14:paraId="25B685C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符合全部四项（4）；</w:t>
            </w:r>
          </w:p>
          <w:p w14:paraId="761DF66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符合其中三项（2）；</w:t>
            </w:r>
          </w:p>
          <w:p w14:paraId="6642109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符合其中两项（1）；</w:t>
            </w:r>
          </w:p>
          <w:p w14:paraId="642E4CC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3D11A05F">
            <w:pPr>
              <w:widowControl/>
              <w:spacing w:line="240" w:lineRule="exact"/>
              <w:jc w:val="left"/>
              <w:rPr>
                <w:szCs w:val="21"/>
              </w:rPr>
            </w:pPr>
            <w:r>
              <w:rPr>
                <w:rFonts w:hint="eastAsia"/>
                <w:szCs w:val="21"/>
              </w:rPr>
              <w:t>4</w:t>
            </w:r>
          </w:p>
        </w:tc>
      </w:tr>
      <w:tr w14:paraId="252236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17127B0">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3DE67FA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14:paraId="3F8784E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14:paraId="0072A12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部门的资产是否保存完整、使用合规、收入及时足额上缴，用以反映和评价部门资产运行情况。</w:t>
            </w:r>
          </w:p>
          <w:p w14:paraId="204A695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632DF80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1.资产保存完整；</w:t>
            </w:r>
          </w:p>
          <w:p w14:paraId="59D9CF0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2.资产账务管理是否合规，</w:t>
            </w:r>
            <w:bookmarkStart w:id="0" w:name="_GoBack"/>
            <w:bookmarkEnd w:id="0"/>
            <w:r>
              <w:rPr>
                <w:rFonts w:hint="eastAsia" w:ascii="仿宋_GB2312" w:hAnsi="仿宋_GB2312" w:eastAsia="仿宋_GB2312" w:cs="仿宋_GB2312"/>
                <w:kern w:val="0"/>
                <w:szCs w:val="21"/>
                <w:lang w:eastAsia="zh-CN"/>
              </w:rPr>
              <w:t>账实</w:t>
            </w:r>
            <w:r>
              <w:rPr>
                <w:rFonts w:hint="eastAsia" w:ascii="仿宋_GB2312" w:hAnsi="仿宋_GB2312" w:eastAsia="仿宋_GB2312" w:cs="仿宋_GB2312"/>
                <w:kern w:val="0"/>
                <w:szCs w:val="21"/>
              </w:rPr>
              <w:t>相符；</w:t>
            </w:r>
          </w:p>
          <w:p w14:paraId="3A2787D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14:paraId="43DA262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符合全部三项（3）；</w:t>
            </w:r>
          </w:p>
          <w:p w14:paraId="3B22AE4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14:paraId="6FF4A01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符合其中一项（1）；</w:t>
            </w:r>
          </w:p>
          <w:p w14:paraId="7343F52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14:paraId="4C8861CD">
            <w:pPr>
              <w:widowControl/>
              <w:spacing w:line="240" w:lineRule="exact"/>
              <w:jc w:val="left"/>
              <w:rPr>
                <w:szCs w:val="21"/>
              </w:rPr>
            </w:pPr>
            <w:r>
              <w:rPr>
                <w:rFonts w:hint="eastAsia"/>
                <w:szCs w:val="21"/>
              </w:rPr>
              <w:t>2</w:t>
            </w:r>
          </w:p>
        </w:tc>
      </w:tr>
      <w:tr w14:paraId="6625B5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0969A22">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977A4BB">
            <w:pPr>
              <w:spacing w:line="240" w:lineRule="exact"/>
              <w:rPr>
                <w:rFonts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14:paraId="1EA0172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14:paraId="53C9A91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部门实际在用固定资产总额与所有固定资产总额的比率，用以反映和评价部门固定资产使用效率。</w:t>
            </w:r>
          </w:p>
          <w:p w14:paraId="48C6185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14:paraId="069CFFB7">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1.固定资产利用率大于或等于95%的，得满分；</w:t>
            </w:r>
          </w:p>
          <w:p w14:paraId="6B6C65D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2.固定资产利用率小于或等于85%的，得0分；</w:t>
            </w:r>
          </w:p>
          <w:p w14:paraId="45C82750">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3.固定资产利用率在85%-95%之间的，在0和满分之间计算确定：</w:t>
            </w:r>
          </w:p>
          <w:p w14:paraId="42FECE9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27980C83">
            <w:pPr>
              <w:widowControl/>
              <w:spacing w:line="240" w:lineRule="exact"/>
              <w:jc w:val="left"/>
              <w:rPr>
                <w:szCs w:val="21"/>
              </w:rPr>
            </w:pPr>
            <w:r>
              <w:rPr>
                <w:rFonts w:hint="eastAsia"/>
                <w:szCs w:val="21"/>
              </w:rPr>
              <w:t>3</w:t>
            </w:r>
          </w:p>
        </w:tc>
      </w:tr>
      <w:tr w14:paraId="7223A6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77F2F25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18C7A81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14:paraId="62AAA17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14:paraId="24DA7AC5">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1.每项任务是否已制定了明确、具体、可量化、可衡量的绩效指标；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2.每项任务绩效指标的完成情况，是全部完成、基本完成、未完成，还是未实施；</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3.每项任务实施效果情况，是优秀、良好、一般，还是无效果；</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14:paraId="4C3B6EA8">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14:paraId="7B7AC581">
            <w:pPr>
              <w:widowControl/>
              <w:spacing w:line="240" w:lineRule="exact"/>
              <w:jc w:val="left"/>
              <w:rPr>
                <w:szCs w:val="21"/>
              </w:rPr>
            </w:pPr>
            <w:r>
              <w:rPr>
                <w:rFonts w:hint="eastAsia"/>
                <w:szCs w:val="21"/>
              </w:rPr>
              <w:t>10</w:t>
            </w:r>
          </w:p>
        </w:tc>
      </w:tr>
      <w:tr w14:paraId="0DB050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629FDA1">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04BAEB1">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14:paraId="3F9DC81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项目完成质量达标率（15）</w:t>
            </w:r>
          </w:p>
        </w:tc>
        <w:tc>
          <w:tcPr>
            <w:tcW w:w="3436" w:type="dxa"/>
            <w:tcBorders>
              <w:top w:val="single" w:color="000000" w:sz="4" w:space="0"/>
              <w:left w:val="single" w:color="auto" w:sz="4" w:space="0"/>
              <w:right w:val="single" w:color="auto" w:sz="4" w:space="0"/>
            </w:tcBorders>
            <w:vAlign w:val="center"/>
          </w:tcPr>
          <w:p w14:paraId="02D4392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部门已完成项目中质量达标项目个数占已完成项目个数的比率,用以反映和评价部门履职质量目标的实现程度。</w:t>
            </w:r>
          </w:p>
          <w:p w14:paraId="792EB4A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项目质量达标率=（已完成项目中质量达标项目个数/已完成项目个数）×100%。</w:t>
            </w:r>
          </w:p>
          <w:p w14:paraId="514E5B5E">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项目质量达标是指项目决算验收合格。</w:t>
            </w:r>
          </w:p>
        </w:tc>
        <w:tc>
          <w:tcPr>
            <w:tcW w:w="2373" w:type="dxa"/>
            <w:tcBorders>
              <w:top w:val="single" w:color="000000" w:sz="4" w:space="0"/>
              <w:left w:val="single" w:color="auto" w:sz="4" w:space="0"/>
              <w:right w:val="single" w:color="auto" w:sz="4" w:space="0"/>
            </w:tcBorders>
            <w:vAlign w:val="center"/>
          </w:tcPr>
          <w:p w14:paraId="2339316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1.项目质量达标率等于100%的，得满分；</w:t>
            </w:r>
          </w:p>
          <w:p w14:paraId="6D55450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2.项目质量达标率小于或等于99%的，得0分；</w:t>
            </w:r>
          </w:p>
          <w:p w14:paraId="1DB73FD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3.项目质量达标率在99%-100%之间的，在0和满分之间计算确定： </w:t>
            </w:r>
          </w:p>
          <w:p w14:paraId="61280DC6">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14:paraId="117CCA8B">
            <w:pPr>
              <w:widowControl/>
              <w:spacing w:line="240" w:lineRule="exact"/>
              <w:jc w:val="left"/>
              <w:rPr>
                <w:szCs w:val="21"/>
              </w:rPr>
            </w:pPr>
            <w:r>
              <w:rPr>
                <w:rFonts w:hint="eastAsia"/>
                <w:szCs w:val="21"/>
              </w:rPr>
              <w:t>15</w:t>
            </w:r>
          </w:p>
        </w:tc>
      </w:tr>
      <w:tr w14:paraId="7DD0C7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5BCE86A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效果（20分）</w:t>
            </w:r>
          </w:p>
        </w:tc>
        <w:tc>
          <w:tcPr>
            <w:tcW w:w="743" w:type="dxa"/>
            <w:vMerge w:val="restart"/>
            <w:tcBorders>
              <w:top w:val="single" w:color="auto" w:sz="4" w:space="0"/>
              <w:left w:val="single" w:color="000000" w:sz="4" w:space="0"/>
              <w:right w:val="single" w:color="000000" w:sz="4" w:space="0"/>
            </w:tcBorders>
            <w:vAlign w:val="center"/>
          </w:tcPr>
          <w:p w14:paraId="59EF2E2A">
            <w:pPr>
              <w:widowControl/>
              <w:spacing w:line="240" w:lineRule="exact"/>
              <w:jc w:val="left"/>
              <w:rPr>
                <w:rFonts w:ascii="仿宋_GB2312" w:hAnsi="仿宋_GB2312" w:eastAsia="仿宋_GB2312" w:cs="仿宋_GB2312"/>
                <w:kern w:val="0"/>
                <w:szCs w:val="21"/>
              </w:rPr>
            </w:pPr>
          </w:p>
          <w:p w14:paraId="20125C34">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履职效益情况</w:t>
            </w:r>
          </w:p>
          <w:p w14:paraId="04B25C95">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14:paraId="626E557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经济效益</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386D6631">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部门及所属二级单位通过履行职责和预算安排支出项目的实施，对我市带来的经济影响。</w:t>
            </w:r>
          </w:p>
          <w:p w14:paraId="041448A4">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1.通过部门所属企事业单位改革，促进了企事业单位效益增长情况；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2.通过预算支出项目的实施，促进了行业生产能力增长，从而带动行业经济效益增长；</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3.通过预算支出项目的实施，有效提高劳动效率，节约成本费用；</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4.通过预算支出项目的实施，降低了损耗，从而提高了生产效益；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14:paraId="2838B2E5">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1CA62470">
            <w:pPr>
              <w:widowControl/>
              <w:spacing w:line="240" w:lineRule="exact"/>
              <w:jc w:val="left"/>
              <w:rPr>
                <w:szCs w:val="21"/>
              </w:rPr>
            </w:pPr>
            <w:r>
              <w:rPr>
                <w:rFonts w:hint="eastAsia"/>
                <w:szCs w:val="21"/>
              </w:rPr>
              <w:t>5</w:t>
            </w:r>
          </w:p>
        </w:tc>
      </w:tr>
      <w:tr w14:paraId="5C78BB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1C966728">
            <w:pPr>
              <w:widowControl/>
              <w:spacing w:line="240" w:lineRule="exact"/>
              <w:jc w:val="left"/>
              <w:rPr>
                <w:rFonts w:ascii="仿宋_GB2312" w:hAnsi="仿宋_GB2312" w:eastAsia="仿宋_GB2312" w:cs="仿宋_GB2312"/>
                <w:kern w:val="0"/>
                <w:szCs w:val="21"/>
              </w:rPr>
            </w:pPr>
          </w:p>
        </w:tc>
        <w:tc>
          <w:tcPr>
            <w:tcW w:w="743" w:type="dxa"/>
            <w:vMerge w:val="continue"/>
            <w:tcBorders>
              <w:left w:val="single" w:color="000000" w:sz="4" w:space="0"/>
              <w:right w:val="single" w:color="000000" w:sz="4" w:space="0"/>
            </w:tcBorders>
            <w:vAlign w:val="center"/>
          </w:tcPr>
          <w:p w14:paraId="51E7C64B">
            <w:pPr>
              <w:widowControl/>
              <w:spacing w:line="240" w:lineRule="exact"/>
              <w:jc w:val="left"/>
              <w:rPr>
                <w:rFonts w:ascii="仿宋_GB2312" w:hAnsi="仿宋_GB2312"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34409E3">
            <w:pPr>
              <w:widowControl/>
              <w:spacing w:line="240" w:lineRule="exac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2BECFB91">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部门及所属二级单位履行职责对社会发展所带来的直接或间接影响。</w:t>
            </w:r>
          </w:p>
          <w:p w14:paraId="1999DE10">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2.通过预算支出项目的实施，是否明显促进了行业精神文明建设；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14:paraId="1BBE9FCD">
            <w:pPr>
              <w:widowControl/>
              <w:spacing w:line="240" w:lineRule="exac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30CC0C6D">
            <w:pPr>
              <w:widowControl/>
              <w:spacing w:line="240" w:lineRule="exact"/>
              <w:jc w:val="left"/>
              <w:rPr>
                <w:szCs w:val="21"/>
              </w:rPr>
            </w:pPr>
            <w:r>
              <w:rPr>
                <w:rFonts w:hint="eastAsia"/>
                <w:szCs w:val="21"/>
              </w:rPr>
              <w:t>5</w:t>
            </w:r>
          </w:p>
        </w:tc>
      </w:tr>
      <w:tr w14:paraId="662709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40CADFF3">
            <w:pPr>
              <w:widowControl/>
              <w:spacing w:line="240" w:lineRule="exact"/>
              <w:jc w:val="left"/>
              <w:rPr>
                <w:rFonts w:ascii="仿宋_GB2312" w:hAnsi="仿宋_GB2312" w:eastAsia="仿宋_GB2312" w:cs="仿宋_GB2312"/>
                <w:kern w:val="0"/>
                <w:szCs w:val="21"/>
              </w:rPr>
            </w:pPr>
          </w:p>
        </w:tc>
        <w:tc>
          <w:tcPr>
            <w:tcW w:w="743" w:type="dxa"/>
            <w:vMerge w:val="continue"/>
            <w:tcBorders>
              <w:left w:val="single" w:color="000000" w:sz="4" w:space="0"/>
              <w:right w:val="single" w:color="000000" w:sz="4" w:space="0"/>
            </w:tcBorders>
            <w:vAlign w:val="center"/>
          </w:tcPr>
          <w:p w14:paraId="41CB4B67">
            <w:pPr>
              <w:widowControl/>
              <w:spacing w:line="240" w:lineRule="exact"/>
              <w:jc w:val="left"/>
              <w:rPr>
                <w:rFonts w:ascii="仿宋_GB2312" w:hAnsi="仿宋_GB2312"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57675EAD">
            <w:pPr>
              <w:widowControl/>
              <w:spacing w:line="240" w:lineRule="exact"/>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168A215A">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部门及所属二级单位履行职责对生态环境所带来的直接或间接影响。</w:t>
            </w:r>
          </w:p>
          <w:p w14:paraId="5DE4B16C">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3.通过预算支出项目的实施，是否达到减少污染物排放；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14:paraId="4728CFD0">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71628598">
            <w:pPr>
              <w:widowControl/>
              <w:spacing w:line="240" w:lineRule="exact"/>
              <w:jc w:val="left"/>
              <w:rPr>
                <w:szCs w:val="21"/>
              </w:rPr>
            </w:pPr>
            <w:r>
              <w:rPr>
                <w:rFonts w:hint="eastAsia"/>
                <w:szCs w:val="21"/>
              </w:rPr>
              <w:t>5</w:t>
            </w:r>
          </w:p>
        </w:tc>
      </w:tr>
      <w:tr w14:paraId="0DC4D6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4C01013">
            <w:pPr>
              <w:spacing w:line="240" w:lineRule="exact"/>
              <w:rPr>
                <w:rFonts w:ascii="仿宋_GB2312" w:hAnsi="仿宋_GB2312" w:eastAsia="仿宋_GB2312" w:cs="仿宋_GB2312"/>
                <w:szCs w:val="21"/>
              </w:rPr>
            </w:pPr>
          </w:p>
        </w:tc>
        <w:tc>
          <w:tcPr>
            <w:tcW w:w="743" w:type="dxa"/>
            <w:vMerge w:val="continue"/>
            <w:tcBorders>
              <w:left w:val="single" w:color="000000" w:sz="4" w:space="0"/>
              <w:bottom w:val="single" w:color="auto" w:sz="4" w:space="0"/>
              <w:right w:val="single" w:color="000000" w:sz="4" w:space="0"/>
            </w:tcBorders>
            <w:vAlign w:val="center"/>
          </w:tcPr>
          <w:p w14:paraId="2A0DC39F">
            <w:pPr>
              <w:widowControl/>
              <w:spacing w:line="240" w:lineRule="exact"/>
              <w:jc w:val="lef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27A870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14:paraId="0F4171EA">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14:paraId="5FE860B7">
            <w:pPr>
              <w:widowControl/>
              <w:spacing w:line="240" w:lineRule="exact"/>
              <w:rPr>
                <w:rFonts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14:paraId="7BB507B7">
            <w:pPr>
              <w:widowControl/>
              <w:spacing w:line="240" w:lineRule="exact"/>
              <w:rPr>
                <w:rFonts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14:paraId="2263C6B1">
            <w:pPr>
              <w:widowControl/>
              <w:spacing w:line="240" w:lineRule="exact"/>
              <w:jc w:val="left"/>
              <w:rPr>
                <w:szCs w:val="21"/>
              </w:rPr>
            </w:pPr>
            <w:r>
              <w:rPr>
                <w:rFonts w:hint="eastAsia"/>
                <w:szCs w:val="21"/>
              </w:rPr>
              <w:t>5</w:t>
            </w:r>
          </w:p>
        </w:tc>
      </w:tr>
    </w:tbl>
    <w:p w14:paraId="43614278">
      <w:pPr>
        <w:spacing w:line="240" w:lineRule="exact"/>
        <w:rPr>
          <w:rFonts w:ascii="仿宋" w:hAnsi="仿宋" w:eastAsia="仿宋" w:cs="仿宋"/>
          <w:sz w:val="32"/>
          <w:szCs w:val="32"/>
        </w:rPr>
      </w:pPr>
    </w:p>
    <w:p w14:paraId="35941420">
      <w:pPr>
        <w:spacing w:line="240" w:lineRule="exact"/>
        <w:rPr>
          <w:rFonts w:ascii="仿宋" w:hAnsi="仿宋" w:eastAsia="仿宋" w:cs="仿宋"/>
          <w:sz w:val="32"/>
          <w:szCs w:val="32"/>
        </w:rPr>
      </w:pPr>
    </w:p>
    <w:p w14:paraId="2B51110A">
      <w:pPr>
        <w:spacing w:line="240" w:lineRule="exact"/>
        <w:rPr>
          <w:rFonts w:ascii="仿宋" w:hAnsi="仿宋" w:eastAsia="仿宋" w:cs="仿宋"/>
          <w:sz w:val="32"/>
          <w:szCs w:val="32"/>
        </w:rPr>
      </w:pPr>
    </w:p>
    <w:p w14:paraId="05B27412">
      <w:pPr>
        <w:outlineLvl w:val="0"/>
        <w:rPr>
          <w:rFonts w:ascii="仿宋" w:hAnsi="仿宋" w:eastAsia="仿宋" w:cs="仿宋"/>
          <w:b/>
          <w:bCs/>
          <w:sz w:val="30"/>
          <w:szCs w:val="30"/>
        </w:rPr>
      </w:pPr>
      <w:r>
        <w:rPr>
          <w:rFonts w:hint="eastAsia" w:ascii="仿宋" w:hAnsi="仿宋" w:eastAsia="仿宋" w:cs="仿宋"/>
          <w:b/>
          <w:bCs/>
          <w:sz w:val="30"/>
          <w:szCs w:val="30"/>
        </w:rPr>
        <w:t>部门整体支出绩效评价报告主要内容包括：</w:t>
      </w:r>
    </w:p>
    <w:p w14:paraId="05A340AB">
      <w:pPr>
        <w:numPr>
          <w:ilvl w:val="0"/>
          <w:numId w:val="1"/>
        </w:numPr>
        <w:adjustRightInd w:val="0"/>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基本概况。</w:t>
      </w:r>
    </w:p>
    <w:p w14:paraId="36732F00">
      <w:pPr>
        <w:adjustRightInd w:val="0"/>
        <w:spacing w:line="600" w:lineRule="exact"/>
        <w:ind w:firstLine="960" w:firstLineChars="300"/>
        <w:rPr>
          <w:rFonts w:ascii="仿宋_GB2312" w:hAnsi="仿宋_GB2312" w:eastAsia="仿宋_GB2312" w:cs="仿宋_GB2312"/>
          <w:sz w:val="32"/>
          <w:szCs w:val="32"/>
        </w:rPr>
      </w:pPr>
      <w:r>
        <w:rPr>
          <w:rFonts w:hint="eastAsia" w:ascii="仿宋_GB2312" w:hAnsi="仿宋_GB2312" w:eastAsia="仿宋_GB2312" w:cs="仿宋_GB2312"/>
          <w:sz w:val="32"/>
          <w:szCs w:val="32"/>
        </w:rPr>
        <w:t>主要职责职能:</w:t>
      </w:r>
    </w:p>
    <w:p w14:paraId="18A94853">
      <w:pPr>
        <w:adjustRightInd w:val="0"/>
        <w:spacing w:line="600" w:lineRule="exact"/>
        <w:ind w:firstLine="960" w:firstLineChars="300"/>
        <w:rPr>
          <w:rFonts w:ascii="仿宋_GB2312" w:hAnsi="仿宋_GB2312" w:eastAsia="仿宋_GB2312" w:cs="仿宋_GB2312"/>
          <w:sz w:val="32"/>
          <w:szCs w:val="32"/>
        </w:rPr>
      </w:pPr>
      <w:r>
        <w:rPr>
          <w:rFonts w:hint="eastAsia" w:ascii="仿宋_GB2312" w:hAnsi="仿宋_GB2312" w:eastAsia="仿宋_GB2312" w:cs="仿宋_GB2312"/>
          <w:sz w:val="32"/>
          <w:szCs w:val="32"/>
        </w:rPr>
        <w:t>（一）统筹研究和组织实施全县“三农”工作的发展战略、中长期规划、重大政策。组织起草农业农村有关政策、制度，负责全县农业综合执法。参与涉农的财税、价格、收储、金融保险、进出口等政策制定。</w:t>
      </w:r>
    </w:p>
    <w:p w14:paraId="27E6E458">
      <w:pPr>
        <w:adjustRightInd w:val="0"/>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（二）协调推动发展全县农村社会事业、农村公共服务、农村文化、农村基础设施和乡村治理。牵头组织改善农村人居环境。协调推进乡村文明和优秀农耕文化建设。负责农业行业安全生产工作。</w:t>
      </w:r>
    </w:p>
    <w:p w14:paraId="46F29BFC">
      <w:pPr>
        <w:adjustRightInd w:val="0"/>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三）提出深化农村经济体制改革和巩固完善农村基本经营制度的政策建议。负责农民承包地、农村宅基地改革和管理有关工作。负责农村集体产权制度改革，指导农村集体经济组织发展和集体资产管理工作。负责农民合作经济组织、农业社会化服务体系、新型农业经营主体建设与发展。</w:t>
      </w:r>
    </w:p>
    <w:p w14:paraId="38C09CBC">
      <w:pPr>
        <w:adjustRightInd w:val="0"/>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四）指导全县乡村产业、农产品加工业和休闲农业发展工作。提出促进大宗农产品流通的建议，培育、保护农业品牌。发布农业农村经济信息，监测分析农业农村经济运行。承担农业统计和农业农村信息化有关工作。</w:t>
      </w:r>
    </w:p>
    <w:p w14:paraId="5B671791">
      <w:pPr>
        <w:adjustRightInd w:val="0"/>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五）负责全县种植业、畜牧业、渔业、农垦、农业机械化等农业各产业的监督管理。指导粮、棉、油、菜、水果、肉、蛋、奶、蜜、渔等农产品生产。组织构建现代农业产业体系、生产体系、经营体系，负责农业标准化生产。</w:t>
      </w:r>
    </w:p>
    <w:p w14:paraId="2A39CD85">
      <w:pPr>
        <w:adjustRightInd w:val="0"/>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（六）负责全县农产品质量安全监督管理。组织开展农产品质量安全监测、追溯、风险评估和监督抽查。会同有关部门组织实施农产品质量安全有关标准。负责农业检验检测体系建设。</w:t>
      </w:r>
    </w:p>
    <w:p w14:paraId="066641D3">
      <w:pPr>
        <w:adjustRightInd w:val="0"/>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七）负责全县农业资源保护、开发与利用。负责农用地、渔业水域以及农业生物物种资源的保护与管理，负责水生野生动植物保护、耕地及永久基本农田质量保护工作。负责农产品产地环境管理和农业清洁生产。负责设施农业、生态循环农业、节水农业发展以及农村可再生能源综合开发利用、农业生物质产业发展。牵头管理外来物种。</w:t>
      </w:r>
    </w:p>
    <w:p w14:paraId="1357CB71">
      <w:pPr>
        <w:adjustRightInd w:val="0"/>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八）负责有关农业生产资料和农业投入品的监督管理。组织农业生产资料市场体系建设，组织实施农业生产资料有关标准。组织实施兽药残留限量和残留检测方法有关标准。组织兽医医政、兽药药政药检工作，负责执业兽医和畜禽屠宰行业管理。</w:t>
      </w:r>
    </w:p>
    <w:p w14:paraId="67538561">
      <w:pPr>
        <w:adjustRightInd w:val="0"/>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（九）负责农业防灾减灾、农作物重大病虫害预测预报及防治工作。负责动植物防疫检疫体系建设，组织、监督全县动植物防疫检疫工作，依法发布疫情并组织扑灭。</w:t>
      </w:r>
    </w:p>
    <w:p w14:paraId="43C67974">
      <w:pPr>
        <w:adjustRightInd w:val="0"/>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十）负责农业投资管理。提出农业投融资体制机制改革建议。编制全县投资安排的农业投资项目建设规划，提出农业投资规模和方向、扶持农业农村发展财政项目的建议，负责农业投资项目资金安排和监督管理。</w:t>
      </w:r>
    </w:p>
    <w:p w14:paraId="5E19B165">
      <w:pPr>
        <w:adjustRightInd w:val="0"/>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十一）推动农业科技体制改革和农业科技创新体系建设。负责农业产业技术体系和农技推广体系建设，组织开展农业领城的高新技术和应用技术研究、科技成果转化和技术推广。负责农业转基因生物安全监督管理和农业植物新品种保护。</w:t>
      </w:r>
    </w:p>
    <w:p w14:paraId="119FA41D">
      <w:pPr>
        <w:adjustRightInd w:val="0"/>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（十二）负责农业农村人才工作。拟订农业农村人才队伍建设规划并组织实施，负责农业教育和农业职业技能开发，负责新型职业农民培育、农业科技人才培养和农村实用人才培训工作。</w:t>
      </w:r>
    </w:p>
    <w:p w14:paraId="505FAFF1">
      <w:pPr>
        <w:adjustRightInd w:val="0"/>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（十三）牵头开展农业对外合作工作。承办政府间农业涉外事务，组织开展对外农业贸易和有关国际交流合作，具体执行有关农业援外项目。</w:t>
      </w:r>
    </w:p>
    <w:p w14:paraId="609B6E6C">
      <w:pPr>
        <w:adjustRightInd w:val="0"/>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（十四）完成县委、县政府和县委农村工作领导小组交办的其他任务。</w:t>
      </w:r>
    </w:p>
    <w:p w14:paraId="36B3C60F">
      <w:pPr>
        <w:adjustRightInd w:val="0"/>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内设机构:办公室、人事股、财务审计股、美丽乡村股、发展规划与项目监督股（现代农业园区股）、农村改革与合作经济股、隆尧县农业产业化办公室、科技教育股、农产品质量安全监管股、种植业管理股、畜牧渔业股、兽医股、隆尧县农业机械化管理办公室、隆尧县农田建设管理办公室。县农业农村局机关行政编制34名。股级领导职数14名。</w:t>
      </w:r>
    </w:p>
    <w:p w14:paraId="323707D9">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部门履职总体目标：</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xml:space="preserve">    （一）粮食生产。2019年夏粮收获面积61.4万亩，总产29万吨；秋粮收获面积60万亩，总产28.9万吨。</w:t>
      </w:r>
    </w:p>
    <w:p w14:paraId="50A60310">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（二）蔬菜生产。蔬菜总面积7.57万亩，总产37.9万吨，设施蔬菜面积3万亩，新增特色蔬菜面积2700亩。  </w:t>
      </w:r>
    </w:p>
    <w:p w14:paraId="73522FD4">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（三）畜牧生产。截</w:t>
      </w:r>
      <w:r>
        <w:rPr>
          <w:rFonts w:hint="eastAsia" w:ascii="仿宋_GB2312" w:hAnsi="仿宋_GB2312" w:eastAsia="仿宋_GB2312" w:cs="仿宋_GB2312"/>
          <w:sz w:val="32"/>
          <w:szCs w:val="32"/>
          <w:lang w:eastAsia="zh-CN"/>
        </w:rPr>
        <w:t>至</w:t>
      </w:r>
      <w:r>
        <w:rPr>
          <w:rFonts w:hint="eastAsia" w:ascii="仿宋_GB2312" w:hAnsi="仿宋_GB2312" w:eastAsia="仿宋_GB2312" w:cs="仿宋_GB2312"/>
          <w:sz w:val="32"/>
          <w:szCs w:val="32"/>
        </w:rPr>
        <w:t>10月底，全县肉、蛋、奶产量分别达到3.0557万吨、6.947万吨、1.94万吨，奶牛、生猪、蛋鸡存栏分别达到0.562万头、21.51万头、756.3万只。</w:t>
      </w:r>
    </w:p>
    <w:p w14:paraId="27D38BFA">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（四）农机装备水平不断提高。</w:t>
      </w:r>
      <w:r>
        <w:rPr>
          <w:rFonts w:hint="eastAsia" w:ascii="仿宋_GB2312" w:hAnsi="仿宋_GB2312" w:eastAsia="仿宋_GB2312" w:cs="仿宋_GB2312"/>
          <w:kern w:val="10"/>
          <w:sz w:val="32"/>
          <w:szCs w:val="32"/>
        </w:rPr>
        <w:t>全县耕种收综合机械化水平达到95%以上。主要粮食作物的生产机械化发展迅速，小麦生产实现了生产环节的全过程机械化。培训农机手3000余人，争取农机深松整地项目10万亩，截</w:t>
      </w:r>
      <w:r>
        <w:rPr>
          <w:rFonts w:hint="eastAsia" w:ascii="仿宋_GB2312" w:hAnsi="仿宋_GB2312" w:eastAsia="仿宋_GB2312" w:cs="仿宋_GB2312"/>
          <w:kern w:val="10"/>
          <w:sz w:val="32"/>
          <w:szCs w:val="32"/>
          <w:lang w:eastAsia="zh-CN"/>
        </w:rPr>
        <w:t>至</w:t>
      </w:r>
      <w:r>
        <w:rPr>
          <w:rFonts w:hint="eastAsia" w:ascii="仿宋_GB2312" w:hAnsi="仿宋_GB2312" w:eastAsia="仿宋_GB2312" w:cs="仿宋_GB2312"/>
          <w:kern w:val="10"/>
          <w:sz w:val="32"/>
          <w:szCs w:val="32"/>
        </w:rPr>
        <w:t>目前全面深松任务已全部完成。农机购置补贴项目已补贴各类农机具1124台，受益农户828户，使用中央补贴资金96.4%。</w:t>
      </w:r>
    </w:p>
    <w:p w14:paraId="4057A66A">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三品一标”认证工作。农产品共有38个“三品一标”认证产品，其中种植业产品10家单位的29个品种通过“三品一标”认证，养殖业有9个养殖基地和畜产品通过无公害农产品认证。华龙农庄面粉有限公司申报的6个系列面粉产品，申报材料已上报。</w:t>
      </w:r>
    </w:p>
    <w:p w14:paraId="46E1312E">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加强农业技术培训宣传，科学指导农业生产。准确掌握全县小麦苗情和麦田墒情，及时提出了2019年小麦春季各关键期管理技术意见，并通过《关注三农》电视栏目、印发张贴技术明白纸、田间技术指导等多种形式，扩大宣讲范围，提高技术培训效果。举办电视讲座10期，开展不同类型培训班20余场，培训群众5000余人次，发放技术资料1.5万份以上，有力保障技术措施的落实，为绿色高效农业发展提供科技支撑，确保了全县粮食丰产丰收。</w:t>
      </w:r>
    </w:p>
    <w:p w14:paraId="25BD2D46">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牵头做好农村人居环境整治，全面提升农民幸福感。目前全县共投入资金36461万元（省级奖补资金2400万元、县级资金27445万元、自筹6616万元）用于农村人居环境整治工作，主要涉及农村厕所改造、污水治理、垃圾治理、街道硬化、村庄规划、村庄美化亮化等项目。其中，乡镇转运站主体已经建成。村街硬化方面的入户道路硬化的村数完成86.1%；村庄美化整治的村数完成79.2%；村庄绿化面积完成67.6%；村庄绿化覆盖率达标的村完成68.6%。其它项目已经完成或者超额完成。</w:t>
      </w:r>
    </w:p>
    <w:p w14:paraId="51190640">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积极做好统防统治，提升病虫害综合防治工作。围绕我县60万小麦和50万玉米生产，抓好小麦吸浆虫蚜虫等重大病虫预报防治等植保关键技术措施的宣传和培训，加快信息反馈，做到不漏报、不误报，重大病虫信息传递不过夜。制作《病虫报告》4期，发布《病虫情报》15期，电视预报5期，准确率95%以上，发放技术明白纸2000余份，全县发展不同类型专业化防治组织65个，从业人员达到600多人，拥有大型自走式喷雾机150台套、植保无人飞机35台。今年小麦实行病虫害专业化面积32万亩，统防统治覆盖率50%左右。 普及草地贪夜蛾监测与应急防控技术，对发现草地贪夜蛾的20亩晚播玉米田及其他625亩晚播糯玉米田，实施了自走式喷雾机、植保无人飞机统防统治，有效控制了控制蔓延。</w:t>
      </w:r>
    </w:p>
    <w:p w14:paraId="16C38A10">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做好农资市场监管，确保群众利益和农业生产安全。深入推进农业综合执法专项治理，加大重点区域的巡查力度，重点打击非法使用高毒农药和制售假劣农资违法行为，规范农业投入品使用，实现全县范围内所有农资店全面监管；建立健全各监管部门之间信息交流、通报协查、案件移送等制度，推动形成多部门联合开展农资打假工作机制，有效保护农民合法权益。</w:t>
      </w:r>
    </w:p>
    <w:p w14:paraId="26474CE4">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十）严抓农产品质量安全，确保食品安全。一是加强动物源性食品安全监管。重点从动物产地检疫、屠宰检疫和病死动物无害化处理监管为突破口，严厉打击屠宰、运输未检疫动物和违规处置病死畜禽的违法行为，严格各类养殖场防疫条件审核，切实从源头上保障畜牧业健康发展和人民群众食用动物源性产品、公共卫生和生态安全。二是加强农产品质量安全检测抽样工作。积极完成省市安排的畜产品质量安全监督抽样工作,抽样检测结果全部合格。   </w:t>
      </w:r>
    </w:p>
    <w:p w14:paraId="149D8C89">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（十一）发展特色产业，促进农业高效可持续发展。立足我县资源优势和产业特色，以提升蔬菜质量效益和产业整体素质为重点，突出抓好</w:t>
      </w:r>
      <w:r>
        <w:rPr>
          <w:rFonts w:hint="eastAsia" w:ascii="仿宋_GB2312" w:hAnsi="仿宋_GB2312" w:eastAsia="仿宋_GB2312" w:cs="仿宋_GB2312"/>
          <w:bCs/>
          <w:sz w:val="32"/>
          <w:szCs w:val="32"/>
        </w:rPr>
        <w:t>小孟村西瓜、甜瓜种植，</w:t>
      </w:r>
      <w:r>
        <w:rPr>
          <w:rFonts w:hint="eastAsia" w:ascii="仿宋_GB2312" w:hAnsi="仿宋_GB2312" w:eastAsia="仿宋_GB2312" w:cs="仿宋_GB2312"/>
          <w:sz w:val="32"/>
          <w:szCs w:val="32"/>
        </w:rPr>
        <w:t>打造了以西瓜、甜瓜为主导产业富民道路，</w:t>
      </w:r>
      <w:r>
        <w:rPr>
          <w:rFonts w:hint="eastAsia" w:ascii="仿宋_GB2312" w:hAnsi="仿宋_GB2312" w:eastAsia="仿宋_GB2312" w:cs="仿宋_GB2312"/>
          <w:sz w:val="32"/>
          <w:szCs w:val="32"/>
          <w:shd w:val="clear" w:color="auto" w:fill="FFFFFF"/>
        </w:rPr>
        <w:t>由最初17户带头建蔬菜大棚38个占地78亩，发展到现在623户建棚占地2300多亩,</w:t>
      </w:r>
      <w:r>
        <w:rPr>
          <w:rFonts w:hint="eastAsia" w:ascii="仿宋_GB2312" w:hAnsi="仿宋_GB2312" w:eastAsia="仿宋_GB2312" w:cs="仿宋_GB2312"/>
          <w:sz w:val="32"/>
          <w:szCs w:val="32"/>
        </w:rPr>
        <w:t>成为当地一二三产业融合发展的样板。</w:t>
      </w:r>
    </w:p>
    <w:p w14:paraId="4FE67D93">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二）抓重点项目建设，助推县域经济快速发展。2018年度高标准农田建设项目是跨年度项目，工程已全部完成。2019年度高标准农田建设项目建设规模2.5万亩，项目地点在固城镇的孟村、固城村、火连庄、大营村、东潘村、西潘村、北寨子村；魏家庄镇的肖前村、肖西村；千户营乡的苏庄村。项目总投资3624万元，其中中央财政投资3000万元，省财政投资624万元。目前省、市对该项目已经批复，正在准备招投标工作。</w:t>
      </w:r>
    </w:p>
    <w:p w14:paraId="253E6C42">
      <w:pPr>
        <w:spacing w:line="560" w:lineRule="exact"/>
        <w:ind w:firstLine="632" w:firstLineChars="200"/>
        <w:rPr>
          <w:rFonts w:ascii="仿宋_GB2312" w:hAnsi="仿宋_GB2312" w:eastAsia="仿宋_GB2312" w:cs="仿宋_GB2312"/>
          <w:sz w:val="32"/>
          <w:szCs w:val="32"/>
        </w:rPr>
      </w:pPr>
      <w:r>
        <w:rPr>
          <w:rFonts w:hint="eastAsia" w:ascii="仿宋_GB2312" w:hAnsi="仿宋_GB2312" w:eastAsia="仿宋_GB2312" w:cs="仿宋_GB2312"/>
          <w:spacing w:val="-2"/>
          <w:sz w:val="32"/>
          <w:szCs w:val="32"/>
        </w:rPr>
        <w:t>（十三）“大棚房”问题专项清理整治工作。严格按照省市“大棚房”专项清理整治工作要求，在2018年摸排的基础上，认真做好清理整治工作，活动开展以来，全县共摸排各类温室大棚1632个，面积11470.7亩。共发现“大棚房”及农地非农化问题4个，面积13.7亩。所有问题均整改到位并顺利通过省市、验收。</w:t>
      </w:r>
    </w:p>
    <w:p w14:paraId="6F3EEEDD">
      <w:pPr>
        <w:spacing w:line="560" w:lineRule="exact"/>
        <w:ind w:firstLine="640" w:firstLineChars="200"/>
        <w:rPr>
          <w:rFonts w:ascii="仿宋_GB2312" w:hAnsi="仿宋_GB2312" w:eastAsia="仿宋_GB2312" w:cs="仿宋_GB2312"/>
          <w:bCs/>
          <w:kern w:val="0"/>
          <w:sz w:val="32"/>
          <w:szCs w:val="32"/>
        </w:rPr>
      </w:pPr>
      <w:r>
        <w:rPr>
          <w:rFonts w:hint="eastAsia" w:ascii="仿宋_GB2312" w:hAnsi="仿宋_GB2312" w:eastAsia="仿宋_GB2312" w:cs="仿宋_GB2312"/>
          <w:bCs/>
          <w:sz w:val="32"/>
          <w:szCs w:val="32"/>
        </w:rPr>
        <w:t>（十四）做好物疫病防控工作，确保畜牧业健康发展。一是坚持以“政府部门包发动、包密度，农业部门包注射、包质量”的双轨目标责任制继续开展重大动物疫病防控工作，以免疫小分队工作的形式逐村、逐户、逐畜（禽）开展防疫，不漏一村一户一畜（禽）一针，应免尽免，不留空档。二是非洲猪瘟排查</w:t>
      </w:r>
      <w:r>
        <w:rPr>
          <w:rFonts w:hint="eastAsia" w:ascii="仿宋_GB2312" w:hAnsi="仿宋_GB2312" w:eastAsia="仿宋_GB2312" w:cs="仿宋_GB2312"/>
          <w:bCs/>
          <w:kern w:val="0"/>
          <w:sz w:val="32"/>
          <w:szCs w:val="32"/>
        </w:rPr>
        <w:t>实行乡镇、村干部和乡镇动物动物卫生监督分所两条线排查和日报告制度，对全县所有养猪场（户）、屠宰企业进行排查，确保我县不发生重大动物疫情。</w:t>
      </w:r>
    </w:p>
    <w:p w14:paraId="37CCBF0B">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shd w:val="clear" w:color="auto" w:fill="FFFFFF"/>
        </w:rPr>
        <w:t>（十五）稳步推进农村改革，提升农业现代化水平。</w:t>
      </w:r>
      <w:r>
        <w:rPr>
          <w:rFonts w:hint="eastAsia" w:ascii="仿宋_GB2312" w:hAnsi="仿宋_GB2312" w:eastAsia="仿宋_GB2312" w:cs="仿宋_GB2312"/>
          <w:bCs/>
          <w:sz w:val="32"/>
          <w:szCs w:val="32"/>
        </w:rPr>
        <w:t>一是农村承包地确权登记颁证工作。该项工作年初顺利通过省市级考核验收，目前已完成二次公示无异议的村230个，确权耕地面积72.5万亩，完成档案整理村224个，数据库已录入村224个。已按照农业部成果汇交要求，完成向农业部数据汇交，确权证书已发放224个村，确权档案正在移交。二是农村土地适度规模经营进一步加快。全县土地流转面积达到24.75万亩，占耕地面积35%。三是农村集体产权制度改革工作，完成了全县276个村的清产核资报表上报录入和清产核资账目调整工作。出台了《隆尧县人民政府关于印发隆尧县农村集体经济组织成员身份界定指导意见的通知》文件。召开了全县成员身份界定培训大会，参会培训人员500余人。截</w:t>
      </w:r>
      <w:r>
        <w:rPr>
          <w:rFonts w:hint="eastAsia" w:ascii="仿宋_GB2312" w:hAnsi="仿宋_GB2312" w:eastAsia="仿宋_GB2312" w:cs="仿宋_GB2312"/>
          <w:bCs/>
          <w:sz w:val="32"/>
          <w:szCs w:val="32"/>
          <w:lang w:eastAsia="zh-CN"/>
        </w:rPr>
        <w:t>至</w:t>
      </w:r>
      <w:r>
        <w:rPr>
          <w:rFonts w:hint="eastAsia" w:ascii="仿宋_GB2312" w:hAnsi="仿宋_GB2312" w:eastAsia="仿宋_GB2312" w:cs="仿宋_GB2312"/>
          <w:bCs/>
          <w:sz w:val="32"/>
          <w:szCs w:val="32"/>
        </w:rPr>
        <w:t>目前已完成全县276个村的农村集体经济组织成员身份确认和农村集体经济组织的赋码工作。</w:t>
      </w:r>
    </w:p>
    <w:p w14:paraId="122A11E7">
      <w:pPr>
        <w:spacing w:line="56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（十六）洁净煤推广工作。洁净煤推广任务11.6万吨，完成洁净煤推广11.8万吨（其中洁净型煤2.6万吨，兰炭9.2万吨），已完成推广任务。</w:t>
      </w:r>
    </w:p>
    <w:p w14:paraId="1BE77237">
      <w:pPr>
        <w:ind w:firstLine="960" w:firstLineChars="300"/>
        <w:rPr>
          <w:rFonts w:ascii="仿宋_GB2312" w:hAnsi="仿宋_GB2312" w:eastAsia="仿宋_GB2312" w:cs="仿宋_GB2312"/>
          <w:sz w:val="32"/>
          <w:szCs w:val="32"/>
        </w:rPr>
      </w:pPr>
      <w:r>
        <w:rPr>
          <w:rFonts w:hint="eastAsia" w:ascii="仿宋_GB2312" w:hAnsi="仿宋_GB2312" w:eastAsia="仿宋_GB2312" w:cs="仿宋_GB2312"/>
          <w:sz w:val="32"/>
          <w:szCs w:val="32"/>
        </w:rPr>
        <w:t>2019年末单位固定资产价值889.19万元；一般公共预算财政拨款1.2978亿元，资金支出1.2978亿元。</w:t>
      </w:r>
    </w:p>
    <w:p w14:paraId="10045D48">
      <w:pPr>
        <w:spacing w:line="50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预算绩效管理开展及整体绩效实现情况：</w:t>
      </w:r>
    </w:p>
    <w:p w14:paraId="501FE8C4">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1）、指导粮食，农产品生产，组织落实促进主要农产品生产发展的相关政策措施，引导农业产业结构调整和产品品质的改善。会同有关部门指导农业标准化、规模化生产。负责提出农业固定资产投资规模和方向、财政性资金安排的意见。编报部门预算并组织执行。提出扶持农业农村发展的财政政策和项目建议，经批准后制定实施方案并指导实施。</w:t>
      </w:r>
    </w:p>
    <w:p w14:paraId="1BFBDB55">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负责农作物重大病虫害防治。会同有关部门制定动植物防疫检疫办法并指导实施，指导动植物防疫和检疫体系建设。组织、监督对县内动植物的防疫检疫工作，发布疫情并组织扑灭。组织植物检疫性有害生物普查。组织兽医医政、兽药药政药检工作。负责执业兽医的管理。</w:t>
      </w:r>
    </w:p>
    <w:p w14:paraId="61D86BD9">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（3）、负责农机作业规范和技术标准的组织实施工作；承担依法组织实施农业机械安全监理和试验鉴定等有关工作；依法组织对在用的特定种类农业机械产品进行调查；指导农机作业安全和维修管理。</w:t>
      </w:r>
    </w:p>
    <w:p w14:paraId="399E97B5">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4）、在全县实施农业综合开发土地治理、产业化经营、示范区等项目，依据省、市确定的项目配套资金；在全县开发县组织实施高标准农田、生态综合治理、中型灌区配套改造、产业化经营财政补助项目、贴息项目、设施蔬菜项目、部门项目等项目，大力推进重点开发、效益开发，有效改善农业生产条件和生态环境，提高农业综合生产能力提高粮食产能，扶持农业龙头企业和新型经营主体，带动农业特色主导产业发展，探索现代农业发展路径，示范引导全县现代农业发展，促进农业增效、农民增收。</w:t>
      </w:r>
    </w:p>
    <w:p w14:paraId="7385B51B">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5）、拉伸农业产业链条，提升农产品附加值，增加农民收入，创造县域经济发展新增长点；改善农村环境面貌，提升农民生产生活条件；使农业增效、农民增收、农村增活力；推动中央、省市和县委、县政府各县惠农政策落实，使农村经济健康发展、农民收入实现持续稳定增长农村经济持续较快发展；保障各项农村工作正常运行。</w:t>
      </w:r>
    </w:p>
    <w:p w14:paraId="5C31E39F">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6）、促进农业现代化、提高农业劳动生产率，增加农民收入；规范流转行为，优化资源配置，促进农业专业合作经济组织健康发展，加快新农村建设和城镇化进程；通过实施农村面貌改造提升行动和开展新民居中心村示范点建设，加快建设社会主义新农村，改善农村环境面貌提升农民生产生活条件。保障农业农村工作的正常运行。</w:t>
      </w:r>
    </w:p>
    <w:p w14:paraId="5F194A49">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工作履行活动完成情况：  </w:t>
      </w:r>
    </w:p>
    <w:p w14:paraId="1671E759">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在县委、县政府的正确领导下，农业农村局认真落实中央和省市“三农”工作决策部署，坚持稳中求进工作总基调，推进乡村振兴战略，深化农业供给侧改革，着力改善农村人居环境，全面提升我县农业现代化水平。</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xml:space="preserve">    (一)聚焦“一个中心”，全面实施乡村振兴战略。聚焦全面实施乡村振兴战略这个中心，围绕“产业兴旺、生态宜居、乡风文明、治理有效、生活富裕”20个字总要求，发挥好乡村振兴办公室决策参谋、牵头抓总、协调落实作用，以乡村振兴战略五年规划确定的31项主要指标、102项重大工程、重大计划、重大行动为抓手，对照分工方案，加强督导调度，确保重点工作扎实推进，各项任务按照时间节点按时完成。</w:t>
      </w:r>
    </w:p>
    <w:p w14:paraId="6ED3EAC7">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二）打好农村人居环境整治硬仗。发挥农业农村部门牵头抓总的作用，认真学习推广浙江“千万工程”经验，推动相关职能部门履职尽责，做好观摩评比及明察暗访工作，抓好农村垃圾治理工作，特别是五清三建一改、畜禽养殖废弃物资源化利用、两高沿线村容村貌提升使农村面貌不断提升，推进人居环境常态化管理。完善各项制度，实现乡村文明提升与环境整治互促互进。</w:t>
      </w:r>
    </w:p>
    <w:p w14:paraId="36CF8979">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三）扎实稳定粮食、蔬菜生产。1、调优粮食种植结构。大力推进农业供给侧改革，农业结构不断优化，农业综合生产能力不断加强。调减高效低质低效农作物面积3.7万亩，全县推广优质强筋麦34万亩（重点推广乡镇隆尧镇、牛桥乡、大张庄乡、固城镇等）；完成粮食生产功能区划定工作的验收工作。2、抓好特色产业发展工作。2020年，全县优质蔬菜种植面积达到4.9万亩，优质果品种植面积达到2.8万亩，中药材种植稳定在0.16万亩，高油酸花生达到0.2万亩，大豆种植面积达到1.59万亩，特色杂粮种植面积达到1.34万亩，饲草种植面积2万亩，设施农业建设达到2.26万亩。协助隆尧县分良家庭农场创建蔬菜产业园；继续抓好对农民的技术培训，提高科技素质，加快推广新技术、新品种；继续开展蔬菜农药残留检测工作，重点抓好外销蔬菜种植基地的抽查检测力度，确保我县蔬菜产品质量安全放心。3、搞好大田作物考察，加强农业科技培训。全年分不同阶段组织、考察主要农作物20期以上，撰写不同作物、不同生育时期管理技术意见20期以上。结合农时，深入乡村田间地头，开展技术培训，现场讲解，技术指导。利用电视栏目、印发技术资料、农村广播喇叭等形式广泛开展宣传，全年举办不同规模、不同类型培训班30场以上，现场技术指导35趟次以上，在县电视台《关注三农》栏目举办技术讲座10期以上，印发资料2万份以上，利用广播喇叭宣传50场次以上。</w:t>
      </w:r>
    </w:p>
    <w:p w14:paraId="5F605049">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（四）“三品一标”创建工作。继续做好农产品“三品一标”认证工作，加大三品一标的宣传力度，提高人们对三品一标的认知程度，2020年新增三品一标农产品2个。</w:t>
      </w:r>
    </w:p>
    <w:p w14:paraId="0E0E2582">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五）着力提升农产品质量安全水平。在“元旦、春节”“中秋、十一”等重点节日期间，开展农产品质量安全集中整治活动，全年内常态化搞好农业投入品市场、种养殖企业、屠宰市场的检查工作，做好“瘦肉精”专项整治工作，积极开展“瘦肉精”拉网检测，加大对农兽药、肥料饲料、添加剂经营门店的监管，杜绝禁用投入品的使用，做好全县农产品质量安全追溯体系建设。主要农产品监测合格率不低于97%。</w:t>
      </w:r>
    </w:p>
    <w:p w14:paraId="57A6E9BA">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六）畜牧工作。按照“扩大生猪、稳定蛋鸡、发展肉羊”的工作思路，2020年肉、蛋、奶产量分别达到3.67万吨、8.38万吨和2.55万吨，生猪出栏29.3万头、肉牛出栏1.28万头、肉羊出栏9.54万只，蛋鸡存栏756万只。继续搞好春秋两季的动物疫病防治工作，毫不松懈抓好非洲猪瘟防控，确保不发生动物疫情，确保畜产品生产安全。继续开展粮改饲试点县项目工作，推进农业供给侧结构调整。继续推进抓好全县畜禽养殖废弃物的资源化综合利用工作，2020年底全县畜禽废弃物综合利用率达80%以上，规模养殖场粪污配套处理设施装备率达到100%以上。</w:t>
      </w:r>
    </w:p>
    <w:p w14:paraId="35218FA7">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七）提升农业机械化水平。认真落实好农机购置补贴等惠农政策，积极转变农业机械化增长方式，以增量调整带动存量优化，以存量优化促进结构升级。重点发展大马力、高性能、多功能复式作业的农机装备，加快动力机械的配套机具的开发和利用，提高配套比，使全县农业机械在总量发展、装备结构、技术水平上明显提高。农机购置补贴稳定在1100万元左右。</w:t>
      </w:r>
    </w:p>
    <w:p w14:paraId="0200DD6A">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八）农村改革。1、建立健全农村集体“三资”管理信息化平台，联合财政局、各乡镇政府，全面推行村级财务委托第三方代理记账服务稳定农村财会队伍，落实民主理财，规范财务公开，切实维护集体成员经济权益和监督管理权。2、培育壮大新型农业经营主体。开展农民合作社质量提升行动，鼓励发展合作社联合社，加大示范合作社、示范家庭农场创建力度。鼓励龙头企业、农民合作社和家庭农场等各类新型经营主体融合发展。3、扎实做好农村承包地确权登记颁证收尾工作。全面完成土地承包经营权证颁证扫尾、“一户一档”数字化档案、数据库修正和市级验收等工作，做好矛盾纠纷调处，积极探索放活土地经营权的有效途径，促进小农户与现代农业有机衔接。</w:t>
      </w:r>
    </w:p>
    <w:p w14:paraId="11112F7A">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（九）发展绿色农业减少农药使用量。促进农业绿色发展，加快农药更新换代，减少不合理使用,提高施用效益,切实保障农产品质量安全和生态环境安全, 2020年目标为全县农药使用量持续负增长，比2019年减少2%以上。主要农作物统防统治覆盖率40%以上,主要农作物绿色防控覆盖率30%以上,主要农作物农药利用率40%以上。</w:t>
      </w:r>
    </w:p>
    <w:p w14:paraId="4951F5A7">
      <w:p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绩效评价的组织实施情况：</w:t>
      </w:r>
    </w:p>
    <w:p w14:paraId="33CABEC8">
      <w:pPr>
        <w:numPr>
          <w:ilvl w:val="0"/>
          <w:numId w:val="2"/>
        </w:num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按照要求和计划完成研究任务的项目在所有立项项目中的比例98%</w:t>
      </w:r>
    </w:p>
    <w:p w14:paraId="7554E1E0">
      <w:pPr>
        <w:numPr>
          <w:ilvl w:val="0"/>
          <w:numId w:val="2"/>
        </w:num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拉伸农业产业链条，提升农产品附加值，增加农民收入，创造县域经济发展新增长点。</w:t>
      </w:r>
    </w:p>
    <w:p w14:paraId="51773AB9">
      <w:pPr>
        <w:numPr>
          <w:ilvl w:val="0"/>
          <w:numId w:val="2"/>
        </w:num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促进农业现代化，提高农业劳动生产率，增加农民收入。</w:t>
      </w:r>
    </w:p>
    <w:p w14:paraId="6AEFFDAF">
      <w:pPr>
        <w:numPr>
          <w:ilvl w:val="0"/>
          <w:numId w:val="2"/>
        </w:num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推进新民居中心村示范工程建设，打造一批符合全面小康要求的新型农村社区和美丽乡村。</w:t>
      </w:r>
    </w:p>
    <w:p w14:paraId="59E42371">
      <w:pPr>
        <w:numPr>
          <w:ilvl w:val="0"/>
          <w:numId w:val="2"/>
        </w:numPr>
        <w:spacing w:line="50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群众满意度，群众满意数量占总数的比例98%。</w:t>
      </w:r>
    </w:p>
    <w:p w14:paraId="568EA581">
      <w:pPr>
        <w:spacing w:line="500" w:lineRule="exact"/>
        <w:ind w:left="420" w:left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各项绩效目标的实现程度及差异性情况：</w:t>
      </w:r>
    </w:p>
    <w:p w14:paraId="5C2BD56F">
      <w:pPr>
        <w:spacing w:line="500" w:lineRule="exact"/>
        <w:ind w:left="420" w:leftChars="200"/>
        <w:rPr>
          <w:rFonts w:ascii="仿宋_GB2312" w:hAnsi="仿宋_GB2312" w:eastAsia="仿宋_GB2312" w:cs="仿宋_GB2312"/>
          <w:sz w:val="32"/>
          <w:szCs w:val="32"/>
        </w:rPr>
      </w:pPr>
      <w:r>
        <w:rPr>
          <w:rFonts w:hint="eastAsia" w:ascii="仿宋_GB2312" w:hAnsi="仿宋_GB2312" w:eastAsia="仿宋_GB2312" w:cs="仿宋_GB2312"/>
          <w:sz w:val="32"/>
          <w:szCs w:val="32"/>
        </w:rPr>
        <w:t>各项绩效目标基本符合规定，项目资金的支付，在保障单位工作正常开展中取得实效，但存在绩效指标体系有待改善，绩效目标细化程度有待提高。</w:t>
      </w:r>
    </w:p>
    <w:p w14:paraId="3616984A">
      <w:pPr>
        <w:spacing w:line="500" w:lineRule="exact"/>
        <w:ind w:left="420" w:left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存在问题、采取的纠偏措施及改进绩效管理建议：</w:t>
      </w:r>
    </w:p>
    <w:p w14:paraId="214A9CC9">
      <w:pPr>
        <w:spacing w:line="500" w:lineRule="exact"/>
        <w:ind w:left="420" w:left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支付进度率有待提高，按照预算要求和项目实施方案加快支付进度。</w:t>
      </w:r>
    </w:p>
    <w:p w14:paraId="67769F7F">
      <w:pPr>
        <w:spacing w:line="500" w:lineRule="exact"/>
        <w:ind w:left="420" w:left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其他需要说明的问题：</w:t>
      </w:r>
    </w:p>
    <w:p w14:paraId="5043AC36">
      <w:pPr>
        <w:spacing w:line="500" w:lineRule="exact"/>
        <w:ind w:left="420" w:left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无其他需要说明的问题。</w:t>
      </w:r>
    </w:p>
    <w:p w14:paraId="7B40DC1B"/>
    <w:p w14:paraId="33CB2635"/>
    <w:p w14:paraId="3ED28D1B">
      <w:pPr>
        <w:tabs>
          <w:tab w:val="left" w:pos="5270"/>
        </w:tabs>
        <w:ind w:firstLine="4480" w:firstLineChars="14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隆尧县农业农村局</w:t>
      </w:r>
    </w:p>
    <w:p w14:paraId="6CD7D37D">
      <w:pPr>
        <w:tabs>
          <w:tab w:val="left" w:pos="5270"/>
        </w:tabs>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2020年6月27日</w:t>
      </w: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4C91C7">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1</w:t>
    </w:r>
    <w:r>
      <w:rPr>
        <w:rStyle w:val="11"/>
        <w:rFonts w:ascii="宋体" w:hAnsi="宋体" w:eastAsia="宋体"/>
        <w:sz w:val="28"/>
        <w:szCs w:val="28"/>
      </w:rPr>
      <w:fldChar w:fldCharType="end"/>
    </w:r>
    <w:r>
      <w:rPr>
        <w:rStyle w:val="11"/>
        <w:rFonts w:hint="eastAsia" w:ascii="宋体" w:hAnsi="宋体" w:eastAsia="宋体"/>
        <w:sz w:val="28"/>
        <w:szCs w:val="28"/>
      </w:rPr>
      <w:t>-</w:t>
    </w:r>
  </w:p>
  <w:p w14:paraId="4073D002">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A0DA88">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457AD3DE">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B7442ED"/>
    <w:multiLevelType w:val="singleLevel"/>
    <w:tmpl w:val="AB7442ED"/>
    <w:lvl w:ilvl="0" w:tentative="0">
      <w:start w:val="1"/>
      <w:numFmt w:val="chineseCounting"/>
      <w:suff w:val="nothing"/>
      <w:lvlText w:val="%1、"/>
      <w:lvlJc w:val="left"/>
      <w:rPr>
        <w:rFonts w:hint="eastAsia"/>
      </w:rPr>
    </w:lvl>
  </w:abstractNum>
  <w:abstractNum w:abstractNumId="1">
    <w:nsid w:val="17CEB5D3"/>
    <w:multiLevelType w:val="singleLevel"/>
    <w:tmpl w:val="17CEB5D3"/>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NhMmUwOWQwNWYxZmUwOGRiYjc5OTkzNjBmN2RlMTAifQ=="/>
  </w:docVars>
  <w:rsids>
    <w:rsidRoot w:val="00042933"/>
    <w:rsid w:val="00002F2C"/>
    <w:rsid w:val="000070A8"/>
    <w:rsid w:val="00016CA4"/>
    <w:rsid w:val="000324AE"/>
    <w:rsid w:val="00042933"/>
    <w:rsid w:val="0008033E"/>
    <w:rsid w:val="0008759D"/>
    <w:rsid w:val="00094F2B"/>
    <w:rsid w:val="000B0A83"/>
    <w:rsid w:val="000B6322"/>
    <w:rsid w:val="000C2CC1"/>
    <w:rsid w:val="000E4A5A"/>
    <w:rsid w:val="00103547"/>
    <w:rsid w:val="0017068B"/>
    <w:rsid w:val="00185A3C"/>
    <w:rsid w:val="00192D5A"/>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E3B64"/>
    <w:rsid w:val="005020C5"/>
    <w:rsid w:val="00567FE6"/>
    <w:rsid w:val="0058162A"/>
    <w:rsid w:val="005B3616"/>
    <w:rsid w:val="005E12FA"/>
    <w:rsid w:val="006612D6"/>
    <w:rsid w:val="00683167"/>
    <w:rsid w:val="006A5056"/>
    <w:rsid w:val="006E64C9"/>
    <w:rsid w:val="007048FF"/>
    <w:rsid w:val="00712100"/>
    <w:rsid w:val="0071700D"/>
    <w:rsid w:val="00742652"/>
    <w:rsid w:val="00772600"/>
    <w:rsid w:val="007D5D41"/>
    <w:rsid w:val="007F01F9"/>
    <w:rsid w:val="008202FF"/>
    <w:rsid w:val="00856BA1"/>
    <w:rsid w:val="00867620"/>
    <w:rsid w:val="008709E0"/>
    <w:rsid w:val="008A6A10"/>
    <w:rsid w:val="008A6A31"/>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266F1"/>
    <w:rsid w:val="00EB16A8"/>
    <w:rsid w:val="00EC7904"/>
    <w:rsid w:val="00F72E93"/>
    <w:rsid w:val="00F87A11"/>
    <w:rsid w:val="00FB7E01"/>
    <w:rsid w:val="00FE5F4C"/>
    <w:rsid w:val="00FF39F6"/>
    <w:rsid w:val="02C44C9E"/>
    <w:rsid w:val="05374814"/>
    <w:rsid w:val="07B81D0A"/>
    <w:rsid w:val="0F8F6BFC"/>
    <w:rsid w:val="14307D5E"/>
    <w:rsid w:val="1E6967E7"/>
    <w:rsid w:val="253D2BD3"/>
    <w:rsid w:val="2E703E9C"/>
    <w:rsid w:val="3439728F"/>
    <w:rsid w:val="36C95115"/>
    <w:rsid w:val="3791647A"/>
    <w:rsid w:val="455969D8"/>
    <w:rsid w:val="47E71B0C"/>
    <w:rsid w:val="4AE55637"/>
    <w:rsid w:val="526A3656"/>
    <w:rsid w:val="5D643D56"/>
    <w:rsid w:val="66797E2C"/>
    <w:rsid w:val="69BD0A47"/>
    <w:rsid w:val="71A911C9"/>
    <w:rsid w:val="726A2AAA"/>
    <w:rsid w:val="75AE29EB"/>
    <w:rsid w:val="77A86A4F"/>
    <w:rsid w:val="7891690E"/>
    <w:rsid w:val="7CCC213E"/>
    <w:rsid w:val="7D084A5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19</Pages>
  <Words>4739</Words>
  <Characters>5056</Characters>
  <Lines>93</Lines>
  <Paragraphs>26</Paragraphs>
  <TotalTime>12</TotalTime>
  <ScaleCrop>false</ScaleCrop>
  <LinksUpToDate>false</LinksUpToDate>
  <CharactersWithSpaces>5090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2020-11-06T06:43:00Z</dcterms:created>
  <dc:creator>Administrator</dc:creator>
  <cp:lastModifiedBy>第一城体彩（先款后票，诚信至上）</cp:lastModifiedBy>
  <cp:lastPrinted>2018-11-29T03:23:00Z</cp:lastPrinted>
  <dcterms:modified xsi:type="dcterms:W3CDTF">2025-04-30T02:58:33Z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88EC1D90D5C14DA482B5027BA60D40D8_13</vt:lpwstr>
  </property>
  <property fmtid="{D5CDD505-2E9C-101B-9397-08002B2CF9AE}" pid="4" name="KSOTemplateDocerSaveRecord">
    <vt:lpwstr>eyJoZGlkIjoiNTQ5YTNjMjdmM2U0NTk4Y2RmYmM2OTE0YmZhNWY0OGQiLCJ1c2VySWQiOiI4NTQyMTg2MjcifQ==</vt:lpwstr>
  </property>
</Properties>
</file>