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一、隆尧县千户营乡人民政府本级收支预算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bookmarkStart w:id="0" w:name="_GoBack"/>
      <w:bookmarkEnd w:id="0"/>
    </w:p>
    <w:p>
      <w:pPr>
        <w:spacing w:before="0" w:after="0"/>
        <w:ind w:firstLine="0"/>
        <w:jc w:val="center"/>
        <w:outlineLvl w:val="3"/>
      </w:pPr>
      <w:bookmarkStart w:id="1" w:name="_Toc_4_4_0000000001"/>
      <w:r>
        <w:rPr>
          <w:rFonts w:ascii="方正小标宋_GBK" w:eastAsia="方正小标宋_GBK" w:cs="方正小标宋_GBK" w:hAnsi="方正小标宋_GBK"/>
          <w:b w:val="0"/>
          <w:color w:val="000000"/>
          <w:sz w:val="44"/>
        </w:rPr>
        <w:t>一、隆尧县千户营乡人民政府本级收支预算</w:t>
      </w:r>
      <w:bookmarkEnd w:id="1"/>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r>
              <w:t>1354.31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2126" w:type="dxa"/>
            <w:vAlign w:val="center"/>
          </w:tcPr>
          <w:p>
            <w:pPr>
              <w:pStyle w:val="19"/>
            </w:pPr>
            <w:r>
              <w:t>622.67</w:t>
            </w:r>
          </w:p>
        </w:tc>
      </w:tr>
      <w:tr>
        <w:trPr>
          <w:trHeight w:val="369"/>
        </w:trPr>
        <w:tc>
          <w:tcPr>
            <w:tcW w:w="850" w:type="dxa"/>
            <w:vAlign w:val="center"/>
          </w:tcPr>
          <w:p>
            <w:pPr>
              <w:pStyle w:val="21"/>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r>
              <w:t>241.88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2126" w:type="dxa"/>
            <w:vAlign w:val="center"/>
          </w:tcPr>
          <w:p>
            <w:pPr>
              <w:pStyle w:val="19"/>
            </w:pPr>
            <w:r>
              <w:t>4.80</w:t>
            </w:r>
          </w:p>
        </w:tc>
      </w:tr>
      <w:tr>
        <w:trPr>
          <w:trHeight w:val="369"/>
        </w:trPr>
        <w:tc>
          <w:tcPr>
            <w:tcW w:w="850" w:type="dxa"/>
            <w:vAlign w:val="center"/>
          </w:tcPr>
          <w:p>
            <w:pPr>
              <w:pStyle w:val="21"/>
            </w:pPr>
            <w:r>
              <w:t>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四、财政专户管理资金收入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五、单位资金</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r>
              <w:t>1.70</w:t>
            </w:r>
          </w:p>
        </w:tc>
      </w:tr>
      <w:tr>
        <w:trPr>
          <w:trHeight w:val="369"/>
        </w:trPr>
        <w:tc>
          <w:tcPr>
            <w:tcW w:w="850" w:type="dxa"/>
            <w:vAlign w:val="center"/>
          </w:tcPr>
          <w:p>
            <w:pPr>
              <w:pStyle w:val="21"/>
            </w:pPr>
            <w:r>
              <w:t>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2126" w:type="dxa"/>
            <w:vAlign w:val="center"/>
          </w:tcPr>
          <w:p>
            <w:pPr>
              <w:pStyle w:val="19"/>
            </w:pPr>
            <w:r>
              <w:t>176.75</w:t>
            </w:r>
          </w:p>
        </w:tc>
      </w:tr>
      <w:tr>
        <w:trPr>
          <w:trHeight w:val="369"/>
        </w:trPr>
        <w:tc>
          <w:tcPr>
            <w:tcW w:w="850" w:type="dxa"/>
            <w:vAlign w:val="center"/>
          </w:tcPr>
          <w:p>
            <w:pPr>
              <w:pStyle w:val="21"/>
            </w:pPr>
            <w:r>
              <w:t>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2126" w:type="dxa"/>
            <w:vAlign w:val="center"/>
          </w:tcPr>
          <w:p>
            <w:pPr>
              <w:pStyle w:val="19"/>
            </w:pPr>
            <w:r>
              <w:t>42.63</w:t>
            </w:r>
          </w:p>
        </w:tc>
      </w:tr>
      <w:tr>
        <w:trPr>
          <w:trHeight w:val="369"/>
        </w:trPr>
        <w:tc>
          <w:tcPr>
            <w:tcW w:w="850" w:type="dxa"/>
            <w:vAlign w:val="center"/>
          </w:tcPr>
          <w:p>
            <w:pPr>
              <w:pStyle w:val="21"/>
            </w:pPr>
            <w:r>
              <w:t>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2126" w:type="dxa"/>
            <w:vAlign w:val="center"/>
          </w:tcPr>
          <w:p>
            <w:pPr>
              <w:pStyle w:val="19"/>
            </w:pPr>
            <w:r>
              <w:t>16.44</w:t>
            </w:r>
          </w:p>
        </w:tc>
      </w:tr>
      <w:tr>
        <w:trPr>
          <w:trHeight w:val="369"/>
        </w:trPr>
        <w:tc>
          <w:tcPr>
            <w:tcW w:w="850" w:type="dxa"/>
            <w:vAlign w:val="center"/>
          </w:tcPr>
          <w:p>
            <w:pPr>
              <w:pStyle w:val="21"/>
            </w:pPr>
            <w:r>
              <w:t>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2126" w:type="dxa"/>
            <w:vAlign w:val="center"/>
          </w:tcPr>
          <w:p>
            <w:pPr>
              <w:pStyle w:val="19"/>
            </w:pPr>
            <w:r>
              <w:t>82.88</w:t>
            </w:r>
          </w:p>
        </w:tc>
      </w:tr>
      <w:tr>
        <w:trPr>
          <w:trHeight w:val="369"/>
        </w:trPr>
        <w:tc>
          <w:tcPr>
            <w:tcW w:w="850" w:type="dxa"/>
            <w:vAlign w:val="center"/>
          </w:tcPr>
          <w:p>
            <w:pPr>
              <w:pStyle w:val="21"/>
            </w:pPr>
            <w:r>
              <w:t>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2126" w:type="dxa"/>
            <w:vAlign w:val="center"/>
          </w:tcPr>
          <w:p>
            <w:pPr>
              <w:pStyle w:val="19"/>
            </w:pPr>
            <w:r>
              <w:t>438.48</w:t>
            </w:r>
          </w:p>
        </w:tc>
      </w:tr>
      <w:tr>
        <w:trPr>
          <w:trHeight w:val="369"/>
        </w:trPr>
        <w:tc>
          <w:tcPr>
            <w:tcW w:w="850" w:type="dxa"/>
            <w:vAlign w:val="center"/>
          </w:tcPr>
          <w:p>
            <w:pPr>
              <w:pStyle w:val="21"/>
            </w:pPr>
            <w:r>
              <w:t>14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2126" w:type="dxa"/>
            <w:vAlign w:val="center"/>
          </w:tcPr>
          <w:p>
            <w:pPr>
              <w:pStyle w:val="19"/>
            </w:pPr>
            <w:r>
              <w:t>50.85</w:t>
            </w:r>
          </w:p>
        </w:tc>
      </w:tr>
      <w:tr>
        <w:trPr>
          <w:trHeight w:val="369"/>
        </w:trPr>
        <w:tc>
          <w:tcPr>
            <w:tcW w:w="850" w:type="dxa"/>
            <w:vAlign w:val="center"/>
          </w:tcPr>
          <w:p>
            <w:pPr>
              <w:pStyle w:val="21"/>
            </w:pPr>
            <w:r>
              <w:t>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2126" w:type="dxa"/>
            <w:vAlign w:val="center"/>
          </w:tcPr>
          <w:p>
            <w:pPr>
              <w:pStyle w:val="19"/>
            </w:pPr>
            <w:r>
              <w:t>159.00</w:t>
            </w:r>
          </w:p>
        </w:tc>
      </w:tr>
      <w:tr>
        <w:trPr>
          <w:trHeight w:val="369"/>
        </w:trPr>
        <w:tc>
          <w:tcPr>
            <w:tcW w:w="850" w:type="dxa"/>
            <w:vAlign w:val="center"/>
          </w:tcPr>
          <w:p>
            <w:pPr>
              <w:pStyle w:val="21"/>
            </w:pPr>
            <w:r>
              <w:t>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2126" w:type="dxa"/>
            <w:vAlign w:val="center"/>
          </w:tcPr>
          <w:p>
            <w:pPr>
              <w:pStyle w:val="23"/>
            </w:pPr>
            <w:r>
              <w:t>1596.20</w:t>
            </w:r>
          </w:p>
        </w:tc>
      </w:tr>
      <w:tr>
        <w:trPr>
          <w:trHeight w:val="369"/>
        </w:trPr>
        <w:tc>
          <w:tcPr>
            <w:tcW w:w="850" w:type="dxa"/>
            <w:vAlign w:val="center"/>
          </w:tcPr>
          <w:p>
            <w:pPr>
              <w:pStyle w:val="21"/>
            </w:pPr>
            <w:r>
              <w:t>33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上年结转结余</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2126" w:type="dxa"/>
            <w:vAlign w:val="center"/>
          </w:tcPr>
          <w:p>
            <w:pPr>
              <w:pStyle w:val="23"/>
            </w:pPr>
            <w:r>
              <w:t>1596.20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072" w:type="dxa"/>
            <w:gridSpan w:val="8"/>
            <w:tcBorders>
              <w:top w:val="single" w:sz="6" w:space="0" w:color="auto"/>
              <w:left w:val="single" w:sz="6" w:space="0" w:color="auto"/>
              <w:bottom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小计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财政拨款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财政专户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事业收入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经营收入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上级补助收入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附属单位上缴收入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8</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9</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1559"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人大事务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代表工作</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政府办公厅（室）及相关机构事务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2010301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20113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商贸事务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2011308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招商引资</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国防支出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20306</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国防动员</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2030607</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民兵</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文化旅游体育与传媒支出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文化和旅游</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2070109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群众文化</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抚恤</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2080805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义务兵优待</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21007</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计划生育事务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2100799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其他计划生育事务支出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节能环保支出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21103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污染防治</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2110301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大气</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污染减排</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2111102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生态环境执法监察</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城乡社区支出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国有土地使用权出让收入安排的支出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2120801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征地和拆迁补偿支出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农林水支出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农业农村</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2130126</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农村社会事业</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21307</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农村综合改革</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2130705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对村民委员会和村党支部的补助</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其他支出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22960</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彩票公益金安排的支出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2296099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用于其他社会公益事业的彩票公益金支出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项目支出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经营支出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625.05</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971.14</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139.37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人大事务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代表工作</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政府办公厅（室）及相关机构事务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119.17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119.17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商贸事务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2011308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招商引资</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国防支出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国防动员</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2030607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民兵</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文化旅游体育与传媒支出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文化和旅游</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2070109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群众文化</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抚恤</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义务兵优待</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计划生育事务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2100799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其他计划生育事务支出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节能环保支出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污染防治</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2110301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大气</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污染减排</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2111102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生态环境执法监察</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城乡社区支出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国有土地使用权出让收入安排的支出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2120801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征地和拆迁补偿支出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农林水支出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农业农村</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2130126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农村社会事业</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农村综合改革</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2130705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对村民委员会和村党支部的补助</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22960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彩票公益金安排的支出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2296099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用于其他社会公益事业的彩票公益金支出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金额</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一般公共预算财政拨款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1354.31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241.88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1354.31</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241.88</w:t>
            </w: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年初财政拨款结转和结余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年末财政拨款结转和结余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1354.31</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241.88</w:t>
            </w: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1354.31</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625.05</w:t>
            </w:r>
          </w:p>
        </w:tc>
        <w:tc>
          <w:tcPr>
            <w:tcW w:w="2551" w:type="dxa"/>
            <w:vAlign w:val="center"/>
          </w:tcPr>
          <w:p>
            <w:pPr>
              <w:pStyle w:val="23"/>
            </w:pPr>
            <w:r>
              <w:t>729.26</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2551" w:type="dxa"/>
            <w:vAlign w:val="center"/>
          </w:tcPr>
          <w:p>
            <w:pPr>
              <w:pStyle w:val="19"/>
            </w:pPr>
            <w:r>
              <w:t>139.37</w:t>
            </w: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人大事务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15.10</w:t>
            </w: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代表工作</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5.10</w:t>
            </w: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政府办公厅（室）及相关机构事务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2551" w:type="dxa"/>
            <w:vAlign w:val="center"/>
          </w:tcPr>
          <w:p>
            <w:pPr>
              <w:pStyle w:val="19"/>
            </w:pPr>
            <w:r>
              <w:t>119.17</w:t>
            </w: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2551" w:type="dxa"/>
            <w:vAlign w:val="center"/>
          </w:tcPr>
          <w:p>
            <w:pPr>
              <w:pStyle w:val="19"/>
            </w:pPr>
            <w:r>
              <w:t>119.17</w:t>
            </w: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商贸事务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5.10</w:t>
            </w: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2011308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招商引资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5.10</w:t>
            </w: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国防支出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4.80</w:t>
            </w: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20306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国防动员</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4.80</w:t>
            </w: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2030607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民兵</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4.80</w:t>
            </w: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文化旅游体育与传媒支出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1.70</w:t>
            </w: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20701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文化和旅游</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1.70</w:t>
            </w: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2070109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群众文化</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1.70</w:t>
            </w:r>
          </w:p>
        </w:tc>
      </w:tr>
      <w:tr>
        <w:trPr>
          <w:trHeight w:val="369"/>
        </w:trPr>
        <w:tc>
          <w:tcPr>
            <w:tcW w:w="850" w:type="dxa"/>
            <w:vAlign w:val="center"/>
          </w:tcPr>
          <w:p>
            <w:pPr>
              <w:pStyle w:val="21"/>
            </w:pPr>
            <w:r>
              <w:t>16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vAlign w:val="center"/>
          </w:tcPr>
          <w:p>
            <w:pPr>
              <w:pStyle w:val="19"/>
            </w:pPr>
            <w:r>
              <w:t>112.37</w:t>
            </w:r>
          </w:p>
        </w:tc>
      </w:tr>
      <w:tr>
        <w:trPr>
          <w:trHeight w:val="369"/>
        </w:trPr>
        <w:tc>
          <w:tcPr>
            <w:tcW w:w="850" w:type="dxa"/>
            <w:vAlign w:val="center"/>
          </w:tcPr>
          <w:p>
            <w:pPr>
              <w:pStyle w:val="21"/>
            </w:pPr>
            <w:r>
              <w:t>17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抚恤</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112.37</w:t>
            </w:r>
          </w:p>
        </w:tc>
      </w:tr>
      <w:tr>
        <w:trPr>
          <w:trHeight w:val="369"/>
        </w:trPr>
        <w:tc>
          <w:tcPr>
            <w:tcW w:w="850" w:type="dxa"/>
            <w:vAlign w:val="center"/>
          </w:tcPr>
          <w:p>
            <w:pPr>
              <w:pStyle w:val="21"/>
            </w:pPr>
            <w:r>
              <w:t>20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义务兵优待</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112.37</w:t>
            </w:r>
          </w:p>
        </w:tc>
      </w:tr>
      <w:tr>
        <w:trPr>
          <w:trHeight w:val="369"/>
        </w:trPr>
        <w:tc>
          <w:tcPr>
            <w:tcW w:w="850" w:type="dxa"/>
            <w:vAlign w:val="center"/>
          </w:tcPr>
          <w:p>
            <w:pPr>
              <w:pStyle w:val="21"/>
            </w:pPr>
            <w:r>
              <w:t>21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vAlign w:val="center"/>
          </w:tcPr>
          <w:p>
            <w:pPr>
              <w:pStyle w:val="19"/>
            </w:pPr>
            <w:r>
              <w:t>16.10</w:t>
            </w:r>
          </w:p>
        </w:tc>
      </w:tr>
      <w:tr>
        <w:trPr>
          <w:trHeight w:val="369"/>
        </w:trPr>
        <w:tc>
          <w:tcPr>
            <w:tcW w:w="850" w:type="dxa"/>
            <w:vAlign w:val="center"/>
          </w:tcPr>
          <w:p>
            <w:pPr>
              <w:pStyle w:val="21"/>
            </w:pPr>
            <w:r>
              <w:t>22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计划生育事务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16.10</w:t>
            </w:r>
          </w:p>
        </w:tc>
      </w:tr>
      <w:tr>
        <w:trPr>
          <w:trHeight w:val="369"/>
        </w:trPr>
        <w:tc>
          <w:tcPr>
            <w:tcW w:w="850" w:type="dxa"/>
            <w:vAlign w:val="center"/>
          </w:tcPr>
          <w:p>
            <w:pPr>
              <w:pStyle w:val="21"/>
            </w:pPr>
            <w:r>
              <w:t>23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2100799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其他计划生育事务支出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16.10</w:t>
            </w:r>
          </w:p>
        </w:tc>
      </w:tr>
      <w:tr>
        <w:trPr>
          <w:trHeight w:val="369"/>
        </w:trPr>
        <w:tc>
          <w:tcPr>
            <w:tcW w:w="850" w:type="dxa"/>
            <w:vAlign w:val="center"/>
          </w:tcPr>
          <w:p>
            <w:pPr>
              <w:pStyle w:val="21"/>
            </w:pPr>
            <w:r>
              <w:t>24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vAlign w:val="center"/>
          </w:tcPr>
          <w:p>
            <w:pPr>
              <w:pStyle w:val="19"/>
            </w:pPr>
          </w:p>
        </w:tc>
      </w:tr>
      <w:tr>
        <w:trPr>
          <w:trHeight w:val="369"/>
        </w:trPr>
        <w:tc>
          <w:tcPr>
            <w:tcW w:w="850" w:type="dxa"/>
            <w:vAlign w:val="center"/>
          </w:tcPr>
          <w:p>
            <w:pPr>
              <w:pStyle w:val="21"/>
            </w:pPr>
            <w:r>
              <w:t>25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vAlign w:val="center"/>
          </w:tcPr>
          <w:p>
            <w:pPr>
              <w:pStyle w:val="19"/>
            </w:pPr>
          </w:p>
        </w:tc>
      </w:tr>
      <w:tr>
        <w:trPr>
          <w:trHeight w:val="369"/>
        </w:trPr>
        <w:tc>
          <w:tcPr>
            <w:tcW w:w="850" w:type="dxa"/>
            <w:vAlign w:val="center"/>
          </w:tcPr>
          <w:p>
            <w:pPr>
              <w:pStyle w:val="21"/>
            </w:pPr>
            <w:r>
              <w:t>26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节能环保支出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16.44</w:t>
            </w:r>
          </w:p>
        </w:tc>
      </w:tr>
      <w:tr>
        <w:trPr>
          <w:trHeight w:val="369"/>
        </w:trPr>
        <w:tc>
          <w:tcPr>
            <w:tcW w:w="850" w:type="dxa"/>
            <w:vAlign w:val="center"/>
          </w:tcPr>
          <w:p>
            <w:pPr>
              <w:pStyle w:val="21"/>
            </w:pPr>
            <w:r>
              <w:t>27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污染防治</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5.00</w:t>
            </w:r>
          </w:p>
        </w:tc>
      </w:tr>
      <w:tr>
        <w:trPr>
          <w:trHeight w:val="369"/>
        </w:trPr>
        <w:tc>
          <w:tcPr>
            <w:tcW w:w="850" w:type="dxa"/>
            <w:vAlign w:val="center"/>
          </w:tcPr>
          <w:p>
            <w:pPr>
              <w:pStyle w:val="21"/>
            </w:pPr>
            <w:r>
              <w:t>28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2110301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大气</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5.00</w:t>
            </w:r>
          </w:p>
        </w:tc>
      </w:tr>
      <w:tr>
        <w:trPr>
          <w:trHeight w:val="369"/>
        </w:trPr>
        <w:tc>
          <w:tcPr>
            <w:tcW w:w="850" w:type="dxa"/>
            <w:vAlign w:val="center"/>
          </w:tcPr>
          <w:p>
            <w:pPr>
              <w:pStyle w:val="21"/>
            </w:pPr>
            <w:r>
              <w:t>29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污染减排</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11.44</w:t>
            </w:r>
          </w:p>
        </w:tc>
      </w:tr>
      <w:tr>
        <w:trPr>
          <w:trHeight w:val="369"/>
        </w:trPr>
        <w:tc>
          <w:tcPr>
            <w:tcW w:w="850" w:type="dxa"/>
            <w:vAlign w:val="center"/>
          </w:tcPr>
          <w:p>
            <w:pPr>
              <w:pStyle w:val="21"/>
            </w:pPr>
            <w:r>
              <w:t>30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2111102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生态环境执法监察</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11.44</w:t>
            </w:r>
          </w:p>
        </w:tc>
      </w:tr>
      <w:tr>
        <w:trPr>
          <w:trHeight w:val="369"/>
        </w:trPr>
        <w:tc>
          <w:tcPr>
            <w:tcW w:w="850" w:type="dxa"/>
            <w:vAlign w:val="center"/>
          </w:tcPr>
          <w:p>
            <w:pPr>
              <w:pStyle w:val="21"/>
            </w:pPr>
            <w:r>
              <w:t>31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农林水支出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438.48</w:t>
            </w:r>
          </w:p>
        </w:tc>
      </w:tr>
      <w:tr>
        <w:trPr>
          <w:trHeight w:val="369"/>
        </w:trPr>
        <w:tc>
          <w:tcPr>
            <w:tcW w:w="850" w:type="dxa"/>
            <w:vAlign w:val="center"/>
          </w:tcPr>
          <w:p>
            <w:pPr>
              <w:pStyle w:val="21"/>
            </w:pPr>
            <w:r>
              <w:t>32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农业农村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3.02</w:t>
            </w:r>
          </w:p>
        </w:tc>
      </w:tr>
      <w:tr>
        <w:trPr>
          <w:trHeight w:val="369"/>
        </w:trPr>
        <w:tc>
          <w:tcPr>
            <w:tcW w:w="850" w:type="dxa"/>
            <w:vAlign w:val="center"/>
          </w:tcPr>
          <w:p>
            <w:pPr>
              <w:pStyle w:val="21"/>
            </w:pPr>
            <w:r>
              <w:t>33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2130126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农村社会事业</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3.02</w:t>
            </w:r>
          </w:p>
        </w:tc>
      </w:tr>
      <w:tr>
        <w:trPr>
          <w:trHeight w:val="369"/>
        </w:trPr>
        <w:tc>
          <w:tcPr>
            <w:tcW w:w="850" w:type="dxa"/>
            <w:vAlign w:val="center"/>
          </w:tcPr>
          <w:p>
            <w:pPr>
              <w:pStyle w:val="21"/>
            </w:pPr>
            <w:r>
              <w:t>34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农村综合改革</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435.46</w:t>
            </w:r>
          </w:p>
        </w:tc>
      </w:tr>
      <w:tr>
        <w:trPr>
          <w:trHeight w:val="369"/>
        </w:trPr>
        <w:tc>
          <w:tcPr>
            <w:tcW w:w="850" w:type="dxa"/>
            <w:vAlign w:val="center"/>
          </w:tcPr>
          <w:p>
            <w:pPr>
              <w:pStyle w:val="21"/>
            </w:pPr>
            <w:r>
              <w:t>35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2130705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对村民委员会和村党支部的补助</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435.46</w:t>
            </w:r>
          </w:p>
        </w:tc>
      </w:tr>
      <w:tr>
        <w:trPr>
          <w:trHeight w:val="369"/>
        </w:trPr>
        <w:tc>
          <w:tcPr>
            <w:tcW w:w="850" w:type="dxa"/>
            <w:vAlign w:val="center"/>
          </w:tcPr>
          <w:p>
            <w:pPr>
              <w:pStyle w:val="21"/>
            </w:pPr>
            <w:r>
              <w:t>36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vAlign w:val="center"/>
          </w:tcPr>
          <w:p>
            <w:pPr>
              <w:pStyle w:val="19"/>
            </w:pPr>
          </w:p>
        </w:tc>
      </w:tr>
      <w:tr>
        <w:trPr>
          <w:trHeight w:val="369"/>
        </w:trPr>
        <w:tc>
          <w:tcPr>
            <w:tcW w:w="850" w:type="dxa"/>
            <w:vAlign w:val="center"/>
          </w:tcPr>
          <w:p>
            <w:pPr>
              <w:pStyle w:val="21"/>
            </w:pPr>
            <w:r>
              <w:t>37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vAlign w:val="center"/>
          </w:tcPr>
          <w:p>
            <w:pPr>
              <w:pStyle w:val="19"/>
            </w:pPr>
          </w:p>
        </w:tc>
      </w:tr>
      <w:tr>
        <w:trPr>
          <w:trHeight w:val="369"/>
        </w:trPr>
        <w:tc>
          <w:tcPr>
            <w:tcW w:w="850" w:type="dxa"/>
            <w:vAlign w:val="center"/>
          </w:tcPr>
          <w:p>
            <w:pPr>
              <w:pStyle w:val="21"/>
            </w:pPr>
            <w:r>
              <w:t>38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625.05</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582.03</w:t>
            </w:r>
          </w:p>
        </w:tc>
        <w:tc>
          <w:tcPr>
            <w:tcW w:w="2551" w:type="dxa"/>
            <w:vAlign w:val="center"/>
          </w:tcPr>
          <w:p>
            <w:pPr>
              <w:pStyle w:val="23"/>
            </w:pPr>
            <w:r>
              <w:t>43.02</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工资福利支出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536.27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536.27</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基本工资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192.64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192.64</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津贴补贴</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104.80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104.80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奖金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29.49</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29.49</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绩效工资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66.28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66.28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职工基本医疗保险缴费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其他社会保障缴费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1.31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1.31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43.02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43.02</w:t>
            </w: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12.00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12.00</w:t>
            </w: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邮电费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3.00</w:t>
            </w: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差旅费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2.20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2.20</w:t>
            </w: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公务用车运行维护费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30239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其他交通费用</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24.32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24.32</w:t>
            </w:r>
          </w:p>
        </w:tc>
      </w:tr>
      <w:tr>
        <w:trPr>
          <w:trHeight w:val="369"/>
        </w:trPr>
        <w:tc>
          <w:tcPr>
            <w:tcW w:w="850" w:type="dxa"/>
            <w:vAlign w:val="center"/>
          </w:tcPr>
          <w:p>
            <w:pPr>
              <w:pStyle w:val="21"/>
            </w:pPr>
            <w:r>
              <w:t>17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对个人和家庭的补助</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45.76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45.76</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退休费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45.76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45.76</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241.88</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p>
        </w:tc>
        <w:tc>
          <w:tcPr>
            <w:tcW w:w="2551" w:type="dxa"/>
            <w:vAlign w:val="center"/>
          </w:tcPr>
          <w:p>
            <w:pPr>
              <w:pStyle w:val="23"/>
            </w:pPr>
            <w:r>
              <w:t>241.88</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城乡社区支出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82.88</w:t>
            </w: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国有土地使用权出让收入安排的支出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82.88</w:t>
            </w: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2120801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征地和拆迁补偿支出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82.88</w:t>
            </w: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159.00</w:t>
            </w: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22960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彩票公益金安排的支出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159.00</w:t>
            </w: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2296099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用于其他社会公益事业的彩票公益金支出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159.00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auto"/>
              <w:left w:val="single" w:sz="6" w:space="0" w:color="auto"/>
              <w:bottom w:val="single" w:sz="6" w:space="0" w:color="auto"/>
              <w:right w:val="single" w:sz="6" w:space="0" w:color="auto"/>
            </w:tcBorders>
          </w:tcP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一般公共预算              财政拨款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隆尧县千户营乡人民政府本级2025年单位预算信息公开情况说明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按照《中华人民共和国预算法》、《地方预决算公开操作规程》和《关于进一步推进预算公开工作的实施意见》规定，现将隆尧县千户营乡人民政府本级2025年单位预算公开如下：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隆尧县千户营乡人民政府本级</w:t>
            </w:r>
          </w:p>
        </w:tc>
        <w:tc>
          <w:tcPr>
            <w:tcW w:w="1843" w:type="dxa"/>
            <w:tcBorders>
              <w:top w:val="single" w:sz="6" w:space="0" w:color="auto"/>
              <w:left w:val="single" w:sz="6" w:space="0" w:color="auto"/>
              <w:bottom w:val="single" w:sz="6" w:space="0" w:color="auto"/>
              <w:right w:val="single" w:sz="6" w:space="0" w:color="auto"/>
            </w:tcBorders>
            <w:vAlign w:val="center"/>
          </w:tcPr>
          <w:p>
            <w:pPr>
              <w:pStyle w:val="21"/>
            </w:pPr>
            <w:r>
              <w:t>行政</w:t>
            </w:r>
          </w:p>
        </w:tc>
        <w:tc>
          <w:tcPr>
            <w:tcW w:w="2126" w:type="dxa"/>
            <w:tcBorders>
              <w:top w:val="single" w:sz="6" w:space="0" w:color="auto"/>
              <w:left w:val="single" w:sz="6" w:space="0" w:color="auto"/>
              <w:bottom w:val="single" w:sz="6" w:space="0" w:color="auto"/>
              <w:right w:val="single" w:sz="6" w:space="0" w:color="auto"/>
            </w:tcBorders>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1、收入说明</w:t>
      </w:r>
    </w:p>
    <w:p>
      <w:pPr>
        <w:pStyle w:val="26"/>
      </w:pPr>
      <w:r>
        <w:t>反映本单位全部收入。2025年预算收入1596.2万元，其中：一般公共预算收入1354.31万元，基金预算收入241.88万元，国有资本经营预算收入0万元，财政专户核拨收入0万元，单位资金收入0万元，上年结转结余0万元。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千户营乡人民政府年度单位预算中支出预算的总体情况。2025年支出预算1596.2万元，其中基本支出510.63万元，包括人员经费582.03万元和日常公用经费43.02万元；项目支出729.26万元，主要为转移支付/在职村干部工资，转移支付/服务群众专项经费，义务兵优待金，人居环境法制建设及维稳专项等。</w:t>
      </w:r>
    </w:p>
    <w:p>
      <w:pPr>
        <w:pStyle w:val="26"/>
      </w:pPr>
      <w:r>
        <w:t>3、比上年增减情况</w:t>
      </w:r>
    </w:p>
    <w:p>
      <w:pPr>
        <w:pStyle w:val="26"/>
      </w:pPr>
      <w:r>
        <w:t>2025年单位收支安排1596.2万元，较2024年增加311.31万元，主要是增加了公益性彩票项目和占地补偿项目。</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1、办案补助/行政执法经费绩效目标表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13052525P00004210236D</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办案补助/行政执法经费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4.40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4.40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办案补助</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1.保证办案补助的完成率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完成上级交办的各项工作</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≥95完成上级交办的各项工作</w:t>
            </w:r>
          </w:p>
        </w:tc>
        <w:tc>
          <w:tcPr>
            <w:tcW w:w="1276" w:type="dxa"/>
            <w:vAlign w:val="center"/>
          </w:tcPr>
          <w:p>
            <w:pPr>
              <w:pStyle w:val="20"/>
            </w:pPr>
            <w:r>
              <w:t>完成上级交办的各项工作</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提高环境治理</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≥95提高环境治理</w:t>
            </w:r>
          </w:p>
        </w:tc>
        <w:tc>
          <w:tcPr>
            <w:tcW w:w="1276" w:type="dxa"/>
            <w:vAlign w:val="center"/>
          </w:tcPr>
          <w:p>
            <w:pPr>
              <w:pStyle w:val="20"/>
            </w:pPr>
            <w:r>
              <w:t>提高环境治理</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及时支付资金</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≥95及时支付资金</w:t>
            </w:r>
          </w:p>
        </w:tc>
        <w:tc>
          <w:tcPr>
            <w:tcW w:w="1276" w:type="dxa"/>
            <w:vAlign w:val="center"/>
          </w:tcPr>
          <w:p>
            <w:pPr>
              <w:pStyle w:val="20"/>
            </w:pPr>
            <w:r>
              <w:t>及时支付资金</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按实际支出，厉行节约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≥95按实际支出，厉行节约</w:t>
            </w:r>
          </w:p>
        </w:tc>
        <w:tc>
          <w:tcPr>
            <w:tcW w:w="1276" w:type="dxa"/>
            <w:vAlign w:val="center"/>
          </w:tcPr>
          <w:p>
            <w:pPr>
              <w:pStyle w:val="20"/>
            </w:pPr>
            <w:r>
              <w:t>按实际支出，厉行节约</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生态效益指标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提高环境治理</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≥95提高环境治理</w:t>
            </w:r>
          </w:p>
        </w:tc>
        <w:tc>
          <w:tcPr>
            <w:tcW w:w="1276" w:type="dxa"/>
            <w:vAlign w:val="center"/>
          </w:tcPr>
          <w:p>
            <w:pPr>
              <w:pStyle w:val="20"/>
            </w:pPr>
            <w:r>
              <w:t>提高环境治理</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群众满意度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2、村级转移支付/村办公经费绩效目标表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13052525P00001610031R</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村级转移支付/村办公经费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57.20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57.20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村级转移支付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1.保障乡域内21个行政村正常运转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村委会日常办公运转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村级转移支付/村办公经费工作经费保障情况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全年预算67万元</w:t>
            </w:r>
          </w:p>
        </w:tc>
        <w:tc>
          <w:tcPr>
            <w:tcW w:w="1276" w:type="dxa"/>
            <w:vAlign w:val="center"/>
          </w:tcPr>
          <w:p>
            <w:pPr>
              <w:pStyle w:val="20"/>
            </w:pPr>
            <w:r>
              <w:t>依据冀组发【2020】17号文件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村两委满意度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经费保障是否全部覆盖各村情况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全乡27个行政村均拨付</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工作完成及时性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村日常工作完成及时率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村级转移支付/村办公经费项目预算控制率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依据冀组发【2020】17号文件</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运转良好，切实满组村委会日常运转支出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村级转移支付/村办公经费资金使用效益率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依据冀组发【2020】17号文件</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办理单位满意度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村级转移支付/村办公经费办理单位满意率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通过村级调查满意情况</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3、村级转移支付/村党组织活动经费绩效目标表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13052525P00001610032D</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村级转移支付/村党组织活动经费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24.76</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24.76</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村级转移支付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1.保障21个村正常运转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日常运转情况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党组织活动经费在村级保障率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依据各村党员数</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村级党员对支部满意度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通过村党组织活动经费等各项工作调查，党员满意比率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加强管理，及时落实经费支出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村党组织活动经费落实的及时率通过抽查村，查出比率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村党组织活动经费项目预算控制数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全年经费24.76万元</w:t>
            </w:r>
          </w:p>
        </w:tc>
        <w:tc>
          <w:tcPr>
            <w:tcW w:w="1276" w:type="dxa"/>
            <w:vAlign w:val="center"/>
          </w:tcPr>
          <w:p>
            <w:pPr>
              <w:pStyle w:val="20"/>
            </w:pPr>
            <w:r>
              <w:t>依据各村党员数</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村党组织活动经费资金使用效益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全力维护村党支部工作日常运转定，促进管理服务进一步提升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依据各村党员数</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服务对象满意度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村党组织活动经费服务对象满意率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4、村级转移支付/村民小组长误工补助绩效目标表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13052525P000016100331</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村级转移支付/村民小组长误工补助</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3.80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3.80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转移支付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1.保障村小组长误工补助正常发放</w:t>
            </w:r>
          </w:p>
          <w:p>
            <w:pPr>
              <w:pStyle w:val="20"/>
            </w:pP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保障村两委日常用工支出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村小组长误工补助工作完成率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全年补助3.8万元</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村两委能正常开展工作</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村小组长误工补助各项工作完成质量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补助发放完成情况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运转良好，切实满足村小组长误工补助支出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村小组长误工补助资金使用效益率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群众对村委会工作满意度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村级转移支付/村小组长误工补助服务对象满意率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5、村级转移支付/服务群众专项经费绩效目标表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13052525P00001610034L</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村级转移支付/服务群众专项经费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105.00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105.00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转移支付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1.保障服务群众专项工作正常开展</w:t>
            </w:r>
          </w:p>
          <w:p>
            <w:pPr>
              <w:pStyle w:val="20"/>
            </w:pP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保障村级服务站日常运转支出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服务群众专项经费工作完成率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群众对村级服务站满意度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有经费保障，村级各项工作完成质量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各项工作完成较好</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服务群众专项经费任务完成的及时率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合理使用服务群众专项预算安排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服务群众专项经费保障每村控制率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切实保障村级服务站日常运转支出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服务群众专项经费资金使用效益率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群众对村级服务站满意度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村级转移支付/服务群众专项经费工作要点完成率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6、村级转移支付/离任村干部补贴绩效目标表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13052525P000016100358</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村级转移支付/离任村干部补贴</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18.90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18.90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离任补贴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1.保障离任村干部补贴正常发放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保障离任村干部生活补贴支出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离任村干部补贴完成率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离任村干部人员满意度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通过走访离任村干部，补贴发放满意率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加强管理，降低成本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离任村干部补贴任务完成的及时率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按照预算安排、严格控制标准，落实离任干部资金发放到位率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离任村干部补贴资金使用效益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 xml:space="preserve">运转良好，切实保障离任村干部生活补贴发放率  </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离任村干部人员满意度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离任村干部补贴服务对象满意度率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7、村级转移支付/在职村干部补贴绩效目标表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13052525P00001610036U</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村级转移支付/在职村干部补贴</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225.80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225.80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在职村干部工资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1.保障在职村干部补贴正常发放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保障在职村干部补贴预算安排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村在职村干部补贴全年安排情况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全年安排预算257.5万元</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在职村干部满意度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通过走访调查，在职村干部补贴发放满意率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加强管理，降低成本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村级转移支付/在职村干部补贴任务完成的及时性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在职村干部补贴项目预算控制率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运转良好，切实保障在职村干部补贴支出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村级转移支付/在职村干部补贴资金使用效率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在职村干部补贴支出满意率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通过走访调查，在职村干部补贴服务对象满意率。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8、大气污染治理经费绩效目标表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13052525P00004210138B</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大气污染治理经费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0.44</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0.44</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大气污染治理</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1.环保政策及宣传覆盖率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大气污染治理预算</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大气污染治理经费工作要点完成率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全年预算0.44万元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空气质量良好天数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大气污染治理工作，按照全年天气质量测算比率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对于大气工作，资金使用率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大气污染治理经费项目预算控制数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经费使用效益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全乡空气质量提升率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大气污染治理经费满意度调查</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大气污染治理工作日常运转，促进管理服务进一步提升，经过走访各村满意率。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通过走访调查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9、环保所经费绩效目标表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13052525P00004210139Y</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环保所经费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环保所</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1.保障环保所工作正常开展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保障环保所日常运转支出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保证环保所经费预算安排到位，以及资金到位率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环保所工作人员满意度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环保经费一年5万元，经费保证情况下，各项工作完成比率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控制开支，节约成本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环保所经费保证下，各项任务完成是否及时，是否合理安排经费支出，资金使用比率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环保所经费项目预算控制数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环保所经费资金使用效益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运转良好，切实满足环保所日常运转资金支出率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依据县乡镇专项项目安排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环保所工作人员满意度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通过，抽查、走访企业等，环保所经费服务群众满意率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10、环境清洗经费绩效目标表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13052525P00004210142H</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环境清洗经费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环境清洗</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1.保障环境清洗工作正常开展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保障清洗经费保障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保障年初预算安排，安排预算到位率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街道的整洁度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环境清洗经费保障，全镇街道整洁率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控制开支，节约成本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环境清洗经费任务完成的及时性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环境清洗经费保证下，各项任务完成是否及时，是否合理安排经费支出，资金使用比率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全年工作计划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环境清洗经费资金使用效益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运转良好，切实满街道清理支出率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全乡年度计划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街道两侧人员满意度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通过问卷调查27个村，对街道等环境卫生的满意率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11、基层武装专项经费绩效目标表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13052525P00004210135G</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基层武装专项经费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4.80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4.80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基层武装</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1.保证完成年度征兵任务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基层武装专项经费安排到位率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依据邢政字【2019】15号文件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关于基层武装专项工作，全年工作完成情况，质量占比率情况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通过问卷调查，得出群众满意率</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任务完成的及时性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基层武装专项经费任务完成的及时性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依据邢政字【2019】15号文件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项目预算控制数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基层武装专项经费项目预算控制情况，是否合理安排经费支出，资金使用比率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基层武装专项经费保障，各项工作完成后，资金使用达到的效益率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全乡年度计划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任务完成满意情况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通过问卷调查，得出群众满意率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12、冀财社[2024]180号提前下达/省级/义务兵优待金绩效目标表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13052525P00003410012Q</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冀财社[2024]180号提前下达/省级/义务兵优待金</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51.69</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51.69</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义务兵</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1.资金拨付及时率、覆盖率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保证义务兵优待金预算安排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保障义务兵优待金预算安排，预算工作完成率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义务兵优待金各项工作完成质量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享受义务兵优待金人员，按照标准发放率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依据发放标准</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加强管理，严格安排标准执行</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依据发放标准，义务兵优待金发放及时率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项目预算控制数，是否按照标准安排预算，预算控制率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运转良好，切实满足义务兵优待金发放，资金发放率。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享受义务兵优待金人员满意度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通过对义务兵电话回访，优待金发放满意率。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通过电话回访</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13、冀财综[2024]29号/2025年中央彩票公益金/隆尧县2025年千户营乡狮子疙瘩村道路建设项目绩效目标表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13052525P000050100011</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冀财综[2024]29号/2025年中央彩票公益金/隆尧县2025年千户营乡狮子疙瘩村道路建设项目</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149.00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149.00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彩票公益金项目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1.促进该区域公益事业均衡协调发展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项目数量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1个</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建设公里里程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≥14112平方米</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项目实施直接收益人数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≥2260人</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项目规划编制完整性、合规性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项目规划编制完整性、合规性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项目验收合格率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项目验收合格率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按规定标明宣传标识</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按规定标明宣传标识</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工作任务及时完成率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工作任务及时完成率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按时上报资金使用情况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按时上报资金使用情况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按时向社会公告项目实施情况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按时向社会公告项目实施情况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预算安排各项工作成本控制率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严格控制预算，按照预算标准执行，人居环境法制建设及维稳专项项目预算控制率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有效弥补当地社会公益事业欠账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有效弥补当地社会公益事业欠账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效果显著</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社会公益机构的服务能力和水平</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社会公益机构的服务能力和水平</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持续提高</w:t>
            </w:r>
          </w:p>
        </w:tc>
        <w:tc>
          <w:tcPr>
            <w:tcW w:w="1276" w:type="dxa"/>
            <w:vAlign w:val="center"/>
          </w:tcPr>
          <w:p>
            <w:pPr>
              <w:pStyle w:val="20"/>
            </w:pPr>
            <w:r>
              <w:t>根据县工作安排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受益人群满意度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受益人群满意度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≥85百分比</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14、秸秆禁烧绩效目标表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13052525P00004210140A</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秸秆禁烧</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秸秆禁烧</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1.保障秸秆禁烧工作正常开展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秸秆禁烧工作开展，保障年度预算安排率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禁烧期间工作安排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秸秆禁烧各项工作完成情况及工作质量情况，经费保证情况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全年预算安排3万元</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加强预算管理，节约成本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秸秆禁烧工作完成情况以及完成及时率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秸秆禁烧项目预算控制</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合理使用预算安排，严格按照预算执行，控制各项按照预算支出率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秸秆禁烧资金使用效益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运转良好，切实满足夏季、秋季秸秆禁烧支出率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禁烧期间空气质量，满意度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秸秆禁烧，通过走访各村，问卷调查方式，服务对象满意率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15、青年团活动绩效目标表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13052525P000042101339</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青年团活动</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青年团活动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1.保证青年团活动正常开展</w:t>
              <w:tab/>
              <w:tab/>
              <w:tab/>
            </w: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保证青年团活动预算安排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青年团活动预算安排情况，是否保障</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全年预算安排1万元，全部安排到位</w:t>
            </w:r>
          </w:p>
        </w:tc>
        <w:tc>
          <w:tcPr>
            <w:tcW w:w="1276" w:type="dxa"/>
            <w:vAlign w:val="center"/>
          </w:tcPr>
          <w:p>
            <w:pPr>
              <w:pStyle w:val="20"/>
            </w:pPr>
            <w:r>
              <w:t>依据县乡专项项目安排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青年团工作质量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青年团工作完成情况以及工作完成质量比率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加强预算管理，节约成本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青年团活动完成的情况，是否组织青年团活动，全年安排活动5次及以上</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≥5次</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青年团活动预算控制率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青年团资金使用效益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运转良好，切实满足青年团活动日常运转支出率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青年团工作满意度调查</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通过全乡走访问卷调查，得出满意率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16、人大活动经费绩效目标表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13052525P000042101312</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人大活动经费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5.10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5.10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人大活动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1.全年保障人大活动正常开展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人大活动经费保障</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人大活动经费预算安排到位情况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年度预算安排5.1万元</w:t>
            </w:r>
          </w:p>
        </w:tc>
        <w:tc>
          <w:tcPr>
            <w:tcW w:w="1276" w:type="dxa"/>
            <w:vAlign w:val="center"/>
          </w:tcPr>
          <w:p>
            <w:pPr>
              <w:pStyle w:val="20"/>
            </w:pPr>
            <w:r>
              <w:t>依据县乡专项项目安排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人大活动完成质量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人大活动费各项工作完成质量级工作质量完成率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加强预算管理，降低成本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人大活动安排情况，全年组织人大代表活动不下5次</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≥5次</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人大活动经费项目预算控制率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人大活动经费资金使用效益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运转良好，切实满人大活动室日常运转支出率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服务对象满意度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通过问卷方式，对人大活动经费服务对象满意度调查，得出满意率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17、人居环境法制建设及维稳专项绩效目标表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13052525P00004210132M</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人居环境法制建设及维稳专项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26.70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26.70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劳务费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1.农村生活环境得到明显提升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保障人居环境法制建设及维稳预算安排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人居环境法制建设及维稳专项全年预算安排到位</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全年预算26.7万元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人居环境法制建设及维稳专项各项工作完成质量、环境以及信访等完成比率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加强预算管理，控制完成时效</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预算保障情况下，禁烧、人居环境建设、信访等工作完成时效率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预算安排各项工作成本控制率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严格控制预算，按照预算标准执行，人居环境法制建设及维稳专项项目预算控制率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工作开展较好，切实保障人居环境法制建设和维稳专项支出率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群众对目前人居环境工作满意度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通过问卷方式，对人居环境法制建设及维稳专项服务对象满意调查，得出满意率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18、人居环境治理绩效目标表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13052525P000042102636</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人居环境治理</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10.00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10.00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人居环境治理</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1.农村生活环境得到明显提升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保障人居环境治理预算安排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人居环境法制建设及维稳专项全年预算安排到位</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预算10万元</w:t>
            </w:r>
          </w:p>
        </w:tc>
        <w:tc>
          <w:tcPr>
            <w:tcW w:w="1276" w:type="dxa"/>
            <w:vAlign w:val="center"/>
          </w:tcPr>
          <w:p>
            <w:pPr>
              <w:pStyle w:val="20"/>
            </w:pPr>
            <w:r>
              <w:t>依据县乡镇项目安排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人居环境治理完成质量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人居环境法制建设及维稳专项各项工作完成质量、环境以及信访等完成比率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加强预算管理，控制完成时效</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预算保障情况下，禁烧、人居环境建设、信访等工作完成时效率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预算安排各项工作成本控制率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严格控制预算，按照预算标准执行，人居环境法制建设及维稳专项项目预算控制率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工作开展较好，切实保障人居环境法制建设和维稳专项支出率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群众对目前人居环境工作满意度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通过问卷方式，对人居环境法制建设及维稳专项服务对象满意调查，得出满意率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19、散煤治理专项经费绩效目标表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13052525P00004210141X</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散煤治理专项经费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散煤治理</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1.资金的使用情况和使用效益</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保障散煤治理专项经费预算安排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散煤治理专项经费安排，保障冬季清理散煤工作顺利开展</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安排预算5万元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散煤治理专项经费各项工作完成质量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通过对冬季空气质量调查，得出该项工作完成比率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在取暖前完成散煤清理工作</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在冬季取暖前，抽查村居民取暖，散煤治理专项工作任务完成的及时率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在安排该项工作中，按照预算，散煤治理专项经费项目预算控制率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冬季空气质量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通过问卷调查，散煤治理专项经费服务对象满意率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20、扫黑除恶专项绩效目标表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13052525P00004210134W</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扫黑除恶专项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扫黑除恶</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1.贯彻落实市、县关于打黑除恶的相关工作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年初预算安排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扫黑除恶专项预算完成率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控制年初预算，严格落实到位</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扫黑除恶专项预算安排到位，保障该项工作正常开展</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≥951.64万元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加强完成时效</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开展扫黑除恶专项工作，做好宣传，指导等工作，各项完成的及时率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开展工作，节约不必要开支，扫黑除恶专项预算控制率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该项工作社会效益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该项工作开展以来，无类似黑恶事件发生，提高了村内各项精神生活，使得村民生活更加稳定，该项工作提高社会效益全乡占比情况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群众对生活环境的安全认可率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扫黑除恶专项服务对象满意率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21、上年盘活/彩票公益金/隆尧县2025年千户营乡狮子疙瘩村道路建设项目绩效目标表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13052525P00005010008A</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上年盘活/彩票公益金/隆尧县2025年千户营乡狮子疙瘩村道路建设项目</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10.00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10.00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彩票公益金项目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1.促进该区域公益事业均衡协调发展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项目数量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≥1个</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建设公里里程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≥14112平方米</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项目实施直接收益人数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≥2260人</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项目规划编制完整性、合规性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项目规划编制完整性、合规性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项目验收合格率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项目验收合格率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按规定标明宣传标识</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按规定标明宣传标识</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工作任务及时完成率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工作任务及时完成率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按时上报资金使用情况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按时上报资金使用情况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按时向社会公告项目实施情况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按时向社会公告项目实施情况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预算安排各项工作成本控制率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严格控制预算，按照预算标准执行，人居环境法制建设及维稳专项项目预算控制率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有效弥补当地社会公益事业欠账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有效弥补当地社会公益事业欠账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效果显著</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社会公益机构的服务能力和水平</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社会公益机构的服务能力和水平</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持续提高</w:t>
            </w:r>
          </w:p>
        </w:tc>
        <w:tc>
          <w:tcPr>
            <w:tcW w:w="1276" w:type="dxa"/>
            <w:vAlign w:val="center"/>
          </w:tcPr>
          <w:p>
            <w:pPr>
              <w:pStyle w:val="20"/>
            </w:pPr>
            <w:r>
              <w:t>根据县工作安排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受益人群满意度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受益人群满意度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≥85百分比</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22、双进双产招商引资项目建设绩效目标表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13052525P000042101364</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双进双产招商引资项目建设</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5.10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5.10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招商引资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1.确保完成年度招商任务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保证双进双产招商引资建设运转支出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双进双产招商引资项目建设专项工作要点完成率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双进双产招商引资建设工作质量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双进双产招商引资项目建设专项各项工作完成质量及完成率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加强预算管理，降低成本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双产招商引资建设运转支出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双进双产招商引资项目建设专项资金使用效益率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双进双产招商引资建设人员满意度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双进双产招商引资项目建设专项服务对象满意度指标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23、土地出让金/占地补偿绩效目标表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13052525P00005110010Y</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土地出让金/占地补偿</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82.88</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82.88</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占地补偿</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1.资金发放及时性和效率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完成数量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完成数量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≥100完成数量</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质量达标率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质量达标率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≥100质量达标率</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工作完成的时效</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工作完成的时效</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≥100工作完成的时效</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资金成本</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≥100资金成本</w:t>
            </w:r>
          </w:p>
        </w:tc>
        <w:tc>
          <w:tcPr>
            <w:tcW w:w="1276" w:type="dxa"/>
            <w:vAlign w:val="center"/>
          </w:tcPr>
          <w:p>
            <w:pPr>
              <w:pStyle w:val="20"/>
            </w:pPr>
            <w:r>
              <w:t>依据县级工作安排</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成本利用率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成本利用率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≥100成本利用率</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社会效益提升值%</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社会效益提升值%</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≥100社会效益提升值%</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生态效益指标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生态效益增值率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项目实施后生态效益增长率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≥100项目实施后生态效益增长率</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可持续性服务</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可持续性服务</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≥100可持续性服务</w:t>
            </w:r>
          </w:p>
        </w:tc>
        <w:tc>
          <w:tcPr>
            <w:tcW w:w="1276" w:type="dxa"/>
            <w:vAlign w:val="center"/>
          </w:tcPr>
          <w:p>
            <w:pPr>
              <w:pStyle w:val="20"/>
            </w:pPr>
            <w:r>
              <w:t>依据县级工作安排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客户满意度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客户满意度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≥100客户满意度</w:t>
            </w:r>
          </w:p>
        </w:tc>
        <w:tc>
          <w:tcPr>
            <w:tcW w:w="1276" w:type="dxa"/>
            <w:vAlign w:val="center"/>
          </w:tcPr>
          <w:p>
            <w:pPr>
              <w:pStyle w:val="20"/>
            </w:pPr>
            <w:r>
              <w:t>依据县级工作安排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24、退役公益性岗位绩效目标表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13052525P00004210220U</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退役公益性岗位</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85.37</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85.37</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退役军人</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1.退役军人津贴拨付及时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财政拨款保障率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退役公益性岗位资金财政拨款保障率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依据专题会议纪要【2020】15号</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退役公益性岗位各项工作开展率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保障时间</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退役公益性岗位任务完成的及时率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依据专题会议纪要【2020】15号</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运行保障成本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保障退役公益性岗位预算控制</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工资发放表</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全乡退役公益性岗位人员工资等支出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为了提高全乡整体经济效益，切实保障退役公益性岗位工资、保险支出  支出情况，每月发放及缴纳保险业务</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次</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退役公益岗人员满意度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退役公益性岗位服务对象满意度指标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通过电话回访</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25、文化专项（文化馆免费开放）绩效目标表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13052525P000032100060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文化专项（文化馆免费开放）</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文化专项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1.确保文化专项活动正常运转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财政拨款保障率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安排好年初预算，保障财政拨款率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年度任务按时完成率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按时完成的年度工作量与年度工作计划的比例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单位成本控制数（万元）</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1.64万元</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1.64万元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文化专项项目预算控制，促进精神文化发展和人民生活水平的提高率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文化专项资金使用，带来的效益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切实满足农村文化建设，使辖区能，精神文化提高情况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群众对镇文化站的满意度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通过参与文化专项人员反馈，对满意度调查</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通过参与人员反馈</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26、县级/义务兵优待金绩效目标表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13052525P000034100115</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县级/义务兵优待金</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60.68</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60.68</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义务兵</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1.资金拨付及时率、覆盖率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保证义务兵优待金预算安排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保障义务兵优待金预算安排，预算工作完成率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义务兵优待金各项工作完成质量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享受义务兵优待金人员，按照标准发放率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依据发放标准</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加强管理，严格安排标准执行</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依据发放标准，义务兵优待金发放及时率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项目预算控制数，是否按照标准安排预算，预算控制率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运转良好，切实满足义务兵优待金发放，资金发放率。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享受义务兵优待金人员满意度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通过对义务兵电话回访，优待金发放满意率。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通过电话回访</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27、乡村振兴经费绩效目标表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13052525P000042101435</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乡村振兴经费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1.32</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1.32</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乡村振兴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1.保障乡村振兴工作安排</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年初预算安排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乡村振兴工作开展，保障预算安排到位率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≥96%</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乡村振兴各项工作完成质量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乡村振兴预算安排到位情况，资金保障率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全年预算1.32万元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任务完成的及时性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按照时间节点完成工作，乡村振兴宣传、实施工作完成的及时率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项目预算控制数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财政安排比率安排该预算，严格控制预算安排，保证全年预算支出率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开展工作以来，辖区内乡村振兴工作所提高的效益率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群众对乡村振兴工作的认可度调查</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通过问卷调查，抽查14个村对乡村振兴工作满意率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28、乡村振兴专项经费绩效目标表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13052525P00004210144Q</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乡村振兴专项经费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乡村振兴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1.及时拨付各类收益资金</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年初预算安排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乡村振兴工作开展，保障预算安排到位率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≥96%</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乡村振兴各项工作完成质量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乡村振兴预算安排到位情况，资金保障率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全年预算1.7万元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任务完成的及时性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按照时间节点完成工作，乡村振兴宣传、实施工作完成的及时率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项目预算控制数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财政安排比率安排该预算，严格控制预算安排，保证全年预算支出率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开展工作以来，辖区能乡村振兴工作所提高的效益率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群众对乡村振兴工作的认可度调查</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通过问卷调查，抽查14个村对乡村振兴工作满意率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29、乡镇计生人员经费绩效目标表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13052525P000042100382</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乡镇计生人员经费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16.10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16.10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计划生育</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1.保障工资及时发放到位</w:t>
              <w:tab/>
              <w:tab/>
              <w:tab/>
            </w:r>
          </w:p>
          <w:p>
            <w:pPr>
              <w:pStyle w:val="20"/>
            </w:pPr>
            <w:r>
              <w:tab/>
              <w:tab/>
            </w: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资金到位率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拨付工作是否及时到位</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年初计划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保障工作有序进行</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≥98百分比</w:t>
            </w:r>
          </w:p>
        </w:tc>
        <w:tc>
          <w:tcPr>
            <w:tcW w:w="1276" w:type="dxa"/>
            <w:vAlign w:val="center"/>
          </w:tcPr>
          <w:p>
            <w:pPr>
              <w:pStyle w:val="20"/>
            </w:pPr>
            <w:r>
              <w:t>年初计划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支付完成率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每月按时支付</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≥12月</w:t>
            </w:r>
          </w:p>
        </w:tc>
        <w:tc>
          <w:tcPr>
            <w:tcW w:w="1276" w:type="dxa"/>
            <w:vAlign w:val="center"/>
          </w:tcPr>
          <w:p>
            <w:pPr>
              <w:pStyle w:val="20"/>
            </w:pPr>
            <w:r>
              <w:t>年初计划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全年支出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全年经费支出</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≥18.2万元</w:t>
            </w:r>
          </w:p>
        </w:tc>
        <w:tc>
          <w:tcPr>
            <w:tcW w:w="1276" w:type="dxa"/>
            <w:vAlign w:val="center"/>
          </w:tcPr>
          <w:p>
            <w:pPr>
              <w:pStyle w:val="20"/>
            </w:pPr>
            <w:r>
              <w:t>年初预算</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工作是否有效开展</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已完成工作进度占应完成工作的比率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≥98百分比</w:t>
            </w:r>
          </w:p>
        </w:tc>
        <w:tc>
          <w:tcPr>
            <w:tcW w:w="1276" w:type="dxa"/>
            <w:vAlign w:val="center"/>
          </w:tcPr>
          <w:p>
            <w:pPr>
              <w:pStyle w:val="20"/>
            </w:pPr>
            <w:r>
              <w:t>根据工作安排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满意率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通过问卷调查，满意和较满意的对象占所有调查对象的比例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≥100通过问卷调查，满意和较满意的对象占所有调查对象的比例</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采购物品名称</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政府采购目录序号</w:t>
            </w:r>
          </w:p>
        </w:tc>
        <w:tc>
          <w:tcPr>
            <w:tcW w:w="709" w:type="dxa"/>
            <w:vMerge w:val="restart"/>
            <w:tcBorders>
              <w:top w:val="single" w:sz="6" w:space="0" w:color="auto"/>
              <w:left w:val="single" w:sz="6" w:space="0" w:color="auto"/>
              <w:bottom w:val="single" w:sz="6" w:space="0" w:color="auto"/>
              <w:right w:val="single" w:sz="6" w:space="0" w:color="auto"/>
            </w:tcBorders>
            <w:vAlign w:val="center"/>
          </w:tcPr>
          <w:p>
            <w:pPr>
              <w:pStyle w:val="18"/>
            </w:pPr>
            <w:r>
              <w:t>计量  单位</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单价</w:t>
            </w:r>
          </w:p>
        </w:tc>
        <w:tc>
          <w:tcPr>
            <w:tcW w:w="6748" w:type="dxa"/>
            <w:gridSpan w:val="7"/>
            <w:tcBorders>
              <w:top w:val="single" w:sz="6" w:space="0" w:color="auto"/>
              <w:left w:val="single" w:sz="6" w:space="0" w:color="auto"/>
              <w:bottom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预算    资金</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vMerge/>
            <w:tcBorders>
              <w:top w:val="single" w:sz="6" w:space="0" w:color="auto"/>
              <w:left w:val="single" w:sz="6" w:space="0" w:color="auto"/>
              <w:bottom w:val="single" w:sz="6" w:space="0" w:color="auto"/>
              <w:right w:val="single" w:sz="6" w:space="0" w:color="auto"/>
            </w:tcBorders>
          </w:tcPr>
          <w:p/>
        </w:tc>
        <w:tc>
          <w:tcPr>
            <w:tcW w:w="709"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一般公共预算拨款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基金预算拨款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国有资本经营预算拨款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财政专户核拨</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单位    资金</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2"/>
            </w:pPr>
            <w:r>
              <w:t>合  计</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709" w:type="dxa"/>
            <w:tcBorders>
              <w:top w:val="single" w:sz="6" w:space="0" w:color="auto"/>
              <w:left w:val="single" w:sz="6" w:space="0" w:color="auto"/>
              <w:bottom w:val="single" w:sz="6" w:space="0" w:color="auto"/>
              <w:right w:val="single" w:sz="6" w:space="0" w:color="auto"/>
            </w:tcBorders>
            <w:vAlign w:val="center"/>
          </w:tcPr>
          <w:p>
            <w:pPr>
              <w:pStyle w:val="22"/>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159.00</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159.00</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vAlign w:val="center"/>
          </w:tcPr>
          <w:p>
            <w:pPr>
              <w:pStyle w:val="23"/>
            </w:pPr>
            <w:r>
              <w:t>159.00</w:t>
            </w:r>
          </w:p>
        </w:tc>
      </w:tr>
      <w:tr>
        <w:trPr>
          <w:cantSplit/>
        </w:trPr>
        <w:tc>
          <w:tcPr>
            <w:tcW w:w="1701" w:type="dxa"/>
            <w:vAlign w:val="center"/>
          </w:tcPr>
          <w:p>
            <w:pPr>
              <w:pStyle w:val="22"/>
            </w:pPr>
            <w:r>
              <w:t>隆尧县千户营乡人民政府本级小计</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709" w:type="dxa"/>
            <w:tcBorders>
              <w:top w:val="single" w:sz="6" w:space="0" w:color="auto"/>
              <w:left w:val="single" w:sz="6" w:space="0" w:color="auto"/>
              <w:bottom w:val="single" w:sz="6" w:space="0" w:color="auto"/>
              <w:right w:val="single" w:sz="6" w:space="0" w:color="auto"/>
            </w:tcBorders>
            <w:vAlign w:val="center"/>
          </w:tcPr>
          <w:p>
            <w:pPr>
              <w:pStyle w:val="22"/>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159.00</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159.00</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vAlign w:val="center"/>
          </w:tcPr>
          <w:p>
            <w:pPr>
              <w:pStyle w:val="23"/>
            </w:pPr>
            <w:r>
              <w:t>159.00</w:t>
            </w:r>
          </w:p>
        </w:tc>
      </w:tr>
      <w:tr>
        <w:trPr>
          <w:cantSplit/>
        </w:trPr>
        <w:tc>
          <w:tcPr>
            <w:tcW w:w="1701" w:type="dxa"/>
            <w:vAlign w:val="center"/>
          </w:tcPr>
          <w:p>
            <w:pPr>
              <w:pStyle w:val="20"/>
            </w:pPr>
            <w:r>
              <w:t>冀财综[2024]29号/2025年中央彩票公益金/隆尧县2025年千户营乡狮子疙瘩村道路建设项目</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149.00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城市道路工程施工</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B02050000</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条</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149.00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149.00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149.00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149.00</w:t>
            </w:r>
          </w:p>
        </w:tc>
      </w:tr>
      <w:tr>
        <w:trPr>
          <w:cantSplit/>
        </w:trPr>
        <w:tc>
          <w:tcPr>
            <w:tcW w:w="1701" w:type="dxa"/>
            <w:vAlign w:val="center"/>
          </w:tcPr>
          <w:p>
            <w:pPr>
              <w:pStyle w:val="20"/>
            </w:pPr>
            <w:r>
              <w:t>上年盘活/彩票公益金/隆尧县2025年千户营乡狮子疙瘩村道路建设项目</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城市道路工程施工</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B02050000</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条</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10.00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隆尧县千户营乡人民政府本级上年末固定资产金额为0.00万元（详见下表）。本年度拟购置固定资产总额为0.00万元，已按要求列入政府采购预算，详见政府采购预算表。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810001隆尧县千户营乡人民政府本级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0000000000000000000"/>
    <w:charset w:val="00"/>
    <w:family w:val="auto"/>
    <w:pitch w:val="variable"/>
    <w:sig w:usb0="00000000" w:usb1="00000000" w:usb2="00000000" w:usb3="00000000" w:csb0="00000000"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altName w:val="DejaVu Sans"/>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文泉驿微米黑">
    <w:panose1 w:val="020B0606030804020204"/>
    <w:charset w:val="86"/>
    <w:family w:val="auto"/>
    <w:pitch w:val="variable"/>
    <w:sig w:usb0="E10002EF" w:usb1="6BDFFCFB" w:usb2="00800036" w:usb3="00000000" w:csb0="603E01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51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52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szCs w:val="20"/>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szCs w:val="20"/>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szCs w:val="20"/>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szCs w:val="20"/>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szCs w:val="20"/>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szCs w:val="20"/>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szCs w:val="20"/>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szCs w:val="20"/>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szCs w:val="20"/>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szCs w:val="20"/>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szCs w:val="20"/>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E48A25E3-DF4D-45B8-877F-28641DB7F5EE}">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Yozo_Office27021597764231179</Application>
  <Pages>58</Pages>
  <Words>0</Words>
  <Characters>20990</Characters>
  <Lines>0</Lines>
  <Paragraphs>221</Paragraphs>
  <CharactersWithSpaces>27987</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HUAWEI</cp:lastModifiedBy>
  <cp:revision>1</cp:revision>
  <dcterms:created xsi:type="dcterms:W3CDTF">2025-02-27T11:00:03Z</dcterms:created>
  <dcterms:modified xsi:type="dcterms:W3CDTF">2025-04-30T02:35:12Z</dcterms:modified>
</cp:coreProperties>
</file>