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14</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15</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54</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54</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55</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810隆尧县千户营乡人民政府</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r>
              <w:t>1354.31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2126" w:type="dxa"/>
            <w:vAlign w:val="center"/>
          </w:tcPr>
          <w:p>
            <w:pPr>
              <w:pStyle w:val="19"/>
            </w:pPr>
            <w:r>
              <w:t>622.67</w:t>
            </w:r>
          </w:p>
        </w:tc>
      </w:tr>
      <w:tr>
        <w:trPr>
          <w:trHeight w:val="369"/>
        </w:trPr>
        <w:tc>
          <w:tcPr>
            <w:tcW w:w="850" w:type="dxa"/>
            <w:vAlign w:val="center"/>
          </w:tcPr>
          <w:p>
            <w:pPr>
              <w:pStyle w:val="21"/>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r>
              <w:t>241.88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2126" w:type="dxa"/>
            <w:vAlign w:val="center"/>
          </w:tcPr>
          <w:p>
            <w:pPr>
              <w:pStyle w:val="19"/>
            </w:pPr>
            <w:r>
              <w:t>4.80</w:t>
            </w:r>
          </w:p>
        </w:tc>
      </w:tr>
      <w:tr>
        <w:trPr>
          <w:trHeight w:val="369"/>
        </w:trPr>
        <w:tc>
          <w:tcPr>
            <w:tcW w:w="850" w:type="dxa"/>
            <w:vAlign w:val="center"/>
          </w:tcPr>
          <w:p>
            <w:pPr>
              <w:pStyle w:val="21"/>
            </w:pPr>
            <w:r>
              <w:t>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四、财政专户管理资金收入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五、单位资金</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r>
              <w:t>1.70</w:t>
            </w:r>
          </w:p>
        </w:tc>
      </w:tr>
      <w:tr>
        <w:trPr>
          <w:trHeight w:val="369"/>
        </w:trPr>
        <w:tc>
          <w:tcPr>
            <w:tcW w:w="850" w:type="dxa"/>
            <w:vAlign w:val="center"/>
          </w:tcPr>
          <w:p>
            <w:pPr>
              <w:pStyle w:val="21"/>
            </w:pPr>
            <w:r>
              <w:t>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2126" w:type="dxa"/>
            <w:vAlign w:val="center"/>
          </w:tcPr>
          <w:p>
            <w:pPr>
              <w:pStyle w:val="19"/>
            </w:pPr>
            <w:r>
              <w:t>176.75</w:t>
            </w:r>
          </w:p>
        </w:tc>
      </w:tr>
      <w:tr>
        <w:trPr>
          <w:trHeight w:val="369"/>
        </w:trPr>
        <w:tc>
          <w:tcPr>
            <w:tcW w:w="850" w:type="dxa"/>
            <w:vAlign w:val="center"/>
          </w:tcPr>
          <w:p>
            <w:pPr>
              <w:pStyle w:val="21"/>
            </w:pPr>
            <w:r>
              <w:t>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2126" w:type="dxa"/>
            <w:vAlign w:val="center"/>
          </w:tcPr>
          <w:p>
            <w:pPr>
              <w:pStyle w:val="19"/>
            </w:pPr>
            <w:r>
              <w:t>42.63</w:t>
            </w:r>
          </w:p>
        </w:tc>
      </w:tr>
      <w:tr>
        <w:trPr>
          <w:trHeight w:val="369"/>
        </w:trPr>
        <w:tc>
          <w:tcPr>
            <w:tcW w:w="850" w:type="dxa"/>
            <w:vAlign w:val="center"/>
          </w:tcPr>
          <w:p>
            <w:pPr>
              <w:pStyle w:val="21"/>
            </w:pPr>
            <w:r>
              <w:t>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2126" w:type="dxa"/>
            <w:vAlign w:val="center"/>
          </w:tcPr>
          <w:p>
            <w:pPr>
              <w:pStyle w:val="19"/>
            </w:pPr>
            <w:r>
              <w:t>16.44</w:t>
            </w:r>
          </w:p>
        </w:tc>
      </w:tr>
      <w:tr>
        <w:trPr>
          <w:trHeight w:val="369"/>
        </w:trPr>
        <w:tc>
          <w:tcPr>
            <w:tcW w:w="850" w:type="dxa"/>
            <w:vAlign w:val="center"/>
          </w:tcPr>
          <w:p>
            <w:pPr>
              <w:pStyle w:val="21"/>
            </w:pPr>
            <w:r>
              <w:t>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2126" w:type="dxa"/>
            <w:vAlign w:val="center"/>
          </w:tcPr>
          <w:p>
            <w:pPr>
              <w:pStyle w:val="19"/>
            </w:pPr>
            <w:r>
              <w:t>82.88</w:t>
            </w:r>
          </w:p>
        </w:tc>
      </w:tr>
      <w:tr>
        <w:trPr>
          <w:trHeight w:val="369"/>
        </w:trPr>
        <w:tc>
          <w:tcPr>
            <w:tcW w:w="850" w:type="dxa"/>
            <w:vAlign w:val="center"/>
          </w:tcPr>
          <w:p>
            <w:pPr>
              <w:pStyle w:val="21"/>
            </w:pPr>
            <w:r>
              <w:t>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2126" w:type="dxa"/>
            <w:vAlign w:val="center"/>
          </w:tcPr>
          <w:p>
            <w:pPr>
              <w:pStyle w:val="19"/>
            </w:pPr>
            <w:r>
              <w:t>438.48</w:t>
            </w:r>
          </w:p>
        </w:tc>
      </w:tr>
      <w:tr>
        <w:trPr>
          <w:trHeight w:val="369"/>
        </w:trPr>
        <w:tc>
          <w:tcPr>
            <w:tcW w:w="850" w:type="dxa"/>
            <w:vAlign w:val="center"/>
          </w:tcPr>
          <w:p>
            <w:pPr>
              <w:pStyle w:val="21"/>
            </w:pPr>
            <w:r>
              <w:t>14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2126" w:type="dxa"/>
            <w:vAlign w:val="center"/>
          </w:tcPr>
          <w:p>
            <w:pPr>
              <w:pStyle w:val="19"/>
            </w:pPr>
            <w:r>
              <w:t>50.85</w:t>
            </w:r>
          </w:p>
        </w:tc>
      </w:tr>
      <w:tr>
        <w:trPr>
          <w:trHeight w:val="369"/>
        </w:trPr>
        <w:tc>
          <w:tcPr>
            <w:tcW w:w="850" w:type="dxa"/>
            <w:vAlign w:val="center"/>
          </w:tcPr>
          <w:p>
            <w:pPr>
              <w:pStyle w:val="21"/>
            </w:pPr>
            <w:r>
              <w:t>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2126" w:type="dxa"/>
            <w:vAlign w:val="center"/>
          </w:tcPr>
          <w:p>
            <w:pPr>
              <w:pStyle w:val="19"/>
            </w:pPr>
            <w:r>
              <w:t>159.00</w:t>
            </w:r>
          </w:p>
        </w:tc>
      </w:tr>
      <w:tr>
        <w:trPr>
          <w:trHeight w:val="369"/>
        </w:trPr>
        <w:tc>
          <w:tcPr>
            <w:tcW w:w="850" w:type="dxa"/>
            <w:vAlign w:val="center"/>
          </w:tcPr>
          <w:p>
            <w:pPr>
              <w:pStyle w:val="21"/>
            </w:pPr>
            <w:r>
              <w:t>26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2126" w:type="dxa"/>
            <w:vAlign w:val="center"/>
          </w:tcPr>
          <w:p>
            <w:pPr>
              <w:pStyle w:val="23"/>
            </w:pPr>
            <w:r>
              <w:t>1596.20</w:t>
            </w:r>
          </w:p>
        </w:tc>
      </w:tr>
      <w:tr>
        <w:trPr>
          <w:trHeight w:val="369"/>
        </w:trPr>
        <w:tc>
          <w:tcPr>
            <w:tcW w:w="850" w:type="dxa"/>
            <w:vAlign w:val="center"/>
          </w:tcPr>
          <w:p>
            <w:pPr>
              <w:pStyle w:val="21"/>
            </w:pPr>
            <w:r>
              <w:t>33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上年结转结余</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2126" w:type="dxa"/>
            <w:vAlign w:val="center"/>
          </w:tcPr>
          <w:p>
            <w:pPr>
              <w:pStyle w:val="23"/>
            </w:pPr>
            <w:r>
              <w:t>1596.20</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810隆尧县千户营乡人民政府</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072" w:type="dxa"/>
            <w:gridSpan w:val="8"/>
            <w:tcBorders>
              <w:top w:val="single" w:sz="6" w:space="0" w:color="auto"/>
              <w:left w:val="single" w:sz="6" w:space="0" w:color="auto"/>
              <w:bottom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小计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财政拨款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财政专户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事业收入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经营收入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上级补助收入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附属单位上缴收入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8</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9</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1559"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人大事务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代表工作</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20103</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政府办公厅（室）及相关机构事务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2010301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20113</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商贸事务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2011308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招商引资</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国防支出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20306</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国防动员</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2030607</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民兵</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文化旅游体育与传媒支出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文化和旅游</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2070109</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群众文化</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抚恤</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2080805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义务兵优待</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21007</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计划生育事务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2100799</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其他计划生育事务支出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节能环保支出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21103</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污染防治</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2110301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大气</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29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21111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污染减排</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2111102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生态环境执法监察</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城乡社区支出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国有土地使用权出让收入安排的支出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2120801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征地和拆迁补偿支出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农林水支出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农业农村</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2130126</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农村社会事业</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21307</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农村综合改革</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2130705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对村民委员会和村党支部的补助</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其他支出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22960</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彩票公益金安排的支出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2296099</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用于其他社会公益事业的彩票公益金支出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810隆尧县千户营乡人民政府</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项目支出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经营支出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625.05</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971.14</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139.37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人大事务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2010108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代表工作</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政府办公厅（室）及相关机构事务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119.17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2010301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119.17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商贸事务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2011308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招商引资</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国防支出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20306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国防动员</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2030607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民兵</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文化旅游体育与传媒支出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文化和旅游</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2070109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群众文化</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抚恤</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义务兵优待</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计划生育事务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2100799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其他计划生育事务支出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节能环保支出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污染防治</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2110301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大气</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29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污染减排</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2111102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生态环境执法监察</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城乡社区支出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国有土地使用权出让收入安排的支出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2120801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征地和拆迁补偿支出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农林水支出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农业农村</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2130126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农村社会事业</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农村综合改革</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2130705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对村民委员会和村党支部的补助</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22960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彩票公益金安排的支出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2296099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用于其他社会公益事业的彩票公益金支出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810隆尧县千户营乡人民政府</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金额</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一般公共预算财政拨款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1354.31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241.88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1354.31</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241.88</w:t>
            </w: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年初财政拨款结转和结余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年末财政拨款结转和结余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1596.20</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1354.31</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241.88</w:t>
            </w: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810隆尧县千户营乡人民政府</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1354.31</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625.05</w:t>
            </w:r>
          </w:p>
        </w:tc>
        <w:tc>
          <w:tcPr>
            <w:tcW w:w="2551" w:type="dxa"/>
            <w:vAlign w:val="center"/>
          </w:tcPr>
          <w:p>
            <w:pPr>
              <w:pStyle w:val="23"/>
            </w:pPr>
            <w:r>
              <w:t>729.26</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622.67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2551" w:type="dxa"/>
            <w:vAlign w:val="center"/>
          </w:tcPr>
          <w:p>
            <w:pPr>
              <w:pStyle w:val="19"/>
            </w:pPr>
            <w:r>
              <w:t>139.37</w:t>
            </w: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人大事务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15.10</w:t>
            </w: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2010108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代表工作</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5.10</w:t>
            </w: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政府办公厅（室）及相关机构事务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2551" w:type="dxa"/>
            <w:vAlign w:val="center"/>
          </w:tcPr>
          <w:p>
            <w:pPr>
              <w:pStyle w:val="19"/>
            </w:pPr>
            <w:r>
              <w:t>119.17</w:t>
            </w: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2010301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602.47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483.29</w:t>
            </w:r>
          </w:p>
        </w:tc>
        <w:tc>
          <w:tcPr>
            <w:tcW w:w="2551" w:type="dxa"/>
            <w:vAlign w:val="center"/>
          </w:tcPr>
          <w:p>
            <w:pPr>
              <w:pStyle w:val="19"/>
            </w:pPr>
            <w:r>
              <w:t>119.17</w:t>
            </w: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商贸事务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5.10</w:t>
            </w: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2011308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招商引资</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5.10</w:t>
            </w: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国防支出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4.80</w:t>
            </w: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20306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国防动员</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4.80</w:t>
            </w: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2030607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民兵</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4.80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4.80</w:t>
            </w: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文化旅游体育与传媒支出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1.70</w:t>
            </w: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20701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文化和旅游</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1.70</w:t>
            </w:r>
          </w:p>
        </w:tc>
      </w:tr>
      <w:tr>
        <w:trPr>
          <w:trHeight w:val="369"/>
        </w:trPr>
        <w:tc>
          <w:tcPr>
            <w:tcW w:w="850" w:type="dxa"/>
            <w:vAlign w:val="center"/>
          </w:tcPr>
          <w:p>
            <w:pPr>
              <w:pStyle w:val="21"/>
            </w:pPr>
            <w:r>
              <w:t>15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2070109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群众文化</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1.70</w:t>
            </w:r>
          </w:p>
        </w:tc>
      </w:tr>
      <w:tr>
        <w:trPr>
          <w:trHeight w:val="369"/>
        </w:trPr>
        <w:tc>
          <w:tcPr>
            <w:tcW w:w="850" w:type="dxa"/>
            <w:vAlign w:val="center"/>
          </w:tcPr>
          <w:p>
            <w:pPr>
              <w:pStyle w:val="21"/>
            </w:pPr>
            <w:r>
              <w:t>16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176.75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vAlign w:val="center"/>
          </w:tcPr>
          <w:p>
            <w:pPr>
              <w:pStyle w:val="19"/>
            </w:pPr>
            <w:r>
              <w:t>112.37</w:t>
            </w:r>
          </w:p>
        </w:tc>
      </w:tr>
      <w:tr>
        <w:trPr>
          <w:trHeight w:val="369"/>
        </w:trPr>
        <w:tc>
          <w:tcPr>
            <w:tcW w:w="850" w:type="dxa"/>
            <w:vAlign w:val="center"/>
          </w:tcPr>
          <w:p>
            <w:pPr>
              <w:pStyle w:val="21"/>
            </w:pPr>
            <w:r>
              <w:t>17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抚恤</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112.37</w:t>
            </w:r>
          </w:p>
        </w:tc>
      </w:tr>
      <w:tr>
        <w:trPr>
          <w:trHeight w:val="369"/>
        </w:trPr>
        <w:tc>
          <w:tcPr>
            <w:tcW w:w="850" w:type="dxa"/>
            <w:vAlign w:val="center"/>
          </w:tcPr>
          <w:p>
            <w:pPr>
              <w:pStyle w:val="21"/>
            </w:pPr>
            <w:r>
              <w:t>20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义务兵优待</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112.37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112.37</w:t>
            </w:r>
          </w:p>
        </w:tc>
      </w:tr>
      <w:tr>
        <w:trPr>
          <w:trHeight w:val="369"/>
        </w:trPr>
        <w:tc>
          <w:tcPr>
            <w:tcW w:w="850" w:type="dxa"/>
            <w:vAlign w:val="center"/>
          </w:tcPr>
          <w:p>
            <w:pPr>
              <w:pStyle w:val="21"/>
            </w:pPr>
            <w:r>
              <w:t>21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42.63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vAlign w:val="center"/>
          </w:tcPr>
          <w:p>
            <w:pPr>
              <w:pStyle w:val="19"/>
            </w:pPr>
            <w:r>
              <w:t>16.10</w:t>
            </w:r>
          </w:p>
        </w:tc>
      </w:tr>
      <w:tr>
        <w:trPr>
          <w:trHeight w:val="369"/>
        </w:trPr>
        <w:tc>
          <w:tcPr>
            <w:tcW w:w="850" w:type="dxa"/>
            <w:vAlign w:val="center"/>
          </w:tcPr>
          <w:p>
            <w:pPr>
              <w:pStyle w:val="21"/>
            </w:pPr>
            <w:r>
              <w:t>22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计划生育事务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16.10</w:t>
            </w:r>
          </w:p>
        </w:tc>
      </w:tr>
      <w:tr>
        <w:trPr>
          <w:trHeight w:val="369"/>
        </w:trPr>
        <w:tc>
          <w:tcPr>
            <w:tcW w:w="850" w:type="dxa"/>
            <w:vAlign w:val="center"/>
          </w:tcPr>
          <w:p>
            <w:pPr>
              <w:pStyle w:val="21"/>
            </w:pPr>
            <w:r>
              <w:t>23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2100799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其他计划生育事务支出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16.10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16.10</w:t>
            </w:r>
          </w:p>
        </w:tc>
      </w:tr>
      <w:tr>
        <w:trPr>
          <w:trHeight w:val="369"/>
        </w:trPr>
        <w:tc>
          <w:tcPr>
            <w:tcW w:w="850" w:type="dxa"/>
            <w:vAlign w:val="center"/>
          </w:tcPr>
          <w:p>
            <w:pPr>
              <w:pStyle w:val="21"/>
            </w:pPr>
            <w:r>
              <w:t>24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vAlign w:val="center"/>
          </w:tcPr>
          <w:p>
            <w:pPr>
              <w:pStyle w:val="19"/>
            </w:pPr>
          </w:p>
        </w:tc>
      </w:tr>
      <w:tr>
        <w:trPr>
          <w:trHeight w:val="369"/>
        </w:trPr>
        <w:tc>
          <w:tcPr>
            <w:tcW w:w="850" w:type="dxa"/>
            <w:vAlign w:val="center"/>
          </w:tcPr>
          <w:p>
            <w:pPr>
              <w:pStyle w:val="21"/>
            </w:pPr>
            <w:r>
              <w:t>25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vAlign w:val="center"/>
          </w:tcPr>
          <w:p>
            <w:pPr>
              <w:pStyle w:val="19"/>
            </w:pPr>
          </w:p>
        </w:tc>
      </w:tr>
      <w:tr>
        <w:trPr>
          <w:trHeight w:val="369"/>
        </w:trPr>
        <w:tc>
          <w:tcPr>
            <w:tcW w:w="850" w:type="dxa"/>
            <w:vAlign w:val="center"/>
          </w:tcPr>
          <w:p>
            <w:pPr>
              <w:pStyle w:val="21"/>
            </w:pPr>
            <w:r>
              <w:t>26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节能环保支出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16.44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16.44</w:t>
            </w:r>
          </w:p>
        </w:tc>
      </w:tr>
      <w:tr>
        <w:trPr>
          <w:trHeight w:val="369"/>
        </w:trPr>
        <w:tc>
          <w:tcPr>
            <w:tcW w:w="850" w:type="dxa"/>
            <w:vAlign w:val="center"/>
          </w:tcPr>
          <w:p>
            <w:pPr>
              <w:pStyle w:val="21"/>
            </w:pPr>
            <w:r>
              <w:t>27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污染防治</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5.00</w:t>
            </w:r>
          </w:p>
        </w:tc>
      </w:tr>
      <w:tr>
        <w:trPr>
          <w:trHeight w:val="369"/>
        </w:trPr>
        <w:tc>
          <w:tcPr>
            <w:tcW w:w="850" w:type="dxa"/>
            <w:vAlign w:val="center"/>
          </w:tcPr>
          <w:p>
            <w:pPr>
              <w:pStyle w:val="21"/>
            </w:pPr>
            <w:r>
              <w:t>28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2110301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大气</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5.00</w:t>
            </w:r>
          </w:p>
        </w:tc>
      </w:tr>
      <w:tr>
        <w:trPr>
          <w:trHeight w:val="369"/>
        </w:trPr>
        <w:tc>
          <w:tcPr>
            <w:tcW w:w="850" w:type="dxa"/>
            <w:vAlign w:val="center"/>
          </w:tcPr>
          <w:p>
            <w:pPr>
              <w:pStyle w:val="21"/>
            </w:pPr>
            <w:r>
              <w:t>29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21111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污染减排</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11.44</w:t>
            </w:r>
          </w:p>
        </w:tc>
      </w:tr>
      <w:tr>
        <w:trPr>
          <w:trHeight w:val="369"/>
        </w:trPr>
        <w:tc>
          <w:tcPr>
            <w:tcW w:w="850" w:type="dxa"/>
            <w:vAlign w:val="center"/>
          </w:tcPr>
          <w:p>
            <w:pPr>
              <w:pStyle w:val="21"/>
            </w:pPr>
            <w:r>
              <w:t>30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2111102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生态环境执法监察</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11.44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11.44</w:t>
            </w:r>
          </w:p>
        </w:tc>
      </w:tr>
      <w:tr>
        <w:trPr>
          <w:trHeight w:val="369"/>
        </w:trPr>
        <w:tc>
          <w:tcPr>
            <w:tcW w:w="850" w:type="dxa"/>
            <w:vAlign w:val="center"/>
          </w:tcPr>
          <w:p>
            <w:pPr>
              <w:pStyle w:val="21"/>
            </w:pPr>
            <w:r>
              <w:t>31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农林水支出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438.48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438.48</w:t>
            </w:r>
          </w:p>
        </w:tc>
      </w:tr>
      <w:tr>
        <w:trPr>
          <w:trHeight w:val="369"/>
        </w:trPr>
        <w:tc>
          <w:tcPr>
            <w:tcW w:w="850" w:type="dxa"/>
            <w:vAlign w:val="center"/>
          </w:tcPr>
          <w:p>
            <w:pPr>
              <w:pStyle w:val="21"/>
            </w:pPr>
            <w:r>
              <w:t>32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农业农村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3.02</w:t>
            </w:r>
          </w:p>
        </w:tc>
      </w:tr>
      <w:tr>
        <w:trPr>
          <w:trHeight w:val="369"/>
        </w:trPr>
        <w:tc>
          <w:tcPr>
            <w:tcW w:w="850" w:type="dxa"/>
            <w:vAlign w:val="center"/>
          </w:tcPr>
          <w:p>
            <w:pPr>
              <w:pStyle w:val="21"/>
            </w:pPr>
            <w:r>
              <w:t>33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2130126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农村社会事业</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3.02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3.02</w:t>
            </w:r>
          </w:p>
        </w:tc>
      </w:tr>
      <w:tr>
        <w:trPr>
          <w:trHeight w:val="369"/>
        </w:trPr>
        <w:tc>
          <w:tcPr>
            <w:tcW w:w="850" w:type="dxa"/>
            <w:vAlign w:val="center"/>
          </w:tcPr>
          <w:p>
            <w:pPr>
              <w:pStyle w:val="21"/>
            </w:pPr>
            <w:r>
              <w:t>34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21307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农村综合改革</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435.46</w:t>
            </w:r>
          </w:p>
        </w:tc>
      </w:tr>
      <w:tr>
        <w:trPr>
          <w:trHeight w:val="369"/>
        </w:trPr>
        <w:tc>
          <w:tcPr>
            <w:tcW w:w="850" w:type="dxa"/>
            <w:vAlign w:val="center"/>
          </w:tcPr>
          <w:p>
            <w:pPr>
              <w:pStyle w:val="21"/>
            </w:pPr>
            <w:r>
              <w:t>35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2130705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对村民委员会和村党支部的补助</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435.46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435.46</w:t>
            </w:r>
          </w:p>
        </w:tc>
      </w:tr>
      <w:tr>
        <w:trPr>
          <w:trHeight w:val="369"/>
        </w:trPr>
        <w:tc>
          <w:tcPr>
            <w:tcW w:w="850" w:type="dxa"/>
            <w:vAlign w:val="center"/>
          </w:tcPr>
          <w:p>
            <w:pPr>
              <w:pStyle w:val="21"/>
            </w:pPr>
            <w:r>
              <w:t>36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vAlign w:val="center"/>
          </w:tcPr>
          <w:p>
            <w:pPr>
              <w:pStyle w:val="19"/>
            </w:pPr>
          </w:p>
        </w:tc>
      </w:tr>
      <w:tr>
        <w:trPr>
          <w:trHeight w:val="369"/>
        </w:trPr>
        <w:tc>
          <w:tcPr>
            <w:tcW w:w="850" w:type="dxa"/>
            <w:vAlign w:val="center"/>
          </w:tcPr>
          <w:p>
            <w:pPr>
              <w:pStyle w:val="21"/>
            </w:pPr>
            <w:r>
              <w:t>37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vAlign w:val="center"/>
          </w:tcPr>
          <w:p>
            <w:pPr>
              <w:pStyle w:val="19"/>
            </w:pPr>
          </w:p>
        </w:tc>
      </w:tr>
      <w:tr>
        <w:trPr>
          <w:trHeight w:val="369"/>
        </w:trPr>
        <w:tc>
          <w:tcPr>
            <w:tcW w:w="850" w:type="dxa"/>
            <w:vAlign w:val="center"/>
          </w:tcPr>
          <w:p>
            <w:pPr>
              <w:pStyle w:val="21"/>
            </w:pPr>
            <w:r>
              <w:t>38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810隆尧县千户营乡人民政府</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625.05</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582.03</w:t>
            </w:r>
          </w:p>
        </w:tc>
        <w:tc>
          <w:tcPr>
            <w:tcW w:w="2551" w:type="dxa"/>
            <w:vAlign w:val="center"/>
          </w:tcPr>
          <w:p>
            <w:pPr>
              <w:pStyle w:val="23"/>
            </w:pPr>
            <w:r>
              <w:t>43.02</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工资福利支出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536.27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536.27</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基本工资</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192.64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192.64</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津贴补贴</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104.80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104.80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奖金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29.49</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29.49</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绩效工资</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66.28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66.28</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64.38</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职工基本医疗保险缴费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26.53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其他社会保障缴费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1.31</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1.31</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50.85</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商品和服务支出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43.02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43.02</w:t>
            </w: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电费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12.00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12.00</w:t>
            </w: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邮电费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3.00</w:t>
            </w: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差旅费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2.20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2.20</w:t>
            </w:r>
          </w:p>
        </w:tc>
      </w:tr>
      <w:tr>
        <w:trPr>
          <w:trHeight w:val="369"/>
        </w:trPr>
        <w:tc>
          <w:tcPr>
            <w:tcW w:w="850" w:type="dxa"/>
            <w:vAlign w:val="center"/>
          </w:tcPr>
          <w:p>
            <w:pPr>
              <w:pStyle w:val="21"/>
            </w:pPr>
            <w:r>
              <w:t>15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公务用车运行维护费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16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30239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其他交通费用</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24.32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24.32</w:t>
            </w:r>
          </w:p>
        </w:tc>
      </w:tr>
      <w:tr>
        <w:trPr>
          <w:trHeight w:val="369"/>
        </w:trPr>
        <w:tc>
          <w:tcPr>
            <w:tcW w:w="850" w:type="dxa"/>
            <w:vAlign w:val="center"/>
          </w:tcPr>
          <w:p>
            <w:pPr>
              <w:pStyle w:val="21"/>
            </w:pPr>
            <w:r>
              <w:t>17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对个人和家庭的补助</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45.76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45.76</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30302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退休费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45.76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45.76</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810隆尧县千户营乡人民政府</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241.88</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p>
        </w:tc>
        <w:tc>
          <w:tcPr>
            <w:tcW w:w="2551" w:type="dxa"/>
            <w:vAlign w:val="center"/>
          </w:tcPr>
          <w:p>
            <w:pPr>
              <w:pStyle w:val="23"/>
            </w:pPr>
            <w:r>
              <w:t>241.88</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城乡社区支出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82.88</w:t>
            </w: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国有土地使用权出让收入安排的支出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82.88</w:t>
            </w: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2120801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征地和拆迁补偿支出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82.88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82.88</w:t>
            </w: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159.00</w:t>
            </w: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22960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彩票公益金安排的支出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159.00</w:t>
            </w: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2296099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用于其他社会公益事业的彩票公益金支出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159.00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159.00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810隆尧县千户营乡人民政府</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810隆尧县千户营乡人民政府</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auto"/>
              <w:left w:val="single" w:sz="6" w:space="0" w:color="auto"/>
              <w:bottom w:val="single" w:sz="6" w:space="0" w:color="auto"/>
              <w:right w:val="single" w:sz="6" w:space="0" w:color="auto"/>
            </w:tcBorders>
          </w:tcP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一般公共预算              财政拨款</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隆尧县千户营乡人民政府2025年部门预算信息公开情况说明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隆尧县千户营乡人民政府2025年部门预算信息公开情况说明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按照《中华人民共和国预算法》、《地方预决算公开操作规程》和《关于进一步推进预算公开工作的实施意见》规定，现将隆尧县千户营乡人民政府2025年部门预算公开如下：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隆尧县千户营乡人民政府本级</w:t>
            </w:r>
          </w:p>
        </w:tc>
        <w:tc>
          <w:tcPr>
            <w:tcW w:w="1843" w:type="dxa"/>
            <w:tcBorders>
              <w:top w:val="single" w:sz="6" w:space="0" w:color="auto"/>
              <w:left w:val="single" w:sz="6" w:space="0" w:color="auto"/>
              <w:bottom w:val="single" w:sz="6" w:space="0" w:color="auto"/>
              <w:right w:val="single" w:sz="6" w:space="0" w:color="auto"/>
            </w:tcBorders>
            <w:vAlign w:val="center"/>
          </w:tcPr>
          <w:p>
            <w:pPr>
              <w:pStyle w:val="21"/>
            </w:pPr>
            <w:r>
              <w:t>行政</w:t>
            </w:r>
          </w:p>
        </w:tc>
        <w:tc>
          <w:tcPr>
            <w:tcW w:w="2126" w:type="dxa"/>
            <w:tcBorders>
              <w:top w:val="single" w:sz="6" w:space="0" w:color="auto"/>
              <w:left w:val="single" w:sz="6" w:space="0" w:color="auto"/>
              <w:bottom w:val="single" w:sz="6" w:space="0" w:color="auto"/>
              <w:right w:val="single" w:sz="6" w:space="0" w:color="auto"/>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1、收入说明</w:t>
      </w:r>
    </w:p>
    <w:p>
      <w:pPr>
        <w:pStyle w:val="26"/>
      </w:pPr>
      <w:r>
        <w:t>反映本部门当年全部收入。2025年预算收入1596.2万元，其中：一般公共预算收入1354.31万元，基金预算收入241.88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千户营乡人民政府年度部门预算中支出预算的总体情况。2025年支出预算1596.2万元，其中基本支出510.63万元，包括人员经费582.03万元和日常公用经费43.02万元；项目支出729.26万元，主要为转移支付/在职村干部工资，转移支付/服务群众专项经费，义务兵优待金，人居环境法制建设及维稳专项等。</w:t>
      </w:r>
    </w:p>
    <w:p>
      <w:pPr>
        <w:pStyle w:val="26"/>
      </w:pPr>
      <w:r>
        <w:t>3、比上年增减情况</w:t>
      </w:r>
    </w:p>
    <w:p>
      <w:pPr>
        <w:pStyle w:val="26"/>
      </w:pPr>
      <w:r>
        <w:t>2025年部门预算收支安排1596.2万元，较2024年增加311.31万元，主要是增加了公益性彩票项目和占地补偿项目。</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2023年，我部门运行经费共计安排46.26万元，主要用于电费、邮电费、公务交通补贴、公务用车运行维护费、工会经费、党组织活动经费，残疾人保障金等支出。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2023年，我部门财政拨款“三公”经费预算安排1.5万元，其中因公出国（境）费0万元；公务用车购置及运维费1.5万元（其中：公务用车购置费为0万元，公务用车运行维护费1.5万元)；公务接待费0万元。与2022年持平。</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政府工作的总体要求是：坚持以习近平新时代中国特色社会主义思想为指导，全面贯彻党的十九大和十九届二中、三中、四中、五中全会精神，认真落实党中央、国务院和省市决策部署，坚持稳重求近工作总基调，坚持新发展理念，坚持以供给侧结构性改革为主线，坚持以改革开放为动力，推动高质量发展，以“三创四建”活动为抓手，以“六重”工作为引领，支持做好“六稳”工作，落实“六保”任务，坚定不移践行新发展理念，实施积极的财政政策，树牢过“紧日子”思想。我乡围绕“经济强乡，美丽山口”为目标，以招商引资为抓手，以项目建设为核心，坚持经济发展稳中求进、好中求快、社会稳定人人尽责、营造和谐、美丽乡村，确保我乡经济、政治、文化、社会和生态建设统筹推进，努力实现全乡经济社会健康持续发展</w:t>
      </w:r>
    </w:p>
    <w:p>
      <w:pPr>
        <w:pStyle w:val="29"/>
      </w:pPr>
      <w:r>
        <w:t>隆尧县千户营乡人民政府根据项目情况设置总体绩效目标评价标准：100%以上为“优”、90%-99%以上为“良”、80%-89%以上为“中”、80%以下为“差”。</w:t>
      </w:r>
    </w:p>
    <w:p>
      <w:pPr>
        <w:pStyle w:val="29"/>
      </w:pPr>
      <w:r>
        <w:t>根据年度主要任务分解表的具体任务，逐项评价任务量化指标完成情</w:t>
      </w:r>
      <w:bookmarkStart w:id="14" w:name="_GoBack"/>
      <w:bookmarkEnd w:id="14"/>
      <w:r>
        <w:t>况、实施效果和责任制建立情况。用以反映和考核部门（单位）履职工作任务目标的完成情况。</w:t>
      </w:r>
    </w:p>
    <w:p>
      <w:pPr>
        <w:pStyle w:val="29"/>
      </w:pPr>
    </w:p>
    <w:p>
      <w:pPr>
        <w:pStyle w:val="29"/>
      </w:pPr>
      <w:r>
        <w:t>评价要点：</w:t>
      </w:r>
    </w:p>
    <w:p>
      <w:pPr>
        <w:pStyle w:val="29"/>
      </w:pPr>
      <w:r>
        <w:t>（1）每项任务是否已制定了明确、具体、可量化、可衡量的绩效指标；</w:t>
      </w:r>
    </w:p>
    <w:p>
      <w:pPr>
        <w:pStyle w:val="29"/>
      </w:pPr>
      <w:r>
        <w:t>（2）每项任务绩效指标的完成情况，是全部完成、基本完成、未完成，还是未实施；</w:t>
      </w:r>
    </w:p>
    <w:p>
      <w:pPr>
        <w:pStyle w:val="29"/>
      </w:pPr>
      <w:r>
        <w:t>（3）每项任务实施效果情况，是优秀、良好、一般，还是无效果；</w:t>
      </w:r>
    </w:p>
    <w:p>
      <w:pPr>
        <w:pStyle w:val="29"/>
      </w:pPr>
      <w:r>
        <w:t>（4）每项任务是否建立了目标责任制，是否落实到具体部门和人员负责。</w:t>
      </w:r>
    </w:p>
    <w:p>
      <w:pPr>
        <w:pStyle w:val="29"/>
      </w:pP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1、贯彻落实党的路线、方针和政策。</w:t>
      </w:r>
    </w:p>
    <w:p>
      <w:pPr>
        <w:pStyle w:val="30"/>
      </w:pPr>
      <w:r>
        <w:t>2、执行本级人民代表大会的决议和上级国家行政机关的决定和命令，发布决定和命令，做好组织、干部、机构编制、人事、档案管理、政务公开工作；</w:t>
      </w:r>
    </w:p>
    <w:p>
      <w:pPr>
        <w:pStyle w:val="30"/>
      </w:pPr>
      <w:r>
        <w:t>3、执行本行政区域内的经济和社会发展计划，组织和领导经济建设，发展农村经济，加强食品安全、安全生产管理；</w:t>
      </w:r>
    </w:p>
    <w:p>
      <w:pPr>
        <w:pStyle w:val="30"/>
      </w:pPr>
      <w:r>
        <w:t>4、制定和组织实施乡村建设规划，加强公共设施的建设和管理，发展各项公共事业；抓好环境卫生、环境保护、乡村绿化工作；</w:t>
      </w:r>
    </w:p>
    <w:p>
      <w:pPr>
        <w:pStyle w:val="30"/>
      </w:pPr>
      <w:r>
        <w:t>5、加强水利建设、土地使用管理和环境综合治理，合理开发、利用自然资源，保护耕地，改善生态环境和生活环境；</w:t>
      </w:r>
    </w:p>
    <w:p>
      <w:pPr>
        <w:pStyle w:val="30"/>
      </w:pPr>
      <w:r>
        <w:t>6、开展政务公开建设和社会主义民主与法制教育，加强社会治安综合管理，做好信访工作、群众调节工作；</w:t>
      </w:r>
    </w:p>
    <w:p>
      <w:pPr>
        <w:pStyle w:val="30"/>
      </w:pPr>
      <w:r>
        <w:t>7、推进计划生育，控制人口增长，保护妇女、儿童和老年人的合法权益、</w:t>
      </w:r>
    </w:p>
    <w:p>
      <w:pPr>
        <w:pStyle w:val="30"/>
      </w:pPr>
      <w:r>
        <w:t>8、管理民政行政工作，发展社会福利事业，做好就业和社会保障工作，主管拥军优属，救灾救济、“五保”“低保”等社会福利事业；</w:t>
      </w:r>
    </w:p>
    <w:p>
      <w:pPr>
        <w:pStyle w:val="30"/>
      </w:pPr>
      <w:r>
        <w:t>9、管理乡财政、执行本级预算；算理和发展教育、科学技术、文化、卫生事业，提高公民素质；</w:t>
      </w:r>
    </w:p>
    <w:p>
      <w:pPr>
        <w:pStyle w:val="30"/>
      </w:pPr>
      <w:r>
        <w:t>10、管理和发展本行政区域内的公共事业；保护国家、集体和公民合法财产；</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为有效完成千户营乡年度发展规划目标，将重点做好以下几方面工作：</w:t>
      </w:r>
    </w:p>
    <w:p>
      <w:pPr>
        <w:pStyle w:val="31"/>
      </w:pPr>
      <w:r>
        <w:t>一切实加强税收征管，保障财政收入稳定增长，加大综合治税力度，以新财政体制改革为突破口，财政部门密切配合，建立动态、完整、详实的税源档案，增强收入预测的科学性和可靠性，加强对征入征管的分析，确保税收及时入库。</w:t>
      </w:r>
    </w:p>
    <w:p>
      <w:pPr>
        <w:pStyle w:val="31"/>
      </w:pPr>
      <w:r>
        <w:t>二人事落实各项强农惠农富农政策，努力实现农业增产农民增收，认真落实财政强农惠农富农政策，加大对各种种粮农民补贴力度，深入推进涉农资金整合统筹，大力支持农业综合开发、农业社会化服务体系和农村专业合作组织建设，提升农村经济发展水平。支持现代化农业发展项目，提升农田水利建设水平。支持千户营乡美丽农村建设，深入推进新农村建设进程，全面改善农村生产生活条件。深化农村综合改革，完善一事一议财政奖补政策。</w:t>
      </w:r>
    </w:p>
    <w:p>
      <w:pPr>
        <w:pStyle w:val="31"/>
      </w:pPr>
      <w:r>
        <w:t>三继续加大民生投入，提高群众生活水平。一是医疗卫生工程，积极扩大新型农村合作医疗覆盖面、深入推进医疗卫生体制，不断扩大养老、医疗、工商、事业等社会保险覆盖面，积极开展社会援助行动，扎实推进农村养老“幸福工程”。</w:t>
      </w:r>
    </w:p>
    <w:p>
      <w:pPr>
        <w:pStyle w:val="31"/>
      </w:pPr>
      <w:r>
        <w:t>四实行多渠道开源节流，严格落实厉行节约各项措施。首先要开源，认真分析研究上级财政政策，联合相关部门积极进行项目申报，争取各种专项资金、各种补贴资金。其次要节流，严格落实厉行节俭节约各项措施，严格控制公用资金，加强公务车辆管理和使用，降低三公经费，坚强支出审核，健全结余结转资金管理机制，提高预算执行的均衡性、有效性。</w:t>
      </w:r>
    </w:p>
    <w:p>
      <w:pPr>
        <w:pStyle w:val="31"/>
        <w:sectPr>
          <w:pgSz w:w="16840" w:h="11900" w:orient="landscape"/>
          <w:pgMar w:top="1361" w:right="1020" w:bottom="1361" w:left="1020" w:header="720" w:footer="720" w:gutter="0"/>
          <w:docGrid w:linePitch="326" w:charSpace="0"/>
        </w:sectPr>
      </w:pPr>
      <w:r>
        <w:t>五加强作风建设，为事业发展提供坚强保障。深入学习党的十九大精神，强化服务意识，转变工作作风，坚持“求真务实、敢于担当、艰苦奋斗”的原则，严格落实中央关于改进工作作风，进一步加强党风廉政建设，认真落实党风廉政建设责任制，严格履行“一岗双责”，进一步优化服务环境。</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1、办案补助/行政执法经费绩效目标表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13052525P00004210236D</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办案补助/行政执法经费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4.40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4.40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办案补助</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1.保证办案补助的完成率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完成上级交办的各项工作</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≥95完成上级交办的各项工作</w:t>
            </w:r>
          </w:p>
        </w:tc>
        <w:tc>
          <w:tcPr>
            <w:tcW w:w="1276" w:type="dxa"/>
            <w:vAlign w:val="center"/>
          </w:tcPr>
          <w:p>
            <w:pPr>
              <w:pStyle w:val="20"/>
            </w:pPr>
            <w:r>
              <w:t>完成上级交办的各项工作</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提高环境治理</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≥95提高环境治理</w:t>
            </w:r>
          </w:p>
        </w:tc>
        <w:tc>
          <w:tcPr>
            <w:tcW w:w="1276" w:type="dxa"/>
            <w:vAlign w:val="center"/>
          </w:tcPr>
          <w:p>
            <w:pPr>
              <w:pStyle w:val="20"/>
            </w:pPr>
            <w:r>
              <w:t>提高环境治理</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及时支付资金</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≥95及时支付资金</w:t>
            </w:r>
          </w:p>
        </w:tc>
        <w:tc>
          <w:tcPr>
            <w:tcW w:w="1276" w:type="dxa"/>
            <w:vAlign w:val="center"/>
          </w:tcPr>
          <w:p>
            <w:pPr>
              <w:pStyle w:val="20"/>
            </w:pPr>
            <w:r>
              <w:t>及时支付资金</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按实际支出，厉行节约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≥95按实际支出，厉行节约</w:t>
            </w:r>
          </w:p>
        </w:tc>
        <w:tc>
          <w:tcPr>
            <w:tcW w:w="1276" w:type="dxa"/>
            <w:vAlign w:val="center"/>
          </w:tcPr>
          <w:p>
            <w:pPr>
              <w:pStyle w:val="20"/>
            </w:pPr>
            <w:r>
              <w:t>按实际支出，厉行节约</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生态效益指标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提高环境治理</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≥95提高环境治理</w:t>
            </w:r>
          </w:p>
        </w:tc>
        <w:tc>
          <w:tcPr>
            <w:tcW w:w="1276" w:type="dxa"/>
            <w:vAlign w:val="center"/>
          </w:tcPr>
          <w:p>
            <w:pPr>
              <w:pStyle w:val="20"/>
            </w:pPr>
            <w:r>
              <w:t>提高环境治理</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群众满意度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群众满意度</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2、村级转移支付/村办公经费绩效目标表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13052525P00001610031R</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村级转移支付/村办公经费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57.20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57.20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村级转移支付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1.保障乡域内21个行政村正常运转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村委会日常办公运转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村级转移支付/村办公经费工作经费保障情况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全年预算67万元</w:t>
            </w:r>
          </w:p>
        </w:tc>
        <w:tc>
          <w:tcPr>
            <w:tcW w:w="1276" w:type="dxa"/>
            <w:vAlign w:val="center"/>
          </w:tcPr>
          <w:p>
            <w:pPr>
              <w:pStyle w:val="20"/>
            </w:pPr>
            <w:r>
              <w:t>依据冀组发【2020】17号文件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村两委满意度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经费保障是否全部覆盖各村情况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全乡27个行政村均拨付</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工作完成及时性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村日常工作完成及时率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村级转移支付/村办公经费项目预算控制率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依据冀组发【2020】17号文件</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运转良好，切实满组村委会日常运转支出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村级转移支付/村办公经费资金使用效益率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依据冀组发【2020】17号文件</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办理单位满意度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村级转移支付/村办公经费办理单位满意率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通过村级调查满意情况</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3、村级转移支付/村党组织活动经费绩效目标表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13052525P00001610032D</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村级转移支付/村党组织活动经费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24.76</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24.76</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村级转移支付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1.保障21个村正常运转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日常运转情况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党组织活动经费在村级保障率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依据各村党员数</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村级党员对支部满意度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通过村党组织活动经费等各项工作调查，党员满意比率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加强管理，及时落实经费支出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村党组织活动经费落实的及时率通过抽查村，查出比率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村党组织活动经费项目预算控制数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全年经费24.76万元</w:t>
            </w:r>
          </w:p>
        </w:tc>
        <w:tc>
          <w:tcPr>
            <w:tcW w:w="1276" w:type="dxa"/>
            <w:vAlign w:val="center"/>
          </w:tcPr>
          <w:p>
            <w:pPr>
              <w:pStyle w:val="20"/>
            </w:pPr>
            <w:r>
              <w:t>依据各村党员数</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村党组织活动经费资金使用效益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全力维护村党支部工作日常运转定，促进管理服务进一步提升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依据各村党员数</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服务对象满意度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村党组织活动经费服务对象满意率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4、村级转移支付/村民小组长误工补助绩效目标表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13052525P000016100331</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村级转移支付/村民小组长误工补助</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3.80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3.80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转移支付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1.保障村小组长误工补助正常发放</w:t>
            </w:r>
          </w:p>
          <w:p>
            <w:pPr>
              <w:pStyle w:val="20"/>
            </w:pPr>
          </w:p>
          <w:p>
            <w:pPr>
              <w:pStyle w:val="20"/>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保障村两委日常用工支出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村小组长误工补助工作完成率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全年补助3.8万元</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村两委能正常开展工作</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村小组长误工补助各项工作完成质量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补助发放完成情况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村小组长误工补助任务完成的及时率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村小组长误工补助项目预算控制率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运转良好，切实满足村小组长误工补助支出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村小组长误工补助资金使用效益率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群众对村委会工作满意度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村级转移支付/村小组长误工补助服务对象满意率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5、村级转移支付/服务群众专项经费绩效目标表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13052525P00001610034L</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村级转移支付/服务群众专项经费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105.00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105.00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转移支付</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1.保障服务群众专项工作正常开展</w:t>
            </w:r>
          </w:p>
          <w:p>
            <w:pPr>
              <w:pStyle w:val="20"/>
            </w:pPr>
          </w:p>
          <w:p>
            <w:pPr>
              <w:pStyle w:val="20"/>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保障村级服务站日常运转支出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服务群众专项经费工作完成率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群众对村级服务站满意度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有经费保障，村级各项工作完成质量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各项工作完成较好</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服务群众专项经费任务完成的及时率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合理使用服务群众专项预算安排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服务群众专项经费保障每村控制率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切实保障村级服务站日常运转支出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服务群众专项经费资金使用效益率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群众对村级服务站满意度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村级转移支付/服务群众专项经费工作要点完成率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6、村级转移支付/离任村干部补贴绩效目标表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13052525P000016100358</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村级转移支付/离任村干部补贴</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18.90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18.90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离任补贴</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1.保障离任村干部补贴正常发放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保障离任村干部生活补贴支出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离任村干部补贴完成率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离任村干部人员满意度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通过走访离任村干部，补贴发放满意率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加强管理，降低成本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离任村干部补贴任务完成的及时率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按照预算安排、严格控制标准，落实离任干部资金发放到位率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离任村干部补贴资金使用效益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 xml:space="preserve">运转良好，切实保障离任村干部生活补贴发放率  </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离任村干部人员满意度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离任村干部补贴服务对象满意度率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7、村级转移支付/在职村干部补贴绩效目标表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13052525P00001610036U</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村级转移支付/在职村干部补贴</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225.80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225.80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在职村干部工资</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1.保障在职村干部补贴正常发放</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保障在职村干部补贴预算安排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村在职村干部补贴全年安排情况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全年安排预算257.5万元</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在职村干部满意度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通过走访调查，在职村干部补贴发放满意率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加强管理，降低成本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村级转移支付/在职村干部补贴任务完成的及时性</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在职村干部补贴项目预算控制率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运转良好，切实保障在职村干部补贴支出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村级转移支付/在职村干部补贴资金使用效率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依据县村级组织运转保障政策</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在职村干部补贴支出满意率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通过走访调查，在职村干部补贴服务对象满意率。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8、大气污染治理经费绩效目标表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13052525P00004210138B</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大气污染治理经费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0.44</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0.44</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大气污染治理</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1.环保政策及宣传覆盖率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大气污染治理预算</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大气污染治理经费工作要点完成率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全年预算0.44万元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空气质量良好天数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大气污染治理工作，按照全年天气质量测算比率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对于大气工作，资金使用率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大气污染治理经费项目预算控制数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经费使用效益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全乡空气质量提升率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大气污染治理经费满意度调查</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大气污染治理工作日常运转，促进管理服务进一步提升，经过走访各村满意率。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通过走访调查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9、环保所经费绩效目标表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13052525P00004210139Y</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环保所经费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环保所</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1.保障环保所工作正常开展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保障环保所日常运转支出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保证环保所经费预算安排到位，以及资金到位率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环保所工作人员满意度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环保经费一年5万元，经费保证情况下，各项工作完成比率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控制开支，节约成本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环保所经费保证下，各项任务完成是否及时，是否合理安排经费支出，资金使用比率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环保所经费项目预算控制数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环保所经费资金使用效益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运转良好，切实满足环保所日常运转资金支出率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依据县乡镇专项项目安排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环保所工作人员满意度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通过，抽查、走访企业等，环保所经费服务群众满意率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10、环境清洗经费绩效目标表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13052525P00004210142H</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环境清洗经费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环境清洗</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1.保障环境清洗工作正常开展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 xml:space="preserve">保障清洗经费保障 </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保障年初预算安排，安排预算到位率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街道的整洁度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环境清洗经费保障，全镇街道整洁率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控制开支，节约成本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环境清洗经费任务完成的及时性</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环境清洗经费保证下，各项任务完成是否及时，是否合理安排经费支出，资金使用比率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全年工作计划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环境清洗经费资金使用效益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运转良好，切实满街道清理支出率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全乡年度计划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街道两侧人员满意度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通过问卷调查27个村，对街道等环境卫生的满意率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11、基层武装专项经费绩效目标表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13052525P00004210135G</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基层武装专项经费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4.80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4.80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基层武装</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1.保证完成年度征兵任务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基层武装专项经费安排到位率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依据邢政字【2019】15号文件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关于基层武装专项工作，全年工作完成情况，质量占比率情况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通过问卷调查，得出群众满意率</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任务完成的及时性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基层武装专项经费任务完成的及时性</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依据邢政字【2019】15号文件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项目预算控制数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基层武装专项经费项目预算控制情况，是否合理安排经费支出，资金使用比率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基层武装专项经费保障，各项工作完成后，资金使用达到的效益率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全乡年度计划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任务完成满意情况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通过问卷调查，得出群众满意率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12、冀财社[2024]180号提前下达/省级/义务兵优待金绩效目标表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13052525P00003410012Q</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冀财社[2024]180号提前下达/省级/义务兵优待金</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51.69</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51.69</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义务兵</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1.资金拨付及时率、覆盖率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保证义务兵优待金预算安排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保障义务兵优待金预算安排，预算工作完成率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义务兵优待金各项工作完成质量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享受义务兵优待金人员，按照标准发放率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依据发放标准</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加强管理，严格安排标准执行</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依据发放标准，义务兵优待金发放及时率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预算安排控制数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项目预算控制数，是否按照标准安排预算，预算控制率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运转良好，切实满足义务兵优待金发放，资金发放率。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享受义务兵优待金人员满意度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通过对义务兵电话回访，优待金发放满意率。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通过电话回访</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13、冀财综[2024]29号/2025年中央彩票公益金/隆尧县2025年千户营乡狮子疙瘩村道路建设项目绩效目标表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13052525P000050100011</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冀财综[2024]29号/2025年中央彩票公益金/隆尧县2025年千户营乡狮子疙瘩村道路建设项目</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149.00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149.00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彩票公益金项目</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1.促进该区域公益事业均衡协调发展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项目数量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1个</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建设公里里程</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≥14112平方米</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项目实施直接收益人数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≥2260人</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项目规划编制完整性、合规性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项目规划编制完整性、合规性</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项目验收合格率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项目验收合格率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按规定标明宣传标识</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按规定标明宣传标识</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工作任务及时完成率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工作任务及时完成率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按时上报资金使用情况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按时上报资金使用情况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按时向社会公告项目实施情况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按时向社会公告项目实施情况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预算安排各项工作成本控制率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严格控制预算，按照预算标准执行，人居环境法制建设及维稳专项项目预算控制率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restart"/>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有效弥补当地社会公益事业欠账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有效弥补当地社会公益事业欠账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效果显著</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可持续影响指标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社会公益机构的服务能力和水平</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社会公益机构的服务能力和水平</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持续提高</w:t>
            </w:r>
          </w:p>
        </w:tc>
        <w:tc>
          <w:tcPr>
            <w:tcW w:w="1276" w:type="dxa"/>
            <w:vAlign w:val="center"/>
          </w:tcPr>
          <w:p>
            <w:pPr>
              <w:pStyle w:val="20"/>
            </w:pPr>
            <w:r>
              <w:t>根据县工作安排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受益人群满意度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受益人群满意度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≥85百分比</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14、秸秆禁烧绩效目标表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13052525P00004210140A</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秸秆禁烧</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秸秆禁烧</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1.保障秸秆禁烧工作正常开展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秸秆禁烧工作开展，保障年度预算安排率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禁烧期间工作安排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秸秆禁烧各项工作完成情况及工作质量情况，经费保证情况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全年预算安排3万元</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加强预算管理，节约成本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秸秆禁烧工作完成情况以及完成及时率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秸秆禁烧项目预算控制</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合理使用预算安排，严格按照预算执行，控制各项按照预算支出率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秸秆禁烧资金使用效益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运转良好，切实满足夏季、秋季秸秆禁烧支出率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禁烧期间空气质量，满意度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秸秆禁烧，通过走访各村，问卷调查方式，服务对象满意率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15、青年团活动绩效目标表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13052525P000042101339</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青年团活动</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青年团活动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1.保证青年团活动正常开展</w:t>
              <w:tab/>
              <w:tab/>
              <w:tab/>
            </w:r>
          </w:p>
          <w:p>
            <w:pPr>
              <w:pStyle w:val="20"/>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保证青年团活动预算安排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青年团活动预算安排情况，是否保障</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全年预算安排1万元，全部安排到位</w:t>
            </w:r>
          </w:p>
        </w:tc>
        <w:tc>
          <w:tcPr>
            <w:tcW w:w="1276" w:type="dxa"/>
            <w:vAlign w:val="center"/>
          </w:tcPr>
          <w:p>
            <w:pPr>
              <w:pStyle w:val="20"/>
            </w:pPr>
            <w:r>
              <w:t>依据县乡专项项目安排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青年团工作质量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青年团工作完成情况以及工作完成质量比率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加强预算管理，节约成本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青年团活动完成的情况，是否组织青年团活动，全年安排活动5次及以上</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≥5次</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青年团活动预算控制率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青年团资金使用效益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运转良好，切实满足青年团活动日常运转支出率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青年团工作满意度调查</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通过全乡走访问卷调查，得出满意率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16、人大活动经费绩效目标表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13052525P000042101312</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人大活动经费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5.10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5.10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人大活动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1.全年保障人大活动正常开展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人大活动经费保障</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人大活动经费预算安排到位情况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年度预算安排5.1万元</w:t>
            </w:r>
          </w:p>
        </w:tc>
        <w:tc>
          <w:tcPr>
            <w:tcW w:w="1276" w:type="dxa"/>
            <w:vAlign w:val="center"/>
          </w:tcPr>
          <w:p>
            <w:pPr>
              <w:pStyle w:val="20"/>
            </w:pPr>
            <w:r>
              <w:t>依据县乡专项项目安排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人大活动完成质量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人大活动费各项工作完成质量级工作质量完成率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加强预算管理，降低成本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人大活动安排情况，全年组织人大代表活动不下5次</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≥5次</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人大活动经费项目预算控制率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人大活动经费资金使用效益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运转良好，切实满人大活动室日常运转支出率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服务对象满意度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通过问卷方式，对人大活动经费服务对象满意度调查，得出满意率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17、人居环境法制建设及维稳专项绩效目标表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13052525P00004210132M</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人居环境法制建设及维稳专项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26.70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26.70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劳务费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1.农村生活环境得到明显提升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保障人居环境法制建设及维稳预算安排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人居环境法制建设及维稳专项全年预算安排到位</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全年预算26.7万元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人居环境法制建设及维稳专项各项工作完成质量、环境以及信访等完成比率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加强预算管理，控制完成时效</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预算保障情况下，禁烧、人居环境建设、信访等工作完成时效率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预算安排各项工作成本控制率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严格控制预算，按照预算标准执行，人居环境法制建设及维稳专项项目预算控制率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工作开展较好，切实保障人居环境法制建设和维稳专项支出率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群众对目前人居环境工作满意度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通过问卷方式，对人居环境法制建设及维稳专项服务对象满意调查，得出满意率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18、人居环境治理绩效目标表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13052525P000042102636</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人居环境治理</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10.00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10.00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人居环境治理</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1.农村生活环境得到明显提升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保障人居环境治理预算安排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人居环境法制建设及维稳专项全年预算安排到位</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预算10万元</w:t>
            </w:r>
          </w:p>
        </w:tc>
        <w:tc>
          <w:tcPr>
            <w:tcW w:w="1276" w:type="dxa"/>
            <w:vAlign w:val="center"/>
          </w:tcPr>
          <w:p>
            <w:pPr>
              <w:pStyle w:val="20"/>
            </w:pPr>
            <w:r>
              <w:t>依据县乡镇项目安排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人居环境治理完成质量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人居环境法制建设及维稳专项各项工作完成质量、环境以及信访等完成比率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加强预算管理，控制完成时效</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预算保障情况下，禁烧、人居环境建设、信访等工作完成时效率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预算安排各项工作成本控制率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严格控制预算，按照预算标准执行，人居环境法制建设及维稳专项项目预算控制率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人居环境法制建设及维稳专项资金使用效益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工作开展较好，切实保障人居环境法制建设和维稳专项支出率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群众对目前人居环境工作满意度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通过问卷方式，对人居环境法制建设及维稳专项服务对象满意调查，得出满意率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19、散煤治理专项经费绩效目标表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13052525P00004210141X</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散煤治理专项经费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散煤治理</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1.资金的使用情况和使用效益</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保障散煤治理专项经费预算安排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散煤治理专项经费安排，保障冬季清理散煤工作顺利开展</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安排预算5万元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散煤治理专项经费各项工作完成质量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通过对冬季空气质量调查，得出该项工作完成比率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在取暖前完成散煤清理工作</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在冬季取暖前，抽查村居民取暖，散煤治理专项工作任务完成的及时率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在安排该项工作中，按照预算，散煤治理专项经费项目预算控制率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冬季空气质量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通过问卷调查，散煤治理专项经费服务对象满意率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20、扫黑除恶专项绩效目标表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13052525P00004210134W</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扫黑除恶专项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扫黑除恶</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1.贯彻落实市、县关于打黑除恶的相关工作</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年初预算安排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扫黑除恶专项预算完成率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控制年初预算，严格落实到位</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扫黑除恶专项预算安排到位，保障该项工作正常开展</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≥951.64万元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加强完成时效</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开展扫黑除恶专项工作，做好宣传，指导等工作，各项完成的及时率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开展工作，节约不必要开支，扫黑除恶专项预算控制率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该项工作社会效益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该项工作开展以来，无类似黑恶事件发生，提高了村内各项精神生活，使得村民生活更加稳定，该项工作提高社会效益全乡占比情况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群众对生活环境的安全认可率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扫黑除恶专项服务对象满意率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21、上年盘活/彩票公益金/隆尧县2025年千户营乡狮子疙瘩村道路建设项目绩效目标表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13052525P00005010008A</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上年盘活/彩票公益金/隆尧县2025年千户营乡狮子疙瘩村道路建设项目</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10.00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10.00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彩票公益金项目</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1.促进该区域公益事业均衡协调发展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项目数量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≥1个</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建设公里里程</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≥14112平方米</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支持其他社会公益项目</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项目实施直接收益人数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≥2260人</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项目规划编制完整性、合规性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项目规划编制完整性、合规性</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项目验收合格率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项目验收合格率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按规定标明宣传标识</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按规定标明宣传标识</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工作任务及时完成率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工作任务及时完成率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按时上报资金使用情况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按时上报资金使用情况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按时向社会公告项目实施情况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按时向社会公告项目实施情况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预算安排各项工作成本控制率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严格控制预算，按照预算标准执行，人居环境法制建设及维稳专项项目预算控制率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根据县工作安排</w:t>
            </w:r>
          </w:p>
        </w:tc>
      </w:tr>
      <w:tr>
        <w:trPr>
          <w:trHeight w:val="397"/>
        </w:trPr>
        <w:tc>
          <w:tcPr>
            <w:tcW w:w="1276" w:type="dxa"/>
            <w:vMerge w:val="restart"/>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有效弥补当地社会公益事业欠账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有效弥补当地社会公益事业欠账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效果显著</w:t>
            </w:r>
          </w:p>
        </w:tc>
        <w:tc>
          <w:tcPr>
            <w:tcW w:w="1276" w:type="dxa"/>
            <w:vAlign w:val="center"/>
          </w:tcPr>
          <w:p>
            <w:pPr>
              <w:pStyle w:val="20"/>
            </w:pPr>
            <w:r>
              <w:t>根据县工作安排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可持续影响指标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社会公益机构的服务能力和水平</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社会公益机构的服务能力和水平</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持续提高</w:t>
            </w:r>
          </w:p>
        </w:tc>
        <w:tc>
          <w:tcPr>
            <w:tcW w:w="1276" w:type="dxa"/>
            <w:vAlign w:val="center"/>
          </w:tcPr>
          <w:p>
            <w:pPr>
              <w:pStyle w:val="20"/>
            </w:pPr>
            <w:r>
              <w:t>根据县工作安排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受益人群满意度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受益人群满意度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≥85百分比</w:t>
            </w:r>
          </w:p>
        </w:tc>
        <w:tc>
          <w:tcPr>
            <w:tcW w:w="1276" w:type="dxa"/>
            <w:vAlign w:val="center"/>
          </w:tcPr>
          <w:p>
            <w:pPr>
              <w:pStyle w:val="20"/>
            </w:pPr>
            <w:r>
              <w:t>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22、双进双产招商引资项目建设绩效目标表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13052525P000042101364</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双进双产招商引资项目建设</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5.10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5.10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招商引资</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1.确保完成年度招商任务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保证双进双产招商引资建设运转支出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双进双产招商引资项目建设专项工作要点完成率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双进双产招商引资建设工作质量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双进双产招商引资项目建设专项各项工作完成质量及完成率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加强预算管理，降低成本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双进双产招商引资项目建设专项项目预算控制率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双产招商引资建设运转支出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双进双产招商引资项目建设专项资金使用效益率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双进双产招商引资建设人员满意度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双进双产招商引资项目建设专项服务对象满意度指标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23、土地出让金/占地补偿绩效目标表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13052525P00005110010Y</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土地出让金/占地补偿</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82.88</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82.88</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占地补偿</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1.资金发放及时性和效率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完成数量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完成数量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≥100完成数量</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质量达标率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质量达标率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≥100质量达标率</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工作完成的时效</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工作完成的时效</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≥100工作完成的时效</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资金成本</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≥100资金成本</w:t>
            </w:r>
          </w:p>
        </w:tc>
        <w:tc>
          <w:tcPr>
            <w:tcW w:w="1276" w:type="dxa"/>
            <w:vAlign w:val="center"/>
          </w:tcPr>
          <w:p>
            <w:pPr>
              <w:pStyle w:val="20"/>
            </w:pPr>
            <w:r>
              <w:t>依据县级工作安排</w:t>
            </w:r>
          </w:p>
        </w:tc>
      </w:tr>
      <w:tr>
        <w:trPr>
          <w:trHeight w:val="397"/>
        </w:trPr>
        <w:tc>
          <w:tcPr>
            <w:tcW w:w="1276" w:type="dxa"/>
            <w:vMerge w:val="restart"/>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成本利用率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成本利用率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≥100成本利用率</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社会效益提升值%</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社会效益提升值%</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≥100社会效益提升值%</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生态效益指标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生态效益增值率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项目实施后生态效益增长率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≥100项目实施后生态效益增长率</w:t>
            </w:r>
          </w:p>
        </w:tc>
        <w:tc>
          <w:tcPr>
            <w:tcW w:w="1276" w:type="dxa"/>
            <w:vAlign w:val="center"/>
          </w:tcPr>
          <w:p>
            <w:pPr>
              <w:pStyle w:val="20"/>
            </w:pPr>
            <w:r>
              <w:t>依据县级工作安排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可持续影响指标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可持续性服务</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可持续性服务</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≥100可持续性服务</w:t>
            </w:r>
          </w:p>
        </w:tc>
        <w:tc>
          <w:tcPr>
            <w:tcW w:w="1276" w:type="dxa"/>
            <w:vAlign w:val="center"/>
          </w:tcPr>
          <w:p>
            <w:pPr>
              <w:pStyle w:val="20"/>
            </w:pPr>
            <w:r>
              <w:t>依据县级工作安排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客户满意度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客户满意度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≥100客户满意度</w:t>
            </w:r>
          </w:p>
        </w:tc>
        <w:tc>
          <w:tcPr>
            <w:tcW w:w="1276" w:type="dxa"/>
            <w:vAlign w:val="center"/>
          </w:tcPr>
          <w:p>
            <w:pPr>
              <w:pStyle w:val="20"/>
            </w:pPr>
            <w:r>
              <w:t>依据县级工作安排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24、退役公益性岗位绩效目标表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13052525P00004210220U</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退役公益性岗位</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85.37</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85.37</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退役军人</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1.退役军人津贴拨付及时</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财政拨款保障率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退役公益性岗位资金财政拨款保障率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依据专题会议纪要【2020】15号</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工作保障率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退役公益性岗位各项工作开展率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保障时间</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退役公益性岗位任务完成的及时率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依据专题会议纪要【2020】15号</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运行保障成本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保障退役公益性岗位预算控制</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工资发放表</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全乡退役公益性岗位人员工资等支出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为了提高全乡整体经济效益，切实保障退役公益性岗位工资、保险支出  支出情况，每月发放及缴纳保险业务</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次</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退役公益岗人员满意度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退役公益性岗位服务对象满意度指标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通过电话回访</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25、文化专项（文化馆免费开放）绩效目标表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13052525P000032100060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文化专项（文化馆免费开放）</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文化专项</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1.确保文化专项活动正常运转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财政拨款保障率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安排好年初预算，保障财政拨款率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年度任务按时完成率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按时完成的年度工作量与年度工作计划的比例</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单位成本控制数（万元）</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1.64万元</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1.64万元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合理使用预算安排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文化专项项目预算控制，促进精神文化发展和人民生活水平的提高率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文化专项资金使用，带来的效益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切实满足农村文化建设，使辖区能，精神文化提高情况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群众对镇文化站的满意度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通过参与文化专项人员反馈，对满意度调查</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通过参与人员反馈</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26、县级/义务兵优待金绩效目标表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13052525P000034100115</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县级/义务兵优待金</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60.68</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60.68</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义务兵</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1.资金拨付及时率、覆盖率</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保证义务兵优待金预算安排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保障义务兵优待金预算安排，预算工作完成率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义务兵优待金各项工作完成质量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享受义务兵优待金人员，按照标准发放率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依据发放标准</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加强管理，严格安排标准执行</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依据发放标准，义务兵优待金发放及时率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预算安排控制数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项目预算控制数，是否按照标准安排预算，预算控制率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依据冀财社[2023]234号文件</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运转良好，切实满足义务兵优待金发放，资金发放率。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享受义务兵优待金人员满意度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通过对义务兵电话回访，优待金发放满意率。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通过电话回访</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27、乡村振兴经费绩效目标表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13052525P000042101435</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乡村振兴经费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1.32</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1.32</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乡村振兴</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1.保障乡村振兴工作安排</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年初预算安排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乡村振兴工作开展，保障预算安排到位率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≥96%</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乡村振兴各项工作完成质量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乡村振兴预算安排到位情况，资金保障率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全年预算1.32万元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任务完成的及时性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按照时间节点完成工作，乡村振兴宣传、实施工作完成的及时率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项目预算控制数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财政安排比率安排该预算，严格控制预算安排，保证全年预算支出率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开展工作以来，辖区内乡村振兴工作所提高的效益率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群众对乡村振兴工作的认可度调查</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通过问卷调查，抽查14个村对乡村振兴工作满意率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28、乡村振兴专项经费绩效目标表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13052525P00004210144Q</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乡村振兴专项经费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1.70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乡村振兴</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1.及时拨付各类收益资金</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年初预算安排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乡村振兴工作开展，保障预算安排到位率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≥96%</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乡村振兴各项工作完成质量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乡村振兴预算安排到位情况，资金保障率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全年预算1.7万元</w:t>
            </w:r>
          </w:p>
        </w:tc>
        <w:tc>
          <w:tcPr>
            <w:tcW w:w="1276" w:type="dxa"/>
            <w:vAlign w:val="center"/>
          </w:tcPr>
          <w:p>
            <w:pPr>
              <w:pStyle w:val="20"/>
            </w:pPr>
            <w:r>
              <w:t>依据县乡镇专项项目安排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任务完成的及时性</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按照时间节点完成工作，乡村振兴宣传、实施工作完成的及时率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项目预算控制数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财政安排比率安排该预算，严格控制预算安排，保证全年预算支出率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依据县乡镇专项项目安排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开展工作以来，辖区能乡村振兴工作所提高的效益率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群众对乡村振兴工作的认可度调查</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通过问卷调查，抽查14个村对乡村振兴工作满意率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w:t>
            </w:r>
          </w:p>
        </w:tc>
        <w:tc>
          <w:tcPr>
            <w:tcW w:w="1276" w:type="dxa"/>
            <w:vAlign w:val="center"/>
          </w:tcPr>
          <w:p>
            <w:pPr>
              <w:pStyle w:val="20"/>
            </w:pPr>
            <w:r>
              <w:t>通过问卷调查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29、乡镇计生人员经费绩效目标表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13052525P000042100382</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乡镇计生人员经费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16.10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16.10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计划生育</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25%</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1.保障工资及时发放到位</w:t>
              <w:tab/>
              <w:tab/>
              <w:tab/>
            </w:r>
          </w:p>
          <w:p>
            <w:pPr>
              <w:pStyle w:val="20"/>
            </w:pPr>
            <w:r>
              <w:tab/>
              <w:tab/>
            </w:r>
          </w:p>
          <w:p>
            <w:pPr>
              <w:pStyle w:val="20"/>
            </w:pP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资金到位率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拨付工作是否及时到位</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年初计划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工作保障率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保障工作有序进行</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≥98百分比</w:t>
            </w:r>
          </w:p>
        </w:tc>
        <w:tc>
          <w:tcPr>
            <w:tcW w:w="1276" w:type="dxa"/>
            <w:vAlign w:val="center"/>
          </w:tcPr>
          <w:p>
            <w:pPr>
              <w:pStyle w:val="20"/>
            </w:pPr>
            <w:r>
              <w:t>年初计划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支付完成率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每月按时支付</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≥12月</w:t>
            </w:r>
          </w:p>
        </w:tc>
        <w:tc>
          <w:tcPr>
            <w:tcW w:w="1276" w:type="dxa"/>
            <w:vAlign w:val="center"/>
          </w:tcPr>
          <w:p>
            <w:pPr>
              <w:pStyle w:val="20"/>
            </w:pPr>
            <w:r>
              <w:t>年初计划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全年支出</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全年经费支出</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≥18.2万元</w:t>
            </w:r>
          </w:p>
        </w:tc>
        <w:tc>
          <w:tcPr>
            <w:tcW w:w="1276" w:type="dxa"/>
            <w:vAlign w:val="center"/>
          </w:tcPr>
          <w:p>
            <w:pPr>
              <w:pStyle w:val="20"/>
            </w:pPr>
            <w:r>
              <w:t>年初预算</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工作是否有效开展</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已完成工作进度占应完成工作的比率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≥98百分比</w:t>
            </w:r>
          </w:p>
        </w:tc>
        <w:tc>
          <w:tcPr>
            <w:tcW w:w="1276" w:type="dxa"/>
            <w:vAlign w:val="center"/>
          </w:tcPr>
          <w:p>
            <w:pPr>
              <w:pStyle w:val="20"/>
            </w:pPr>
            <w:r>
              <w:t>根据工作安排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满意率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通过问卷调查，满意和较满意的对象占所有调查对象的比例</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≥100通过问卷调查，满意和较满意的对象占所有调查对象的比例</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810隆尧县千户营乡人民政府</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采购物品名称</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政府采购目录序号</w:t>
            </w:r>
          </w:p>
        </w:tc>
        <w:tc>
          <w:tcPr>
            <w:tcW w:w="709" w:type="dxa"/>
            <w:vMerge w:val="restart"/>
            <w:tcBorders>
              <w:top w:val="single" w:sz="6" w:space="0" w:color="auto"/>
              <w:left w:val="single" w:sz="6" w:space="0" w:color="auto"/>
              <w:bottom w:val="single" w:sz="6" w:space="0" w:color="auto"/>
              <w:right w:val="single" w:sz="6" w:space="0" w:color="auto"/>
            </w:tcBorders>
            <w:vAlign w:val="center"/>
          </w:tcPr>
          <w:p>
            <w:pPr>
              <w:pStyle w:val="18"/>
            </w:pPr>
            <w:r>
              <w:t>计量  单位</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单价</w:t>
            </w:r>
          </w:p>
        </w:tc>
        <w:tc>
          <w:tcPr>
            <w:tcW w:w="6748" w:type="dxa"/>
            <w:gridSpan w:val="7"/>
            <w:tcBorders>
              <w:top w:val="single" w:sz="6" w:space="0" w:color="auto"/>
              <w:left w:val="single" w:sz="6" w:space="0" w:color="auto"/>
              <w:bottom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预算    资金</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vMerge/>
            <w:tcBorders>
              <w:top w:val="single" w:sz="6" w:space="0" w:color="auto"/>
              <w:left w:val="single" w:sz="6" w:space="0" w:color="auto"/>
              <w:bottom w:val="single" w:sz="6" w:space="0" w:color="auto"/>
              <w:right w:val="single" w:sz="6" w:space="0" w:color="auto"/>
            </w:tcBorders>
          </w:tcPr>
          <w:p/>
        </w:tc>
        <w:tc>
          <w:tcPr>
            <w:tcW w:w="709"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一般公共预算拨款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基金预算拨款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国有资本经营预算拨款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财政专户核拨</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单位    资金</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2"/>
            </w:pPr>
            <w:r>
              <w:t>合  计</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709" w:type="dxa"/>
            <w:tcBorders>
              <w:top w:val="single" w:sz="6" w:space="0" w:color="auto"/>
              <w:left w:val="single" w:sz="6" w:space="0" w:color="auto"/>
              <w:bottom w:val="single" w:sz="6" w:space="0" w:color="auto"/>
              <w:right w:val="single" w:sz="6" w:space="0" w:color="auto"/>
            </w:tcBorders>
            <w:vAlign w:val="center"/>
          </w:tcPr>
          <w:p>
            <w:pPr>
              <w:pStyle w:val="22"/>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159.00</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159.00</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vAlign w:val="center"/>
          </w:tcPr>
          <w:p>
            <w:pPr>
              <w:pStyle w:val="23"/>
            </w:pPr>
            <w:r>
              <w:t>159.00</w:t>
            </w:r>
          </w:p>
        </w:tc>
      </w:tr>
      <w:tr>
        <w:trPr>
          <w:cantSplit/>
        </w:trPr>
        <w:tc>
          <w:tcPr>
            <w:tcW w:w="1701" w:type="dxa"/>
            <w:vAlign w:val="center"/>
          </w:tcPr>
          <w:p>
            <w:pPr>
              <w:pStyle w:val="22"/>
            </w:pPr>
            <w:r>
              <w:t>隆尧县千户营乡人民政府本级小计</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709" w:type="dxa"/>
            <w:tcBorders>
              <w:top w:val="single" w:sz="6" w:space="0" w:color="auto"/>
              <w:left w:val="single" w:sz="6" w:space="0" w:color="auto"/>
              <w:bottom w:val="single" w:sz="6" w:space="0" w:color="auto"/>
              <w:right w:val="single" w:sz="6" w:space="0" w:color="auto"/>
            </w:tcBorders>
            <w:vAlign w:val="center"/>
          </w:tcPr>
          <w:p>
            <w:pPr>
              <w:pStyle w:val="22"/>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159.00</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159.00</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vAlign w:val="center"/>
          </w:tcPr>
          <w:p>
            <w:pPr>
              <w:pStyle w:val="23"/>
            </w:pPr>
            <w:r>
              <w:t>159.00</w:t>
            </w:r>
          </w:p>
        </w:tc>
      </w:tr>
      <w:tr>
        <w:trPr>
          <w:cantSplit/>
        </w:trPr>
        <w:tc>
          <w:tcPr>
            <w:tcW w:w="1701" w:type="dxa"/>
            <w:vAlign w:val="center"/>
          </w:tcPr>
          <w:p>
            <w:pPr>
              <w:pStyle w:val="20"/>
            </w:pPr>
            <w:r>
              <w:t>冀财综[2024]29号/2025年中央彩票公益金/隆尧县2025年千户营乡狮子疙瘩村道路建设项目</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149.00</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城市道路工程施工</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B02050000</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条</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149.00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149.00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149.00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149.00</w:t>
            </w:r>
          </w:p>
        </w:tc>
      </w:tr>
      <w:tr>
        <w:trPr>
          <w:cantSplit/>
        </w:trPr>
        <w:tc>
          <w:tcPr>
            <w:tcW w:w="1701" w:type="dxa"/>
            <w:vAlign w:val="center"/>
          </w:tcPr>
          <w:p>
            <w:pPr>
              <w:pStyle w:val="20"/>
            </w:pPr>
            <w:r>
              <w:t>上年盘活/彩票公益金/隆尧县2025年千户营乡狮子疙瘩村道路建设项目</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城市道路工程施工</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B02050000</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条</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10.00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10.00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隆尧县千户营乡人民政府（含所属单位）上年末固定资产金额为0.00万元（详见下表）。本年度拟购置固定资产总额为0.00万元，已按要求列入政府采购预算，详见政府采购预算表。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810隆尧县千户营乡人民政府</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0000000000000000000"/>
    <w:charset w:val="00"/>
    <w:family w:val="auto"/>
    <w:pitch w:val="variable"/>
    <w:sig w:usb0="00000000" w:usb1="00000000" w:usb2="00000000" w:usb3="00000000" w:csb0="00000000"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altName w:val="DejaVu Sans"/>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文泉驿微米黑">
    <w:panose1 w:val="020B0606030804020204"/>
    <w:charset w:val="86"/>
    <w:family w:val="auto"/>
    <w:pitch w:val="variable"/>
    <w:sig w:usb0="E10002EF" w:usb1="6BDFFCFB" w:usb2="00800036" w:usb3="00000000" w:csb0="603E01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55</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56</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文泉驿微米黑" w:eastAsia="黑体" w:hAnsi="文泉驿微米黑"/>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F0222C80-D4A8-4635-BCC2-9EF9D4C4FE58}">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0</TotalTime>
  <Application>Yozo_Office27021597764231179</Application>
  <Pages>63</Pages>
  <Words>0</Words>
  <Characters>23802</Characters>
  <Lines>0</Lines>
  <Paragraphs>274</Paragraphs>
  <CharactersWithSpaces>31737</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HUAWEI</cp:lastModifiedBy>
  <cp:revision>1</cp:revision>
  <dcterms:created xsi:type="dcterms:W3CDTF">2025-02-27T10:55:12Z</dcterms:created>
  <dcterms:modified xsi:type="dcterms:W3CDTF">2025-04-30T02:32:42Z</dcterms:modified>
</cp:coreProperties>
</file>