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t>5</w:t>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t>6</w:t>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t>9</w:t>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t>1</w:t>
      </w:r>
      <w:r>
        <w:fldChar w:fldCharType="end"/>
      </w:r>
      <w:r>
        <w:t>0</w:t>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12</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13</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t>2</w:t>
      </w:r>
      <w:r>
        <w:fldChar w:fldCharType="end"/>
      </w:r>
      <w:r>
        <w:t>0</w:t>
      </w:r>
    </w:p>
    <w:p>
      <w:pPr>
        <w:pStyle w:val="35"/>
        <w:tabs>
          <w:tab w:val="right" w:leader="dot" w:pos="14562"/>
        </w:tabs>
      </w:pPr>
      <w:r>
        <w:fldChar w:fldCharType="begin"/>
      </w:r>
      <w:r>
        <w:instrText>Hyperlink \l "_Toc_3_3_0000000017"</w:instrText>
      </w:r>
      <w:r>
        <w:fldChar w:fldCharType="separate"/>
      </w:r>
      <w:r>
        <w:t>八、政府采购预算情况</w:t>
        <w:tab/>
        <w:t>2</w:t>
      </w:r>
      <w:r>
        <w:fldChar w:fldCharType="end"/>
      </w:r>
      <w:r>
        <w:t>2</w:t>
      </w:r>
    </w:p>
    <w:p>
      <w:pPr>
        <w:pStyle w:val="35"/>
        <w:tabs>
          <w:tab w:val="right" w:leader="dot" w:pos="14562"/>
        </w:tabs>
      </w:pPr>
      <w:r>
        <w:fldChar w:fldCharType="begin"/>
      </w:r>
      <w:r>
        <w:instrText>Hyperlink \l "_Toc_3_3_0000000018"</w:instrText>
      </w:r>
      <w:r>
        <w:fldChar w:fldCharType="separate"/>
      </w:r>
      <w:r>
        <w:t>九、国有资产信息</w:t>
        <w:tab/>
        <w:t>2</w:t>
      </w:r>
      <w:r>
        <w:fldChar w:fldCharType="end"/>
      </w:r>
      <w:r>
        <w:t>2</w:t>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23</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283中共隆尧县委党史研究室</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top w:val="single" w:sz="6" w:space="0" w:color="auto"/>
              <w:left w:val="single" w:sz="6" w:space="0" w:color="auto"/>
              <w:bottom w:val="single" w:sz="6" w:space="0" w:color="auto"/>
              <w:right w:val="single" w:sz="6" w:space="0" w:color="auto"/>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2126"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2126"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一、一般公共预算拨款收入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r>
              <w:t>48.62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一、一般公共服务支出</w:t>
            </w:r>
          </w:p>
        </w:tc>
        <w:tc>
          <w:tcPr>
            <w:tcW w:w="2126" w:type="dxa"/>
            <w:vAlign w:val="center"/>
          </w:tcPr>
          <w:p>
            <w:pPr>
              <w:pStyle w:val="19"/>
            </w:pPr>
            <w:r>
              <w:t>41.07</w:t>
            </w:r>
          </w:p>
        </w:tc>
      </w:tr>
      <w:tr>
        <w:trPr>
          <w:trHeight w:val="369"/>
        </w:trPr>
        <w:tc>
          <w:tcPr>
            <w:tcW w:w="850" w:type="dxa"/>
            <w:vAlign w:val="center"/>
          </w:tcPr>
          <w:p>
            <w:pPr>
              <w:pStyle w:val="21"/>
            </w:pPr>
            <w:r>
              <w:t>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二、政府性基金预算拨款收入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三、国有资本经营预算拨款收入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四、财政专户管理资金收入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五、单位资金</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八、社会保障和就业支出</w:t>
            </w:r>
          </w:p>
        </w:tc>
        <w:tc>
          <w:tcPr>
            <w:tcW w:w="2126" w:type="dxa"/>
            <w:vAlign w:val="center"/>
          </w:tcPr>
          <w:p>
            <w:pPr>
              <w:pStyle w:val="19"/>
            </w:pPr>
            <w:r>
              <w:t>3.34</w:t>
            </w:r>
          </w:p>
        </w:tc>
      </w:tr>
      <w:tr>
        <w:trPr>
          <w:trHeight w:val="369"/>
        </w:trPr>
        <w:tc>
          <w:tcPr>
            <w:tcW w:w="850" w:type="dxa"/>
            <w:vAlign w:val="center"/>
          </w:tcPr>
          <w:p>
            <w:pPr>
              <w:pStyle w:val="21"/>
            </w:pPr>
            <w:r>
              <w:t>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十、卫生健康支出</w:t>
            </w:r>
          </w:p>
        </w:tc>
        <w:tc>
          <w:tcPr>
            <w:tcW w:w="2126" w:type="dxa"/>
            <w:vAlign w:val="center"/>
          </w:tcPr>
          <w:p>
            <w:pPr>
              <w:pStyle w:val="19"/>
            </w:pPr>
            <w:r>
              <w:t>1.51</w:t>
            </w:r>
          </w:p>
        </w:tc>
      </w:tr>
      <w:tr>
        <w:trPr>
          <w:trHeight w:val="369"/>
        </w:trPr>
        <w:tc>
          <w:tcPr>
            <w:tcW w:w="850" w:type="dxa"/>
            <w:vAlign w:val="center"/>
          </w:tcPr>
          <w:p>
            <w:pPr>
              <w:pStyle w:val="21"/>
            </w:pPr>
            <w:r>
              <w:t>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二十、住房保障支出</w:t>
            </w:r>
          </w:p>
        </w:tc>
        <w:tc>
          <w:tcPr>
            <w:tcW w:w="2126" w:type="dxa"/>
            <w:vAlign w:val="center"/>
          </w:tcPr>
          <w:p>
            <w:pPr>
              <w:pStyle w:val="19"/>
            </w:pPr>
            <w:r>
              <w:t>2.70</w:t>
            </w:r>
          </w:p>
        </w:tc>
      </w:tr>
      <w:tr>
        <w:trPr>
          <w:trHeight w:val="369"/>
        </w:trPr>
        <w:tc>
          <w:tcPr>
            <w:tcW w:w="850" w:type="dxa"/>
            <w:vAlign w:val="center"/>
          </w:tcPr>
          <w:p>
            <w:pPr>
              <w:pStyle w:val="21"/>
            </w:pPr>
            <w:r>
              <w:t>21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三十一、人行科目</w:t>
            </w:r>
          </w:p>
        </w:tc>
        <w:tc>
          <w:tcPr>
            <w:tcW w:w="2126" w:type="dxa"/>
            <w:vAlign w:val="center"/>
          </w:tcPr>
          <w:p>
            <w:pPr>
              <w:pStyle w:val="19"/>
            </w:pPr>
          </w:p>
        </w:tc>
      </w:tr>
      <w:tr>
        <w:trPr>
          <w:trHeight w:val="369"/>
        </w:trPr>
        <w:tc>
          <w:tcPr>
            <w:tcW w:w="850" w:type="dxa"/>
            <w:vAlign w:val="center"/>
          </w:tcPr>
          <w:p>
            <w:pPr>
              <w:pStyle w:val="21"/>
            </w:pPr>
            <w:r>
              <w:t>32</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本年收入合计</w:t>
            </w:r>
          </w:p>
        </w:tc>
        <w:tc>
          <w:tcPr>
            <w:tcW w:w="2126"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本年支出合计</w:t>
            </w:r>
          </w:p>
        </w:tc>
        <w:tc>
          <w:tcPr>
            <w:tcW w:w="2126" w:type="dxa"/>
            <w:vAlign w:val="center"/>
          </w:tcPr>
          <w:p>
            <w:pPr>
              <w:pStyle w:val="23"/>
            </w:pPr>
            <w:r>
              <w:t>48.62</w:t>
            </w:r>
          </w:p>
        </w:tc>
      </w:tr>
      <w:tr>
        <w:trPr>
          <w:trHeight w:val="369"/>
        </w:trPr>
        <w:tc>
          <w:tcPr>
            <w:tcW w:w="850" w:type="dxa"/>
            <w:vAlign w:val="center"/>
          </w:tcPr>
          <w:p>
            <w:pPr>
              <w:pStyle w:val="21"/>
            </w:pPr>
            <w:r>
              <w:t>33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上年结转结余</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34</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收入总计</w:t>
            </w:r>
          </w:p>
        </w:tc>
        <w:tc>
          <w:tcPr>
            <w:tcW w:w="2126"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支出总计</w:t>
            </w:r>
          </w:p>
        </w:tc>
        <w:tc>
          <w:tcPr>
            <w:tcW w:w="2126" w:type="dxa"/>
            <w:vAlign w:val="center"/>
          </w:tcPr>
          <w:p>
            <w:pPr>
              <w:pStyle w:val="23"/>
            </w:pPr>
            <w:r>
              <w:t>48.62</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283中共隆尧县委党史研究室</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1134"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9072" w:type="dxa"/>
            <w:gridSpan w:val="8"/>
            <w:tcBorders>
              <w:top w:val="single" w:sz="6" w:space="0" w:color="auto"/>
              <w:left w:val="single" w:sz="6" w:space="0" w:color="auto"/>
              <w:bottom w:val="single" w:sz="6" w:space="0" w:color="auto"/>
              <w:right w:val="single" w:sz="6" w:space="0" w:color="auto"/>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科目    编码</w:t>
            </w:r>
          </w:p>
        </w:tc>
        <w:tc>
          <w:tcPr>
            <w:tcW w:w="1559"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1134" w:type="dxa"/>
            <w:vMerge/>
            <w:tcBorders>
              <w:top w:val="single" w:sz="6" w:space="0" w:color="auto"/>
              <w:left w:val="single" w:sz="6" w:space="0" w:color="auto"/>
              <w:bottom w:val="single" w:sz="6" w:space="0" w:color="auto"/>
              <w:right w:val="single" w:sz="6" w:space="0" w:color="auto"/>
            </w:tcBorders>
          </w:tcP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小计</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财政拨款 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财政专户 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事业收入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经营收入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上级补助收入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附属单位上缴收入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1559"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5</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6</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7</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8</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9</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top w:val="single" w:sz="6" w:space="0" w:color="auto"/>
              <w:left w:val="single" w:sz="6" w:space="0" w:color="auto"/>
              <w:bottom w:val="single" w:sz="6" w:space="0" w:color="auto"/>
              <w:right w:val="single" w:sz="6" w:space="0" w:color="auto"/>
            </w:tcBorders>
            <w:vAlign w:val="center"/>
          </w:tcPr>
          <w:p>
            <w:pPr>
              <w:pStyle w:val="24"/>
            </w:pPr>
          </w:p>
        </w:tc>
        <w:tc>
          <w:tcPr>
            <w:tcW w:w="1559"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一般公共服务支出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20131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党委办公厅（室）及相关机构事务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2013101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2013102</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一般行政管理事务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2013105</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专项业务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2.50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2.50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2.50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社会保障和就业支出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行政事业单位养老支出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2080505</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卫生健康支出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行政事业单位医疗</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行政单位医疗</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住房保障支出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住房改革支出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283中共隆尧县委党史研究室</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项目支出</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经营支出</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科目    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Pr>
          <w:p/>
        </w:tc>
      </w:tr>
      <w:tr>
        <w:trPr>
          <w:trHeight w:val="369"/>
          <w:tblHeader/>
        </w:trPr>
        <w:tc>
          <w:tcPr>
            <w:tcW w:w="850" w:type="dxa"/>
            <w:vAlign w:val="center"/>
          </w:tcPr>
          <w:p>
            <w:pPr>
              <w:pStyle w:val="18"/>
            </w:pPr>
            <w:r>
              <w:t>栏次</w:t>
            </w: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5</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6</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top w:val="single" w:sz="6" w:space="0" w:color="auto"/>
              <w:left w:val="single" w:sz="6" w:space="0" w:color="auto"/>
              <w:bottom w:val="single" w:sz="6" w:space="0" w:color="auto"/>
              <w:right w:val="single" w:sz="6" w:space="0" w:color="auto"/>
            </w:tcBorders>
            <w:vAlign w:val="center"/>
          </w:tcPr>
          <w:p>
            <w:pPr>
              <w:pStyle w:val="24"/>
            </w:pP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r>
              <w:t>44.62</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r>
              <w:t>4.00</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一般公共服务支出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20131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党委办公厅（室）及相关机构事务</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2013101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2013102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一般行政管理事务</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2013105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专项业务</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2.50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2.50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社会保障和就业支出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行政事业单位养老支出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卫生健康支出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行政事业单位医疗</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行政单位医疗</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住房保障支出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住房改革支出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283中共隆尧县委党史研究室</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top w:val="single" w:sz="6" w:space="0" w:color="auto"/>
              <w:left w:val="single" w:sz="6" w:space="0" w:color="auto"/>
              <w:bottom w:val="single" w:sz="6" w:space="0" w:color="auto"/>
              <w:right w:val="single" w:sz="6" w:space="0" w:color="auto"/>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金额</w:t>
            </w: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一般公共预算财政拨款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5</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一、一般公共预算拨款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48.62</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一、一般公共服务支出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二、政府性基金预算拨款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二、外交支出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三、国有资本经营预算拨款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三、国防支出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四、公共安全支出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五、教育支出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六、科学技术支出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七、文化旅游体育与传媒支出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八、社会保障和就业支出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九、社会保险基金支出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十、卫生健康支出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十一、节能环保支出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十二、城乡社区支出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十三、农林水支出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十四、交通运输支出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十五、资源勘探工业信息等支出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十六、商业服务业等支出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十七、金融支出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十八、援助其他地区支出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十九、自然资源海洋气象等支出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二十、住房保障支出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二十一、粮油物资储备支出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二十二、国有资本经营预算支出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二十三、灾害防治及应急管理支出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二十四、预备费</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二十五、其他支出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二十六、转移性支出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二十七、债务还本支出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二十八、债务付息支出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二十九、债务发行费用支出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三十、抗疫特别国债安排的支出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三十一、人行科目</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本年收入合计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本年支出合计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年初财政拨款结转和结余</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年末财政拨款结转和结余</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一、一般公共预算拨款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二、政府性基金预算拨款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三、国有资本经营预算拨款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收入总计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支出总计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283中共隆尧县委党史研究室</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auto"/>
              <w:left w:val="single" w:sz="6" w:space="0" w:color="auto"/>
              <w:bottom w:val="single" w:sz="6" w:space="0" w:color="auto"/>
              <w:right w:val="single" w:sz="6" w:space="0" w:color="auto"/>
            </w:tcBorders>
            <w:vAlign w:val="center"/>
          </w:tcPr>
          <w:p>
            <w:pPr>
              <w:pStyle w:val="24"/>
            </w:pP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44.62</w:t>
            </w:r>
          </w:p>
        </w:tc>
        <w:tc>
          <w:tcPr>
            <w:tcW w:w="2551" w:type="dxa"/>
            <w:vAlign w:val="center"/>
          </w:tcPr>
          <w:p>
            <w:pPr>
              <w:pStyle w:val="23"/>
            </w:pPr>
            <w:r>
              <w:t>4.00</w:t>
            </w:r>
          </w:p>
        </w:tc>
      </w:tr>
      <w:tr>
        <w:trPr>
          <w:trHeight w:val="369"/>
        </w:trPr>
        <w:tc>
          <w:tcPr>
            <w:tcW w:w="850" w:type="dxa"/>
            <w:vAlign w:val="center"/>
          </w:tcPr>
          <w:p>
            <w:pPr>
              <w:pStyle w:val="21"/>
            </w:pPr>
            <w:r>
              <w:t>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一般公共服务支出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2551" w:type="dxa"/>
            <w:vAlign w:val="center"/>
          </w:tcPr>
          <w:p>
            <w:pPr>
              <w:pStyle w:val="19"/>
            </w:pPr>
            <w:r>
              <w:t>4.00</w:t>
            </w:r>
          </w:p>
        </w:tc>
      </w:tr>
      <w:tr>
        <w:trPr>
          <w:trHeight w:val="369"/>
        </w:trPr>
        <w:tc>
          <w:tcPr>
            <w:tcW w:w="850" w:type="dxa"/>
            <w:vAlign w:val="center"/>
          </w:tcPr>
          <w:p>
            <w:pPr>
              <w:pStyle w:val="21"/>
            </w:pPr>
            <w:r>
              <w:t>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20131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党委办公厅（室）及相关机构事务</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2551" w:type="dxa"/>
            <w:vAlign w:val="center"/>
          </w:tcPr>
          <w:p>
            <w:pPr>
              <w:pStyle w:val="19"/>
            </w:pPr>
            <w:r>
              <w:t>4.00</w:t>
            </w:r>
          </w:p>
        </w:tc>
      </w:tr>
      <w:tr>
        <w:trPr>
          <w:trHeight w:val="369"/>
        </w:trPr>
        <w:tc>
          <w:tcPr>
            <w:tcW w:w="850" w:type="dxa"/>
            <w:vAlign w:val="center"/>
          </w:tcPr>
          <w:p>
            <w:pPr>
              <w:pStyle w:val="21"/>
            </w:pPr>
            <w:r>
              <w:t>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2013101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2013102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一般行政管理事务</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1.50</w:t>
            </w:r>
          </w:p>
        </w:tc>
      </w:tr>
      <w:tr>
        <w:trPr>
          <w:trHeight w:val="369"/>
        </w:trPr>
        <w:tc>
          <w:tcPr>
            <w:tcW w:w="850" w:type="dxa"/>
            <w:vAlign w:val="center"/>
          </w:tcPr>
          <w:p>
            <w:pPr>
              <w:pStyle w:val="21"/>
            </w:pPr>
            <w:r>
              <w:t>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2013105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专项业务</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2.50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2.50</w:t>
            </w:r>
          </w:p>
        </w:tc>
      </w:tr>
      <w:tr>
        <w:trPr>
          <w:trHeight w:val="369"/>
        </w:trPr>
        <w:tc>
          <w:tcPr>
            <w:tcW w:w="850" w:type="dxa"/>
            <w:vAlign w:val="center"/>
          </w:tcPr>
          <w:p>
            <w:pPr>
              <w:pStyle w:val="21"/>
            </w:pPr>
            <w:r>
              <w:t>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社会保障和就业支出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行政事业单位养老支出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2080505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卫生健康支出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行政事业单位医疗</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2101101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行政单位医疗</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住房保障支出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住房改革支出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2210201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283中共隆尧县委党史研究室</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auto"/>
              <w:left w:val="single" w:sz="6" w:space="0" w:color="auto"/>
              <w:bottom w:val="single" w:sz="6" w:space="0" w:color="auto"/>
              <w:right w:val="single" w:sz="6" w:space="0" w:color="auto"/>
            </w:tcBorders>
            <w:vAlign w:val="center"/>
          </w:tcPr>
          <w:p>
            <w:pPr>
              <w:pStyle w:val="24"/>
            </w:pP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44.62</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41.44</w:t>
            </w:r>
          </w:p>
        </w:tc>
        <w:tc>
          <w:tcPr>
            <w:tcW w:w="2551" w:type="dxa"/>
            <w:vAlign w:val="center"/>
          </w:tcPr>
          <w:p>
            <w:pPr>
              <w:pStyle w:val="23"/>
            </w:pPr>
            <w:r>
              <w:t>3.18</w:t>
            </w:r>
          </w:p>
        </w:tc>
      </w:tr>
      <w:tr>
        <w:trPr>
          <w:trHeight w:val="369"/>
        </w:trPr>
        <w:tc>
          <w:tcPr>
            <w:tcW w:w="850" w:type="dxa"/>
            <w:vAlign w:val="center"/>
          </w:tcPr>
          <w:p>
            <w:pPr>
              <w:pStyle w:val="21"/>
            </w:pPr>
            <w:r>
              <w:t>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工资福利支出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36.04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36.04</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基本工资</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16.36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16.36</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津贴补贴</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4.92</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4.92</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奖金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6.28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6.28</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职工基本医疗保险缴费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30112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其他社会保障缴费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0.93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0.93</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商品和服务支出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3.18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3.18</w:t>
            </w:r>
          </w:p>
        </w:tc>
      </w:tr>
      <w:tr>
        <w:trPr>
          <w:trHeight w:val="369"/>
        </w:trPr>
        <w:tc>
          <w:tcPr>
            <w:tcW w:w="850" w:type="dxa"/>
            <w:vAlign w:val="center"/>
          </w:tcPr>
          <w:p>
            <w:pPr>
              <w:pStyle w:val="21"/>
            </w:pPr>
            <w:r>
              <w:t>11</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办公费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0.73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0.73</w:t>
            </w:r>
          </w:p>
        </w:tc>
      </w:tr>
      <w:tr>
        <w:trPr>
          <w:trHeight w:val="369"/>
        </w:trPr>
        <w:tc>
          <w:tcPr>
            <w:tcW w:w="850" w:type="dxa"/>
            <w:vAlign w:val="center"/>
          </w:tcPr>
          <w:p>
            <w:pPr>
              <w:pStyle w:val="21"/>
            </w:pPr>
            <w:r>
              <w:t>12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印刷费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0.06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0.06</w:t>
            </w:r>
          </w:p>
        </w:tc>
      </w:tr>
      <w:tr>
        <w:trPr>
          <w:trHeight w:val="369"/>
        </w:trPr>
        <w:tc>
          <w:tcPr>
            <w:tcW w:w="850" w:type="dxa"/>
            <w:vAlign w:val="center"/>
          </w:tcPr>
          <w:p>
            <w:pPr>
              <w:pStyle w:val="21"/>
            </w:pPr>
            <w:r>
              <w:t>13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0.03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0.03</w:t>
            </w:r>
          </w:p>
        </w:tc>
      </w:tr>
      <w:tr>
        <w:trPr>
          <w:trHeight w:val="369"/>
        </w:trPr>
        <w:tc>
          <w:tcPr>
            <w:tcW w:w="850" w:type="dxa"/>
            <w:vAlign w:val="center"/>
          </w:tcPr>
          <w:p>
            <w:pPr>
              <w:pStyle w:val="21"/>
            </w:pPr>
            <w:r>
              <w:t>14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电费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0.03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0.03</w:t>
            </w:r>
          </w:p>
        </w:tc>
      </w:tr>
      <w:tr>
        <w:trPr>
          <w:trHeight w:val="369"/>
        </w:trPr>
        <w:tc>
          <w:tcPr>
            <w:tcW w:w="850" w:type="dxa"/>
            <w:vAlign w:val="center"/>
          </w:tcPr>
          <w:p>
            <w:pPr>
              <w:pStyle w:val="21"/>
            </w:pPr>
            <w:r>
              <w:t>15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邮电费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0.15</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0.15</w:t>
            </w:r>
          </w:p>
        </w:tc>
      </w:tr>
      <w:tr>
        <w:trPr>
          <w:trHeight w:val="369"/>
        </w:trPr>
        <w:tc>
          <w:tcPr>
            <w:tcW w:w="850" w:type="dxa"/>
            <w:vAlign w:val="center"/>
          </w:tcPr>
          <w:p>
            <w:pPr>
              <w:pStyle w:val="21"/>
            </w:pPr>
            <w:r>
              <w:t>16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取暖费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0.09</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0.09</w:t>
            </w:r>
          </w:p>
        </w:tc>
      </w:tr>
      <w:tr>
        <w:trPr>
          <w:trHeight w:val="369"/>
        </w:trPr>
        <w:tc>
          <w:tcPr>
            <w:tcW w:w="850" w:type="dxa"/>
            <w:vAlign w:val="center"/>
          </w:tcPr>
          <w:p>
            <w:pPr>
              <w:pStyle w:val="21"/>
            </w:pPr>
            <w:r>
              <w:t>17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差旅费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0.05</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0.05</w:t>
            </w:r>
          </w:p>
        </w:tc>
      </w:tr>
      <w:tr>
        <w:trPr>
          <w:trHeight w:val="369"/>
        </w:trPr>
        <w:tc>
          <w:tcPr>
            <w:tcW w:w="850" w:type="dxa"/>
            <w:vAlign w:val="center"/>
          </w:tcPr>
          <w:p>
            <w:pPr>
              <w:pStyle w:val="21"/>
            </w:pPr>
            <w:r>
              <w:t>18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30239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其他交通费用</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1.98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1.98</w:t>
            </w:r>
          </w:p>
        </w:tc>
      </w:tr>
      <w:tr>
        <w:trPr>
          <w:trHeight w:val="369"/>
        </w:trPr>
        <w:tc>
          <w:tcPr>
            <w:tcW w:w="850" w:type="dxa"/>
            <w:vAlign w:val="center"/>
          </w:tcPr>
          <w:p>
            <w:pPr>
              <w:pStyle w:val="21"/>
            </w:pPr>
            <w:r>
              <w:t>19</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30299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其他商品和服务支出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0.06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0.06</w:t>
            </w:r>
          </w:p>
        </w:tc>
      </w:tr>
      <w:tr>
        <w:trPr>
          <w:trHeight w:val="369"/>
        </w:trPr>
        <w:tc>
          <w:tcPr>
            <w:tcW w:w="850" w:type="dxa"/>
            <w:vAlign w:val="center"/>
          </w:tcPr>
          <w:p>
            <w:pPr>
              <w:pStyle w:val="21"/>
            </w:pPr>
            <w:r>
              <w:t>20</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对个人和家庭的补助</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5.40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5.40</w:t>
            </w:r>
          </w:p>
        </w:tc>
        <w:tc>
          <w:tcPr>
            <w:tcW w:w="2551" w:type="dxa"/>
            <w:vAlign w:val="center"/>
          </w:tcPr>
          <w:p>
            <w:pPr>
              <w:pStyle w:val="19"/>
            </w:pPr>
          </w:p>
        </w:tc>
      </w:tr>
      <w:tr>
        <w:trPr>
          <w:trHeight w:val="369"/>
        </w:trPr>
        <w:tc>
          <w:tcPr>
            <w:tcW w:w="850" w:type="dxa"/>
            <w:vAlign w:val="center"/>
          </w:tcPr>
          <w:p>
            <w:pPr>
              <w:pStyle w:val="21"/>
            </w:pPr>
            <w:r>
              <w:t>21</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30302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退休费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5.40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5.40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283中共隆尧县委党史研究室</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283中共隆尧县委党史研究室</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283中共隆尧县委党史研究室</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top w:val="single" w:sz="6" w:space="0" w:color="auto"/>
              <w:left w:val="single" w:sz="6" w:space="0" w:color="auto"/>
              <w:bottom w:val="single" w:sz="6" w:space="0" w:color="auto"/>
              <w:right w:val="single" w:sz="6" w:space="0" w:color="auto"/>
            </w:tcBorders>
          </w:tcP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一般公共预算              财政拨款</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top w:val="single" w:sz="6" w:space="0" w:color="auto"/>
              <w:left w:val="single" w:sz="6" w:space="0" w:color="auto"/>
              <w:bottom w:val="single" w:sz="6" w:space="0" w:color="auto"/>
              <w:right w:val="single" w:sz="6" w:space="0" w:color="auto"/>
            </w:tcBorders>
            <w:vAlign w:val="center"/>
          </w:tcPr>
          <w:p>
            <w:pPr>
              <w:pStyle w:val="20"/>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中共隆尧县委党史研究室2025年部门预算信息公开情况说明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中共隆尧县委党史研究室2025年部门预算信息公开情况说明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按照《中华人民共和国预算法》、《地方预决算公开操作规程》和《关于进一步推进预算公开工作的实施意见》规定，现将中共隆尧县委党史研究室2025年部门预算公开如下：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ind w:firstLineChars="200" w:firstLine="560"/>
        <w:rPr>
          <w:rFonts w:eastAsia="方正仿宋_GBK" w:hint="eastAsia"/>
          <w:sz w:val="28"/>
        </w:rPr>
      </w:pPr>
      <w:r>
        <w:rPr>
          <w:rFonts w:eastAsia="方正仿宋_GBK" w:hint="eastAsia"/>
          <w:sz w:val="28"/>
        </w:rPr>
        <w:t>(一)根据中央及省、市委党史部门的部署，组织本辖区内民主革命时期、社会主义建设时期和改革开放时期党史资料的征集、编纂、研究和宣传教育工作，</w:t>
      </w:r>
    </w:p>
    <w:p>
      <w:pPr>
        <w:ind w:firstLineChars="200" w:firstLine="560"/>
        <w:rPr>
          <w:rFonts w:eastAsia="方正仿宋_GBK" w:hint="eastAsia"/>
          <w:sz w:val="28"/>
        </w:rPr>
      </w:pPr>
      <w:r>
        <w:rPr>
          <w:rFonts w:eastAsia="方正仿宋_GBK" w:hint="eastAsia"/>
          <w:sz w:val="28"/>
        </w:rPr>
        <w:t>(二)负责党史资料、党史图书的整理、归档、管理和开发利用。</w:t>
      </w:r>
    </w:p>
    <w:p>
      <w:pPr>
        <w:ind w:firstLineChars="200" w:firstLine="560"/>
        <w:rPr>
          <w:rFonts w:eastAsia="方正仿宋_GBK" w:hint="eastAsia"/>
          <w:sz w:val="28"/>
        </w:rPr>
      </w:pPr>
      <w:r>
        <w:rPr>
          <w:rFonts w:eastAsia="方正仿宋_GBK" w:hint="eastAsia"/>
          <w:sz w:val="28"/>
        </w:rPr>
        <w:t>(三)推动党史成果的转化，向广大党史干部群众进行党史、革命传统教育。配合有关部门对青少年进行爱国主义、集体主义和革命传统教育。</w:t>
      </w:r>
    </w:p>
    <w:p>
      <w:pPr>
        <w:ind w:firstLineChars="200" w:firstLine="560"/>
        <w:rPr>
          <w:rFonts w:eastAsia="方正仿宋_GBK"/>
          <w:sz w:val="28"/>
        </w:rPr>
      </w:pPr>
      <w:r>
        <w:rPr>
          <w:rFonts w:eastAsia="方正仿宋_GBK" w:hint="eastAsia"/>
          <w:sz w:val="28"/>
        </w:rPr>
        <w:t>(四)负责对本县辖区内编写、使用、出售的党史书籍、刊物及以党史为题材的文艺作品进行审查、鉴定;协助审查本辖区党史，革命英烈的展览、纪念馆陈列等。</w:t>
      </w:r>
    </w:p>
    <w:p>
      <w:pPr>
        <w:ind w:firstLineChars="200" w:firstLine="560"/>
        <w:rPr>
          <w:rFonts w:hint="eastAsia"/>
          <w:sz w:val="30"/>
          <w:szCs w:val="30"/>
        </w:rPr>
      </w:pPr>
      <w:r>
        <w:rPr>
          <w:rFonts w:eastAsia="方正仿宋_GBK" w:hint="eastAsia"/>
          <w:sz w:val="28"/>
        </w:rPr>
        <w:t>(五)围绕县委中心工作，开展党史专题研究。</w:t>
      </w:r>
    </w:p>
    <w:p>
      <w:pPr>
        <w:pStyle w:val="25"/>
      </w:pPr>
      <w:r>
        <w:rPr>
          <w:rFonts w:hint="eastAsia"/>
          <w:sz w:val="30"/>
          <w:szCs w:val="30"/>
        </w:rPr>
        <w:t>(六)完成中央和省市委党史部门布置的党史资料征编研宣任务。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中共隆尧县委党史研究室本级</w:t>
            </w:r>
          </w:p>
        </w:tc>
        <w:tc>
          <w:tcPr>
            <w:tcW w:w="1843" w:type="dxa"/>
            <w:tcBorders>
              <w:top w:val="single" w:sz="6" w:space="0" w:color="auto"/>
              <w:left w:val="single" w:sz="6" w:space="0" w:color="auto"/>
              <w:bottom w:val="single" w:sz="6" w:space="0" w:color="auto"/>
              <w:right w:val="single" w:sz="6" w:space="0" w:color="auto"/>
            </w:tcBorders>
            <w:vAlign w:val="center"/>
          </w:tcPr>
          <w:p>
            <w:pPr>
              <w:pStyle w:val="21"/>
            </w:pPr>
            <w:r>
              <w:t>事业</w:t>
            </w:r>
          </w:p>
        </w:tc>
        <w:tc>
          <w:tcPr>
            <w:tcW w:w="2126" w:type="dxa"/>
            <w:tcBorders>
              <w:top w:val="single" w:sz="6" w:space="0" w:color="auto"/>
              <w:left w:val="single" w:sz="6" w:space="0" w:color="auto"/>
              <w:bottom w:val="single" w:sz="6" w:space="0" w:color="auto"/>
              <w:right w:val="single" w:sz="6" w:space="0" w:color="auto"/>
            </w:tcBorders>
            <w:vAlign w:val="center"/>
          </w:tcPr>
          <w:p>
            <w:pPr>
              <w:pStyle w:val="21"/>
            </w:pPr>
            <w:r>
              <w:t>正科级</w:t>
            </w:r>
          </w:p>
        </w:tc>
        <w:tc>
          <w:tcPr>
            <w:tcW w:w="3827" w:type="dxa"/>
            <w:vAlign w:val="center"/>
          </w:tcPr>
          <w:p>
            <w:pPr>
              <w:pStyle w:val="21"/>
            </w:pPr>
            <w:r>
              <w:t>财政性资金基本保证</w:t>
            </w:r>
          </w:p>
        </w:tc>
      </w:tr>
    </w:tbl>
    <w:p>
      <w:pPr>
        <w:spacing w:before="10" w:after="10" w:line="360" w:lineRule="auto"/>
        <w:ind w:firstLine="640"/>
        <w:jc w:val="left"/>
        <w:outlineLvl w:val="2"/>
        <w:rPr>
          <w:rFonts w:ascii="黑体" w:eastAsia="黑体" w:cs="黑体" w:hAnsi="黑体"/>
          <w:color w:val="000000"/>
          <w:sz w:val="32"/>
        </w:rPr>
      </w:pPr>
      <w:bookmarkStart w:id="10" w:name="_Toc_3_3_0000000011"/>
    </w:p>
    <w:p>
      <w:pPr>
        <w:spacing w:before="10" w:after="10" w:line="360" w:lineRule="auto"/>
        <w:ind w:firstLine="640"/>
        <w:jc w:val="left"/>
        <w:outlineLvl w:val="2"/>
      </w:pPr>
      <w:r>
        <w:rPr>
          <w:rFonts w:ascii="黑体" w:eastAsia="黑体" w:cs="黑体" w:hAnsi="黑体"/>
          <w:color w:val="000000"/>
          <w:sz w:val="32"/>
        </w:rPr>
        <w:t>二、部门预算安排的总体情况</w:t>
      </w:r>
      <w:bookmarkEnd w:id="10"/>
    </w:p>
    <w:p>
      <w:pPr>
        <w:pStyle w:val="26"/>
      </w:pPr>
      <w:r>
        <w:t>按照预算管理有关规定，目前我部门预算的编制实行综合预算管理，即全部收入和支出都反映的预算中。</w:t>
      </w:r>
      <w:r>
        <w:rPr>
          <w:rFonts w:hint="eastAsia"/>
          <w:lang w:val="en-US" w:eastAsia="zh-CN"/>
        </w:rPr>
        <w:t>中共隆尧县委党史研究室</w:t>
      </w:r>
      <w:r>
        <w:t>的收支包含在部门预算中。</w:t>
      </w:r>
    </w:p>
    <w:p>
      <w:pPr>
        <w:pStyle w:val="26"/>
      </w:pPr>
      <w:r>
        <w:t>1、收入说明</w:t>
      </w:r>
    </w:p>
    <w:p>
      <w:pPr>
        <w:pStyle w:val="26"/>
      </w:pPr>
      <w:r>
        <w:t>反映本部门当年全部收入。2025年预算收入48.62万元，其中：一般公共预算收入48.62万元，国有资本经营预算收入0万元，财政专户核拨收入0万元，单位资金收入0万元，上年结转结余0万元。</w:t>
      </w:r>
    </w:p>
    <w:p>
      <w:pPr>
        <w:pStyle w:val="26"/>
      </w:pPr>
      <w:r>
        <w:t>2、支出说明</w:t>
      </w:r>
    </w:p>
    <w:p>
      <w:pPr>
        <w:pStyle w:val="26"/>
      </w:pPr>
      <w:r>
        <w:t>收支预算总表支出栏、基本支出表、项目支出表按经济分类和支出功能分类科目编制，反映</w:t>
      </w:r>
      <w:r>
        <w:rPr>
          <w:rFonts w:hint="eastAsia"/>
          <w:lang w:val="en-US" w:eastAsia="zh-CN"/>
        </w:rPr>
        <w:t>中共隆尧县委党史研究室202</w:t>
      </w:r>
      <w:r>
        <w:rPr>
          <w:lang w:val="en-US" w:eastAsia="zh-CN"/>
        </w:rPr>
        <w:t>5</w:t>
      </w:r>
      <w:r>
        <w:t>年度部门预算中支出预算的总体情况。2025年部门支出预算为48.62万元，其中包括人员经费41.44万元和</w:t>
      </w:r>
      <w:r>
        <w:rPr>
          <w:rFonts w:hint="eastAsia"/>
          <w:lang w:val="en-US" w:eastAsia="zh-CN"/>
        </w:rPr>
        <w:t>日</w:t>
      </w:r>
      <w:r>
        <w:t>常公用经费3.18万元；项目支出4万元，主要为</w:t>
      </w:r>
      <w:r>
        <w:rPr>
          <w:rFonts w:hint="eastAsia"/>
          <w:lang w:val="en-US" w:eastAsia="zh-CN"/>
        </w:rPr>
        <w:t>党史办党史经费</w:t>
      </w:r>
      <w:r>
        <w:rPr>
          <w:lang w:val="en-US" w:eastAsia="zh-CN"/>
        </w:rPr>
        <w:t>1.5</w:t>
      </w:r>
      <w:r>
        <w:t>万元，</w:t>
      </w:r>
      <w:r>
        <w:rPr>
          <w:rFonts w:hint="eastAsia"/>
          <w:lang w:val="en-US" w:eastAsia="zh-CN"/>
        </w:rPr>
        <w:t>党史编纂经费</w:t>
      </w:r>
      <w:r>
        <w:rPr>
          <w:lang w:val="en-US" w:eastAsia="zh-CN"/>
        </w:rPr>
        <w:t>2.5</w:t>
      </w:r>
      <w:r>
        <w:t>万元。</w:t>
      </w:r>
    </w:p>
    <w:p>
      <w:pPr>
        <w:pStyle w:val="26"/>
      </w:pPr>
      <w:r>
        <w:t>3、比上年增减情况</w:t>
      </w:r>
    </w:p>
    <w:p>
      <w:pPr>
        <w:pStyle w:val="26"/>
      </w:pPr>
      <w:r>
        <w:t>2025年部门预算收支安排48.62万元，较2024年</w:t>
      </w:r>
      <w:r>
        <w:rPr>
          <w:lang w:val="en-US" w:eastAsia="zh-CN"/>
        </w:rPr>
        <w:t>减少20.62</w:t>
      </w:r>
      <w:r>
        <w:t>万元，其中：基本支出</w:t>
      </w:r>
      <w:r>
        <w:rPr>
          <w:lang w:val="en-US" w:eastAsia="zh-CN"/>
        </w:rPr>
        <w:t>减少9.42</w:t>
      </w:r>
      <w:r>
        <w:t>万元，主要为人员经费和日常公用经费</w:t>
      </w:r>
      <w:r>
        <w:rPr>
          <w:lang w:val="en-US" w:eastAsia="zh-CN"/>
        </w:rPr>
        <w:t>减少，退休一人</w:t>
      </w:r>
      <w:r>
        <w:t>；项目支出减少</w:t>
      </w:r>
      <w:r>
        <w:rPr>
          <w:lang w:val="en-US" w:eastAsia="zh-CN"/>
        </w:rPr>
        <w:t>11.2</w:t>
      </w:r>
      <w:r>
        <w:t>万元，主要为</w:t>
      </w:r>
      <w:r>
        <w:rPr>
          <w:rFonts w:hint="eastAsia"/>
          <w:lang w:val="en-US" w:eastAsia="zh-CN"/>
        </w:rPr>
        <w:t>党史编纂经费</w:t>
      </w:r>
      <w:r>
        <w:t>减少。</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27"/>
      </w:pPr>
      <w:r>
        <w:t>2025年，我</w:t>
      </w:r>
      <w:r>
        <w:rPr>
          <w:rFonts w:hint="eastAsia"/>
          <w:lang w:val="en-US" w:eastAsia="zh-CN"/>
        </w:rPr>
        <w:t>部门</w:t>
      </w:r>
      <w:r>
        <w:t>机关运行经费共计安排</w:t>
      </w:r>
      <w:r>
        <w:rPr>
          <w:lang w:val="en-US" w:eastAsia="zh-CN"/>
        </w:rPr>
        <w:t>3.18</w:t>
      </w:r>
      <w:r>
        <w:t>万元，主要用于保证机关正常运转的办公费、</w:t>
      </w:r>
      <w:r>
        <w:rPr>
          <w:rFonts w:hint="eastAsia"/>
          <w:lang w:val="en-US" w:eastAsia="zh-CN"/>
        </w:rPr>
        <w:t>水费、电费、邮电费、取暖费、</w:t>
      </w:r>
      <w:r>
        <w:t>工会费、</w:t>
      </w:r>
      <w:r>
        <w:rPr>
          <w:rFonts w:hint="eastAsia"/>
          <w:lang w:val="en-US" w:eastAsia="zh-CN"/>
        </w:rPr>
        <w:t>福利费、</w:t>
      </w:r>
      <w:r>
        <w:t>其他交通费用、</w:t>
      </w:r>
      <w:r>
        <w:rPr>
          <w:rFonts w:hint="eastAsia"/>
          <w:lang w:val="en-US" w:eastAsia="zh-CN"/>
        </w:rPr>
        <w:t>其他商品和服务支出</w:t>
      </w:r>
      <w:r>
        <w:t>。</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28"/>
        <w:rPr>
          <w:rFonts w:ascii="黑体" w:eastAsia="黑体" w:cs="黑体" w:hAnsi="黑体"/>
          <w:color w:val="000000"/>
          <w:sz w:val="32"/>
        </w:rPr>
      </w:pPr>
      <w:r>
        <w:t>2025年，我部门财政拨款“三公”经费预算安排0万元，其中：因公出国（境）费0万元；公务用车购置及运维费0万元（其中：公务用车购置费0万元，公务用车运行维护费0万元)；公务接待费0万元。与2023年持平，无增减变化。</w:t>
      </w:r>
    </w:p>
    <w:p>
      <w:pPr>
        <w:spacing w:before="10" w:after="10" w:line="360" w:lineRule="auto"/>
        <w:ind w:firstLine="640"/>
        <w:jc w:val="left"/>
        <w:outlineLvl w:val="2"/>
      </w:pPr>
      <w:bookmarkStart w:id="13" w:name="_Toc_3_3_0000000014"/>
      <w:r>
        <w:rPr>
          <w:rFonts w:ascii="黑体" w:eastAsia="黑体" w:cs="黑体" w:hAnsi="黑体"/>
          <w:color w:val="000000"/>
          <w:sz w:val="32"/>
        </w:rPr>
        <w:t>五、部门整体绩效目标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以习近平新时代中国特色社会主义思想为指导，深入学习贯彻党的二十大和二十届三中全会精神，特别是习近平总书记视察河北重要讲话重要指示精神以及关于党史和文献工作的重要论述精神，围绕中心、服务大局，充分发挥“以史鉴今 资政育人”职能，扎实推进机关党的建设，党史资料征编、党史研究、党史宣传教育，党史纪念活动以及机关建设高质量发展，推动党史工作再上新台阶;加强红色资源的挖掘保护利用，传承红色基因， 守好“红色根脉”;加强党史资料征编工作，高标准谋划推进党史资料征编工作水平;加强党史学习教育和“四史”宣传教育，丰富和创新宣传教育内容和形式，增强宣传教育工作的针对性和实效性;建立党史工作协同机制，形成党史工作合力，加强人才队伍建设，争创党史工作强县。</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1、党史研究工作绩效目标：通过开展专题资料、口述资料、照片资料、人物资料等征集工作，深化党史专题研究和资政课题研究工作，发挥党史以史鉴今、资政育人作用；夯实资料征集工作，提高党史资料管理信息化水平。 绩效指标：征集、整理、编辑资料，开展党史研究；根据征集、整理及编辑的资料编纂出版党史书籍。</w:t>
      </w:r>
    </w:p>
    <w:p>
      <w:pPr>
        <w:pStyle w:val="30"/>
      </w:pPr>
      <w:r>
        <w:t xml:space="preserve">2、党史宣传工作绩效目标：通过河北党史网、微信公众号、捐赠党史类书籍、举办党史纪念活动等多种形式，开展党史宣传教育，扩大党史宣传效果；开展党史资政专题调研，刊发党史工作信息，为党史工作者提供相互学习、交流经验平台。 绩效指标：深入社区、村镇、企业、学校等捐赠党史书籍、开展党史宣传教育，积极向河北党史网、隆尧发布、隆尧党建公众号投稿刊发党史工作信息。 </w:t>
      </w:r>
    </w:p>
    <w:p>
      <w:pPr>
        <w:pStyle w:val="30"/>
      </w:pPr>
      <w:r>
        <w:t xml:space="preserve">3、强化党史干部队伍建设，深入贯彻落实新时代党的建设总要求和新时代党的组织路线。进行以推动思想大解放、能力大提升、作风大转变、工作大落实为主要内容的业务培训。充分发扬党史人职业精神，全面提升党史干部队伍的政治能力和业务能力，打造高质量党史研究成果。 </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制度保障:完善单位各项工作制度，责任到人，分工明确。加强监督检查，健全和完善目标考核责任制、督查通报制、强化责任落实，健全和完善资料收集和管理、完善在篇目设计、审查验收、出版发行、报送备案等环节上制度建设，做到有序推进，保障编印质量。</w:t>
      </w:r>
    </w:p>
    <w:p>
      <w:pPr>
        <w:pStyle w:val="31"/>
      </w:pPr>
      <w:r>
        <w:t>经费保障:征得县政府和财政部门的大力支持，筹集经费，改善必要的工作条件和图书资料收藏保管条件，做好编辑，出版、科研开发利用、信息化建设、资料文献保存等工作。</w:t>
      </w:r>
    </w:p>
    <w:p>
      <w:pPr>
        <w:pStyle w:val="31"/>
        <w:sectPr>
          <w:pgSz w:w="16840" w:h="11900" w:orient="landscape"/>
          <w:pgMar w:top="1361" w:right="1020" w:bottom="1361" w:left="1020" w:header="720" w:footer="720" w:gutter="0"/>
          <w:docGrid w:linePitch="326" w:charSpace="0"/>
        </w:sectPr>
      </w:pPr>
      <w:r>
        <w:t>队伍保障:努力提高本单位人员的业务水平，强化教育培训，对所有参与人员实行岗前培训；党史研究室要围绕县委中心工作，形成干事创业的浓厚氛围，大力实施“文化兴县”专项提升行动，全面提高党史工作水平，确保党史工作平稳、有序、健康发展。</w:t>
      </w:r>
    </w:p>
    <w:p>
      <w:pPr>
        <w:spacing w:before="10" w:after="10" w:line="360" w:lineRule="auto"/>
        <w:ind w:firstLine="640"/>
        <w:jc w:val="left"/>
        <w:outlineLvl w:val="2"/>
        <w:rPr>
          <w:rFonts w:ascii="黑体" w:eastAsia="黑体" w:cs="黑体" w:hAnsi="黑体"/>
          <w:color w:val="000000"/>
          <w:sz w:val="32"/>
        </w:rPr>
      </w:pPr>
      <w:bookmarkStart w:id="14" w:name="_Toc_3_3_0000000015"/>
      <w:r>
        <w:rPr>
          <w:rFonts w:ascii="黑体" w:eastAsia="黑体" w:cs="黑体" w:hAnsi="黑体"/>
          <w:color w:val="000000"/>
          <w:sz w:val="32"/>
        </w:rPr>
        <w:t>六、部门主管专项资金预算安排情况及绩效目标</w:t>
      </w:r>
      <w:bookmarkEnd w:id="14"/>
    </w:p>
    <w:p>
      <w:pPr>
        <w:spacing w:before="10" w:after="10" w:line="360" w:lineRule="auto"/>
        <w:ind w:left="0" w:firstLineChars="400" w:firstLine="1120"/>
        <w:outlineLvl w:val="2"/>
        <w:rPr>
          <w:rFonts w:ascii="黑体" w:eastAsia="黑体" w:cs="黑体" w:hAnsi="黑体"/>
          <w:color w:val="000000"/>
          <w:sz w:val="32"/>
        </w:rPr>
      </w:pPr>
      <w:bookmarkStart w:id="15" w:name="_Toc7018"/>
      <w:r>
        <w:rPr>
          <w:rFonts w:ascii="Times New Roman" w:eastAsia="方正仿宋_GBK" w:cs="Times New Roman" w:hAnsi="Times New Roman" w:hint="eastAsia"/>
          <w:sz w:val="28"/>
          <w:szCs w:val="24"/>
          <w:lang w:val="en-US" w:eastAsia="zh-CN" w:bidi="ar-SA"/>
        </w:rPr>
        <w:t>本年度我部门无专项资金预算安排。</w:t>
      </w:r>
      <w:bookmarkEnd w:id="15"/>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1、党史编纂经费绩效目标表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13052525P00003910130Y</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党史编纂经费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2.50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2.50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征编2025年《中共隆尧县委大事记月报》，2024年《中共隆尧县委大事记》。</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80%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100%</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1.征编2025年《中共隆尧县委大事记月报》，2024年《中共隆尧县委大事记》。</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大事记月报完成数量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完成《中共隆尧县委大事记》编纂数量</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≥50本</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工作落实到位率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党史征编工作落实到位率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各项任务完成及时率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各项任务及时完成数量占总任务完成比例</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资金成本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完成大事记支出成本不超预算</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≤2.5万元</w:t>
            </w:r>
          </w:p>
        </w:tc>
        <w:tc>
          <w:tcPr>
            <w:tcW w:w="1276" w:type="dxa"/>
            <w:vAlign w:val="center"/>
          </w:tcPr>
          <w:p>
            <w:pPr>
              <w:pStyle w:val="20"/>
            </w:pPr>
            <w:r>
              <w:t>年初预算安排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社会效益指标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重点任务完成率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完成重点任务数量/重点任务总数*100%</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1276" w:type="dxa"/>
            <w:vAlign w:val="center"/>
          </w:tcPr>
          <w:p>
            <w:pPr>
              <w:pStyle w:val="20"/>
            </w:pPr>
            <w:r>
              <w:t>年初预算那排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服务对象满意度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服务对象对党史工作的满意度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2、党史经费绩效目标表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13052525P00003910102J</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党史经费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1.50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1.50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开展党史学习教育，向广大党员干部群众进行党史、革命传统教育。</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80%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100%</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1.开展党史学习教育，向广大党员干部群众进行党史、革命传统教育。</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活动场次</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开展党史学习教育场次</w:t>
            </w:r>
            <w:bookmarkStart w:id="17" w:name="_GoBack"/>
            <w:bookmarkEnd w:id="17"/>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≥5场次</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工作完成率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实际完成工作件数/应完成工作总件数*100</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重点工作完成及时率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重点工作及时完成数量/重点工作总数量*100</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支出成本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党史经费支出成本不超预算</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≤1.5万元</w:t>
            </w:r>
          </w:p>
        </w:tc>
        <w:tc>
          <w:tcPr>
            <w:tcW w:w="1276" w:type="dxa"/>
            <w:vAlign w:val="center"/>
          </w:tcPr>
          <w:p>
            <w:pPr>
              <w:pStyle w:val="20"/>
            </w:pPr>
            <w:r>
              <w:t>年初工作计划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社会效益指标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党史宣传覆盖率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已宣传部门数量/应宣传部门数量*100</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≥90%</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服务对象对党史工作满意度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8" w:name="_Toc_3_3_0000000017"/>
      <w:r>
        <w:rPr>
          <w:rFonts w:ascii="黑体" w:eastAsia="黑体" w:cs="黑体" w:hAnsi="黑体"/>
          <w:color w:val="000000"/>
          <w:sz w:val="32"/>
        </w:rPr>
        <w:t>八、政府采购预算情况</w:t>
      </w:r>
      <w:bookmarkEnd w:id="18"/>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283中共隆尧县委党史研究室</w:t>
            </w:r>
          </w:p>
        </w:tc>
        <w:tc>
          <w:tcPr>
            <w:tcW w:w="771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top w:val="single" w:sz="6" w:space="0" w:color="auto"/>
              <w:left w:val="single" w:sz="6" w:space="0" w:color="auto"/>
              <w:bottom w:val="single" w:sz="6" w:space="0" w:color="auto"/>
              <w:right w:val="single" w:sz="6" w:space="0" w:color="auto"/>
            </w:tcBorders>
            <w:vAlign w:val="center"/>
          </w:tcPr>
          <w:p>
            <w:pPr>
              <w:pStyle w:val="18"/>
            </w:pPr>
            <w:r>
              <w:t>采购物品名称</w:t>
            </w:r>
          </w:p>
        </w:tc>
        <w:tc>
          <w:tcPr>
            <w:tcW w:w="1134" w:type="dxa"/>
            <w:vMerge w:val="restart"/>
            <w:tcBorders>
              <w:top w:val="single" w:sz="6" w:space="0" w:color="auto"/>
              <w:left w:val="single" w:sz="6" w:space="0" w:color="auto"/>
              <w:bottom w:val="single" w:sz="6" w:space="0" w:color="auto"/>
              <w:right w:val="single" w:sz="6" w:space="0" w:color="auto"/>
            </w:tcBorders>
            <w:vAlign w:val="center"/>
          </w:tcPr>
          <w:p>
            <w:pPr>
              <w:pStyle w:val="18"/>
            </w:pPr>
            <w:r>
              <w:t>政府采购目录序号</w:t>
            </w:r>
          </w:p>
        </w:tc>
        <w:tc>
          <w:tcPr>
            <w:tcW w:w="709" w:type="dxa"/>
            <w:vMerge w:val="restart"/>
            <w:tcBorders>
              <w:top w:val="single" w:sz="6" w:space="0" w:color="auto"/>
              <w:left w:val="single" w:sz="6" w:space="0" w:color="auto"/>
              <w:bottom w:val="single" w:sz="6" w:space="0" w:color="auto"/>
              <w:right w:val="single" w:sz="6" w:space="0" w:color="auto"/>
            </w:tcBorders>
            <w:vAlign w:val="center"/>
          </w:tcPr>
          <w:p>
            <w:pPr>
              <w:pStyle w:val="18"/>
            </w:pPr>
            <w:r>
              <w:t>计量  单位</w:t>
            </w:r>
          </w:p>
        </w:tc>
        <w:tc>
          <w:tcPr>
            <w:tcW w:w="850" w:type="dxa"/>
            <w:vMerge w:val="restart"/>
            <w:tcBorders>
              <w:top w:val="single" w:sz="6" w:space="0" w:color="auto"/>
              <w:left w:val="single" w:sz="6" w:space="0" w:color="auto"/>
              <w:bottom w:val="single" w:sz="6" w:space="0" w:color="auto"/>
              <w:right w:val="single" w:sz="6" w:space="0" w:color="auto"/>
            </w:tcBorders>
            <w:vAlign w:val="center"/>
          </w:tcPr>
          <w:p>
            <w:pPr>
              <w:pStyle w:val="18"/>
            </w:pPr>
            <w:r>
              <w:t>数量</w:t>
            </w:r>
          </w:p>
        </w:tc>
        <w:tc>
          <w:tcPr>
            <w:tcW w:w="850" w:type="dxa"/>
            <w:vMerge w:val="restart"/>
            <w:tcBorders>
              <w:top w:val="single" w:sz="6" w:space="0" w:color="auto"/>
              <w:left w:val="single" w:sz="6" w:space="0" w:color="auto"/>
              <w:bottom w:val="single" w:sz="6" w:space="0" w:color="auto"/>
              <w:right w:val="single" w:sz="6" w:space="0" w:color="auto"/>
            </w:tcBorders>
            <w:vAlign w:val="center"/>
          </w:tcPr>
          <w:p>
            <w:pPr>
              <w:pStyle w:val="18"/>
            </w:pPr>
            <w:r>
              <w:t>单价</w:t>
            </w:r>
          </w:p>
        </w:tc>
        <w:tc>
          <w:tcPr>
            <w:tcW w:w="6748" w:type="dxa"/>
            <w:gridSpan w:val="7"/>
            <w:tcBorders>
              <w:top w:val="single" w:sz="6" w:space="0" w:color="auto"/>
              <w:left w:val="single" w:sz="6" w:space="0" w:color="auto"/>
              <w:bottom w:val="single" w:sz="6" w:space="0" w:color="auto"/>
              <w:right w:val="single" w:sz="6" w:space="0" w:color="auto"/>
            </w:tcBorders>
            <w:vAlign w:val="center"/>
          </w:tcPr>
          <w:p>
            <w:pPr>
              <w:pStyle w:val="18"/>
            </w:pPr>
            <w:r>
              <w:t>政府采购金额（当年部门预算安排资金）</w:t>
            </w:r>
          </w:p>
        </w:tc>
        <w:tc>
          <w:tcPr>
            <w:tcW w:w="964" w:type="dxa"/>
            <w:vMerge w:val="restart"/>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预算    资金</w:t>
            </w:r>
          </w:p>
        </w:tc>
        <w:tc>
          <w:tcPr>
            <w:tcW w:w="1134" w:type="dxa"/>
            <w:vMerge/>
            <w:tcBorders>
              <w:top w:val="single" w:sz="6" w:space="0" w:color="auto"/>
              <w:left w:val="single" w:sz="6" w:space="0" w:color="auto"/>
              <w:bottom w:val="single" w:sz="6" w:space="0" w:color="auto"/>
              <w:right w:val="single" w:sz="6" w:space="0" w:color="auto"/>
            </w:tcBorders>
          </w:tcPr>
          <w:p/>
        </w:tc>
        <w:tc>
          <w:tcPr>
            <w:tcW w:w="1134" w:type="dxa"/>
            <w:vMerge/>
            <w:tcBorders>
              <w:top w:val="single" w:sz="6" w:space="0" w:color="auto"/>
              <w:left w:val="single" w:sz="6" w:space="0" w:color="auto"/>
              <w:bottom w:val="single" w:sz="6" w:space="0" w:color="auto"/>
              <w:right w:val="single" w:sz="6" w:space="0" w:color="auto"/>
            </w:tcBorders>
          </w:tcPr>
          <w:p/>
        </w:tc>
        <w:tc>
          <w:tcPr>
            <w:tcW w:w="709" w:type="dxa"/>
            <w:vMerge/>
            <w:tcBorders>
              <w:top w:val="single" w:sz="6" w:space="0" w:color="auto"/>
              <w:left w:val="single" w:sz="6" w:space="0" w:color="auto"/>
              <w:bottom w:val="single" w:sz="6" w:space="0" w:color="auto"/>
              <w:right w:val="single" w:sz="6" w:space="0" w:color="auto"/>
            </w:tcBorders>
          </w:tcPr>
          <w:p/>
        </w:tc>
        <w:tc>
          <w:tcPr>
            <w:tcW w:w="850" w:type="dxa"/>
            <w:vMerge/>
            <w:tcBorders>
              <w:top w:val="single" w:sz="6" w:space="0" w:color="auto"/>
              <w:left w:val="single" w:sz="6" w:space="0" w:color="auto"/>
              <w:bottom w:val="single" w:sz="6" w:space="0" w:color="auto"/>
              <w:right w:val="single" w:sz="6" w:space="0" w:color="auto"/>
            </w:tcBorders>
          </w:tcPr>
          <w:p/>
        </w:tc>
        <w:tc>
          <w:tcPr>
            <w:tcW w:w="850" w:type="dxa"/>
            <w:vMerge/>
            <w:tcBorders>
              <w:top w:val="single" w:sz="6" w:space="0" w:color="auto"/>
              <w:left w:val="single" w:sz="6" w:space="0" w:color="auto"/>
              <w:bottom w:val="single" w:sz="6" w:space="0" w:color="auto"/>
              <w:right w:val="single" w:sz="6" w:space="0" w:color="auto"/>
            </w:tcBorders>
          </w:tcP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一般公共预算拨款</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基金预算拨款</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国有资本经营预算拨款</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财政专户核拨</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单位    资金</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上年结转结余</w:t>
            </w:r>
          </w:p>
        </w:tc>
        <w:tc>
          <w:tcPr>
            <w:tcW w:w="964" w:type="dxa"/>
            <w:vMerge/>
          </w:tcPr>
          <w:p/>
        </w:tc>
      </w:tr>
      <w:tr>
        <w:trPr>
          <w:cantSplit/>
        </w:trPr>
        <w:tc>
          <w:tcPr>
            <w:tcW w:w="1701" w:type="dxa"/>
            <w:vAlign w:val="center"/>
          </w:tcPr>
          <w:p>
            <w:pPr>
              <w:pStyle w:val="22"/>
            </w:pPr>
            <w:r>
              <w:t>合  计</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4"/>
            </w:pPr>
          </w:p>
        </w:tc>
        <w:tc>
          <w:tcPr>
            <w:tcW w:w="1134" w:type="dxa"/>
            <w:tcBorders>
              <w:top w:val="single" w:sz="6" w:space="0" w:color="auto"/>
              <w:left w:val="single" w:sz="6" w:space="0" w:color="auto"/>
              <w:bottom w:val="single" w:sz="6" w:space="0" w:color="auto"/>
              <w:right w:val="single" w:sz="6" w:space="0" w:color="auto"/>
            </w:tcBorders>
            <w:vAlign w:val="center"/>
          </w:tcPr>
          <w:p>
            <w:pPr>
              <w:pStyle w:val="24"/>
            </w:pPr>
          </w:p>
        </w:tc>
        <w:tc>
          <w:tcPr>
            <w:tcW w:w="709" w:type="dxa"/>
            <w:tcBorders>
              <w:top w:val="single" w:sz="6" w:space="0" w:color="auto"/>
              <w:left w:val="single" w:sz="6" w:space="0" w:color="auto"/>
              <w:bottom w:val="single" w:sz="6" w:space="0" w:color="auto"/>
              <w:right w:val="single" w:sz="6" w:space="0" w:color="auto"/>
            </w:tcBorders>
            <w:vAlign w:val="center"/>
          </w:tcPr>
          <w:p>
            <w:pPr>
              <w:pStyle w:val="22"/>
            </w:pPr>
          </w:p>
        </w:tc>
        <w:tc>
          <w:tcPr>
            <w:tcW w:w="850" w:type="dxa"/>
            <w:tcBorders>
              <w:top w:val="single" w:sz="6" w:space="0" w:color="auto"/>
              <w:left w:val="single" w:sz="6" w:space="0" w:color="auto"/>
              <w:bottom w:val="single" w:sz="6" w:space="0" w:color="auto"/>
              <w:right w:val="single" w:sz="6" w:space="0" w:color="auto"/>
            </w:tcBorders>
            <w:vAlign w:val="center"/>
          </w:tcPr>
          <w:p>
            <w:pPr>
              <w:pStyle w:val="23"/>
            </w:pPr>
          </w:p>
        </w:tc>
        <w:tc>
          <w:tcPr>
            <w:tcW w:w="850"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r>
              <w:t>1.54</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r>
              <w:t>1.54</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vAlign w:val="center"/>
          </w:tcPr>
          <w:p>
            <w:pPr>
              <w:pStyle w:val="23"/>
            </w:pPr>
            <w:r>
              <w:t>1.54</w:t>
            </w:r>
          </w:p>
        </w:tc>
      </w:tr>
      <w:tr>
        <w:trPr>
          <w:cantSplit/>
        </w:trPr>
        <w:tc>
          <w:tcPr>
            <w:tcW w:w="1701" w:type="dxa"/>
            <w:vAlign w:val="center"/>
          </w:tcPr>
          <w:p>
            <w:pPr>
              <w:pStyle w:val="22"/>
            </w:pPr>
            <w:r>
              <w:t>中共隆尧县委党史研究室本级小计</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4"/>
            </w:pPr>
          </w:p>
        </w:tc>
        <w:tc>
          <w:tcPr>
            <w:tcW w:w="1134" w:type="dxa"/>
            <w:tcBorders>
              <w:top w:val="single" w:sz="6" w:space="0" w:color="auto"/>
              <w:left w:val="single" w:sz="6" w:space="0" w:color="auto"/>
              <w:bottom w:val="single" w:sz="6" w:space="0" w:color="auto"/>
              <w:right w:val="single" w:sz="6" w:space="0" w:color="auto"/>
            </w:tcBorders>
            <w:vAlign w:val="center"/>
          </w:tcPr>
          <w:p>
            <w:pPr>
              <w:pStyle w:val="24"/>
            </w:pPr>
          </w:p>
        </w:tc>
        <w:tc>
          <w:tcPr>
            <w:tcW w:w="709" w:type="dxa"/>
            <w:tcBorders>
              <w:top w:val="single" w:sz="6" w:space="0" w:color="auto"/>
              <w:left w:val="single" w:sz="6" w:space="0" w:color="auto"/>
              <w:bottom w:val="single" w:sz="6" w:space="0" w:color="auto"/>
              <w:right w:val="single" w:sz="6" w:space="0" w:color="auto"/>
            </w:tcBorders>
            <w:vAlign w:val="center"/>
          </w:tcPr>
          <w:p>
            <w:pPr>
              <w:pStyle w:val="22"/>
            </w:pPr>
          </w:p>
        </w:tc>
        <w:tc>
          <w:tcPr>
            <w:tcW w:w="850" w:type="dxa"/>
            <w:tcBorders>
              <w:top w:val="single" w:sz="6" w:space="0" w:color="auto"/>
              <w:left w:val="single" w:sz="6" w:space="0" w:color="auto"/>
              <w:bottom w:val="single" w:sz="6" w:space="0" w:color="auto"/>
              <w:right w:val="single" w:sz="6" w:space="0" w:color="auto"/>
            </w:tcBorders>
            <w:vAlign w:val="center"/>
          </w:tcPr>
          <w:p>
            <w:pPr>
              <w:pStyle w:val="23"/>
            </w:pPr>
          </w:p>
        </w:tc>
        <w:tc>
          <w:tcPr>
            <w:tcW w:w="850"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r>
              <w:t>1.54</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r>
              <w:t>1.54</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vAlign w:val="center"/>
          </w:tcPr>
          <w:p>
            <w:pPr>
              <w:pStyle w:val="23"/>
            </w:pPr>
            <w:r>
              <w:t>1.54</w:t>
            </w:r>
          </w:p>
        </w:tc>
      </w:tr>
      <w:tr>
        <w:trPr>
          <w:cantSplit/>
        </w:trPr>
        <w:tc>
          <w:tcPr>
            <w:tcW w:w="1701" w:type="dxa"/>
            <w:vAlign w:val="center"/>
          </w:tcPr>
          <w:p>
            <w:pPr>
              <w:pStyle w:val="20"/>
            </w:pPr>
            <w:r>
              <w:t>公用经费一</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1.14</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其他纸制文具</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A05040199</w:t>
            </w:r>
          </w:p>
        </w:tc>
        <w:tc>
          <w:tcPr>
            <w:tcW w:w="709" w:type="dxa"/>
            <w:tcBorders>
              <w:top w:val="single" w:sz="6" w:space="0" w:color="auto"/>
              <w:left w:val="single" w:sz="6" w:space="0" w:color="auto"/>
              <w:bottom w:val="single" w:sz="6" w:space="0" w:color="auto"/>
              <w:right w:val="single" w:sz="6" w:space="0" w:color="auto"/>
            </w:tcBorders>
            <w:vAlign w:val="center"/>
          </w:tcPr>
          <w:p>
            <w:pPr>
              <w:pStyle w:val="21"/>
            </w:pPr>
            <w:r>
              <w:t>个</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1</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0.20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0.20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0.20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vAlign w:val="center"/>
          </w:tcPr>
          <w:p>
            <w:pPr>
              <w:pStyle w:val="19"/>
            </w:pPr>
            <w:r>
              <w:t>0.20</w:t>
            </w:r>
          </w:p>
        </w:tc>
      </w:tr>
      <w:tr>
        <w:trPr>
          <w:cantSplit/>
        </w:trPr>
        <w:tc>
          <w:tcPr>
            <w:tcW w:w="1701" w:type="dxa"/>
            <w:vAlign w:val="center"/>
          </w:tcPr>
          <w:p>
            <w:pPr>
              <w:pStyle w:val="20"/>
            </w:pPr>
            <w:r>
              <w:t>公用经费一</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1.14</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其他印刷服务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C23090199</w:t>
            </w:r>
          </w:p>
        </w:tc>
        <w:tc>
          <w:tcPr>
            <w:tcW w:w="709" w:type="dxa"/>
            <w:tcBorders>
              <w:top w:val="single" w:sz="6" w:space="0" w:color="auto"/>
              <w:left w:val="single" w:sz="6" w:space="0" w:color="auto"/>
              <w:bottom w:val="single" w:sz="6" w:space="0" w:color="auto"/>
              <w:right w:val="single" w:sz="6" w:space="0" w:color="auto"/>
            </w:tcBorders>
            <w:vAlign w:val="center"/>
          </w:tcPr>
          <w:p>
            <w:pPr>
              <w:pStyle w:val="21"/>
            </w:pPr>
            <w:r>
              <w:t>个</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1</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0.06</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0.06</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0.06</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vAlign w:val="center"/>
          </w:tcPr>
          <w:p>
            <w:pPr>
              <w:pStyle w:val="19"/>
            </w:pPr>
            <w:r>
              <w:t>0.06</w:t>
            </w:r>
          </w:p>
        </w:tc>
      </w:tr>
      <w:tr>
        <w:trPr>
          <w:cantSplit/>
        </w:trPr>
        <w:tc>
          <w:tcPr>
            <w:tcW w:w="1701" w:type="dxa"/>
            <w:vAlign w:val="center"/>
          </w:tcPr>
          <w:p>
            <w:pPr>
              <w:pStyle w:val="20"/>
            </w:pPr>
            <w:r>
              <w:t>党史编纂经费</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2.50</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复印纸</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A05040101</w:t>
            </w:r>
          </w:p>
        </w:tc>
        <w:tc>
          <w:tcPr>
            <w:tcW w:w="709" w:type="dxa"/>
            <w:tcBorders>
              <w:top w:val="single" w:sz="6" w:space="0" w:color="auto"/>
              <w:left w:val="single" w:sz="6" w:space="0" w:color="auto"/>
              <w:bottom w:val="single" w:sz="6" w:space="0" w:color="auto"/>
              <w:right w:val="single" w:sz="6" w:space="0" w:color="auto"/>
            </w:tcBorders>
            <w:vAlign w:val="center"/>
          </w:tcPr>
          <w:p>
            <w:pPr>
              <w:pStyle w:val="21"/>
            </w:pPr>
            <w:r>
              <w:t>包</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10</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0.02</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0.18</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0.18</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vAlign w:val="center"/>
          </w:tcPr>
          <w:p>
            <w:pPr>
              <w:pStyle w:val="19"/>
            </w:pPr>
            <w:r>
              <w:t>0.18</w:t>
            </w:r>
          </w:p>
        </w:tc>
      </w:tr>
      <w:tr>
        <w:trPr>
          <w:cantSplit/>
        </w:trPr>
        <w:tc>
          <w:tcPr>
            <w:tcW w:w="1701" w:type="dxa"/>
            <w:vAlign w:val="center"/>
          </w:tcPr>
          <w:p>
            <w:pPr>
              <w:pStyle w:val="20"/>
            </w:pPr>
            <w:r>
              <w:t>党史编纂经费</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2.50</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其他印刷服务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C23090199</w:t>
            </w:r>
          </w:p>
        </w:tc>
        <w:tc>
          <w:tcPr>
            <w:tcW w:w="709" w:type="dxa"/>
            <w:tcBorders>
              <w:top w:val="single" w:sz="6" w:space="0" w:color="auto"/>
              <w:left w:val="single" w:sz="6" w:space="0" w:color="auto"/>
              <w:bottom w:val="single" w:sz="6" w:space="0" w:color="auto"/>
              <w:right w:val="single" w:sz="6" w:space="0" w:color="auto"/>
            </w:tcBorders>
            <w:vAlign w:val="center"/>
          </w:tcPr>
          <w:p>
            <w:pPr>
              <w:pStyle w:val="21"/>
            </w:pPr>
            <w:r>
              <w:t>个</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1</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1.00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1.00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1.00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vAlign w:val="center"/>
          </w:tcPr>
          <w:p>
            <w:pPr>
              <w:pStyle w:val="19"/>
            </w:pPr>
            <w:r>
              <w:t>1.00</w:t>
            </w:r>
          </w:p>
        </w:tc>
      </w:tr>
      <w:tr>
        <w:trPr>
          <w:cantSplit/>
        </w:trPr>
        <w:tc>
          <w:tcPr>
            <w:tcW w:w="1701" w:type="dxa"/>
            <w:vAlign w:val="center"/>
          </w:tcPr>
          <w:p>
            <w:pPr>
              <w:pStyle w:val="20"/>
            </w:pPr>
            <w:r>
              <w:t>党史经费</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1.50</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其他印刷服务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C23090199</w:t>
            </w:r>
          </w:p>
        </w:tc>
        <w:tc>
          <w:tcPr>
            <w:tcW w:w="709" w:type="dxa"/>
            <w:tcBorders>
              <w:top w:val="single" w:sz="6" w:space="0" w:color="auto"/>
              <w:left w:val="single" w:sz="6" w:space="0" w:color="auto"/>
              <w:bottom w:val="single" w:sz="6" w:space="0" w:color="auto"/>
              <w:right w:val="single" w:sz="6" w:space="0" w:color="auto"/>
            </w:tcBorders>
            <w:vAlign w:val="center"/>
          </w:tcPr>
          <w:p>
            <w:pPr>
              <w:pStyle w:val="21"/>
            </w:pPr>
            <w:r>
              <w:t>个</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1</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0.10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0.10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0.10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vAlign w:val="center"/>
          </w:tcPr>
          <w:p>
            <w:pPr>
              <w:pStyle w:val="19"/>
            </w:pPr>
            <w:r>
              <w:t>0.10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8"/>
      <w:r>
        <w:rPr>
          <w:rFonts w:ascii="黑体" w:eastAsia="黑体" w:cs="黑体" w:hAnsi="黑体"/>
          <w:color w:val="000000"/>
          <w:sz w:val="32"/>
        </w:rPr>
        <w:t>九、国有资产信息</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中共隆尧县委党史研究室（含所属单位）上年末固定资产金额为3.90万元（详见下表）。本年度拟购置固定资产总额为0.00万元，已按要求列入政府采购预算，详见政府采购预算表。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283中共隆尧县委党史研究室</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r>
              <w:t>3.90</w:t>
            </w:r>
          </w:p>
        </w:tc>
      </w:tr>
      <w:tr>
        <w:tc>
          <w:tcPr>
            <w:tcW w:w="7370" w:type="dxa"/>
            <w:vAlign w:val="center"/>
          </w:tcPr>
          <w:p>
            <w:pPr>
              <w:pStyle w:val="20"/>
            </w:pPr>
            <w:r>
              <w:t>1、房屋（平方米）</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30</w:t>
            </w:r>
          </w:p>
        </w:tc>
        <w:tc>
          <w:tcPr>
            <w:tcW w:w="2835" w:type="dxa"/>
            <w:vAlign w:val="center"/>
          </w:tcPr>
          <w:p>
            <w:pPr>
              <w:pStyle w:val="19"/>
            </w:pPr>
            <w:r>
              <w:t>3.90</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20" w:name="_Toc_3_3_0000000019"/>
      <w:r>
        <w:rPr>
          <w:rFonts w:ascii="黑体" w:eastAsia="黑体" w:cs="黑体" w:hAnsi="黑体"/>
          <w:color w:val="000000"/>
          <w:sz w:val="32"/>
        </w:rPr>
        <w:t>十、名词解释</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1" w:name="_Toc_3_3_0000000020"/>
      <w:r>
        <w:rPr>
          <w:rFonts w:ascii="黑体" w:eastAsia="黑体" w:cs="黑体" w:hAnsi="黑体"/>
          <w:color w:val="000000"/>
          <w:sz w:val="32"/>
        </w:rPr>
        <w:t>十一、其他需要说明的事项</w:t>
      </w:r>
      <w:bookmarkEnd w:id="21"/>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0000000000000000000"/>
    <w:charset w:val="00"/>
    <w:family w:val="auto"/>
    <w:pitch w:val="variable"/>
    <w:sig w:usb0="00000000" w:usb1="00000000" w:usb2="00000000" w:usb3="00000000" w:csb0="00000000" w:csb1="00000000"/>
  </w:font>
  <w:font w:name="方正楷体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altName w:val="DejaVu Sans"/>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宋体">
    <w:altName w:val="方正书宋_GBK"/>
    <w:panose1 w:val="02010600030101010101"/>
    <w:charset w:val="86"/>
    <w:family w:val="auto"/>
    <w:pitch w:val="variable"/>
    <w:sig w:usb0="00000003" w:usb1="080E0000" w:usb2="00000000" w:usb3="00000000" w:csb0="00040001" w:csb1="00000000"/>
  </w:font>
  <w:font w:name="Lucida Sans">
    <w:altName w:val="DejaVu Sans"/>
    <w:panose1 w:val="020B0602030504020204"/>
    <w:charset w:val="00"/>
    <w:family w:val="auto"/>
    <w:pitch w:val="variable"/>
    <w:sig w:usb0="00000003" w:usb1="00000000" w:usb2="00000000" w:usb3="00000000" w:csb0="20000001" w:csb1="00000000"/>
  </w:font>
  <w:font w:name="方正兰亭黑_GBK">
    <w:panose1 w:val="02000000000000000000"/>
    <w:charset w:val="86"/>
    <w:family w:val="script"/>
    <w:pitch w:val="variable"/>
    <w:sig w:usb0="A00002BF" w:usb1="3ACF7CFA" w:usb2="00080016" w:usb3="00000000" w:csb0="0004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20</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rPr>
      <w:rFonts w:ascii="Times New Roman" w:eastAsia="Times New Roman" w:cs="Lucida Sans"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方正兰亭黑_GBK" w:eastAsia="黑体" w:hAnsi="方正兰亭黑_GBK"/>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659549D1-EC79-44A1-A695-6514FBAED301}">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122</TotalTime>
  <Application>Yozo_Office27021597764231179</Application>
  <Pages>26</Pages>
  <Words>0</Words>
  <Characters>8778</Characters>
  <Lines>0</Lines>
  <Paragraphs>128</Paragraphs>
  <CharactersWithSpaces>11705</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HUAwei</cp:lastModifiedBy>
  <cp:revision>1</cp:revision>
  <dcterms:created xsi:type="dcterms:W3CDTF">2025-02-28T11:15:52Z</dcterms:created>
  <dcterms:modified xsi:type="dcterms:W3CDTF">2025-04-16T02:03:24Z</dcterms:modified>
</cp:coreProperties>
</file>