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461690">
      <w:pPr>
        <w:spacing w:line="580" w:lineRule="exact"/>
        <w:jc w:val="center"/>
        <w:rPr>
          <w:rFonts w:hint="eastAsia" w:ascii="仿宋" w:hAnsi="仿宋" w:eastAsia="仿宋" w:cs="仿宋"/>
          <w:bCs/>
          <w:sz w:val="32"/>
          <w:szCs w:val="32"/>
        </w:rPr>
      </w:pPr>
    </w:p>
    <w:p w14:paraId="69FE0156">
      <w:pPr>
        <w:spacing w:line="580" w:lineRule="exact"/>
        <w:jc w:val="center"/>
        <w:rPr>
          <w:rFonts w:hint="eastAsia" w:ascii="仿宋" w:hAnsi="仿宋" w:eastAsia="仿宋" w:cs="仿宋"/>
          <w:b/>
          <w:bCs/>
          <w:sz w:val="52"/>
          <w:szCs w:val="52"/>
        </w:rPr>
      </w:pPr>
      <w:r>
        <w:rPr>
          <w:rFonts w:hint="eastAsia" w:ascii="仿宋" w:hAnsi="仿宋" w:eastAsia="仿宋" w:cs="仿宋"/>
          <w:b/>
          <w:bCs/>
          <w:sz w:val="52"/>
          <w:szCs w:val="52"/>
          <w:lang w:val="en-US" w:eastAsia="zh-CN"/>
        </w:rPr>
        <w:t>机关事业养老保险</w:t>
      </w:r>
      <w:r>
        <w:rPr>
          <w:rFonts w:hint="eastAsia" w:ascii="仿宋" w:hAnsi="仿宋" w:eastAsia="仿宋" w:cs="仿宋"/>
          <w:b/>
          <w:bCs/>
          <w:sz w:val="52"/>
          <w:szCs w:val="52"/>
        </w:rPr>
        <w:t>转移支付2021年度绩效自评报告</w:t>
      </w:r>
    </w:p>
    <w:p w14:paraId="74CCDD58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</w:p>
    <w:p w14:paraId="115A1A4D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一、绩效目标分解下达情况</w:t>
      </w:r>
    </w:p>
    <w:p w14:paraId="75FA1CB6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2021年机关事业单位养老金支付预算21000万元，隆尧县财政安排机关事业单位养老金支付缺口补助资金4000万元。</w:t>
      </w:r>
    </w:p>
    <w:p w14:paraId="6317BF51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二、绩效目标完成情况分析</w:t>
      </w:r>
    </w:p>
    <w:p w14:paraId="1CB611F6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（一）资金投入情况分析。</w:t>
      </w:r>
    </w:p>
    <w:p w14:paraId="52CEB16B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机关事业单位养老金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发放</w:t>
      </w:r>
      <w:r>
        <w:rPr>
          <w:rFonts w:hint="eastAsia" w:ascii="仿宋" w:hAnsi="仿宋" w:eastAsia="仿宋" w:cs="仿宋"/>
          <w:sz w:val="32"/>
          <w:szCs w:val="32"/>
        </w:rPr>
        <w:t>资金的使用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符合社会保险</w:t>
      </w:r>
      <w:r>
        <w:rPr>
          <w:rFonts w:hint="eastAsia" w:ascii="仿宋" w:hAnsi="仿宋" w:eastAsia="仿宋" w:cs="仿宋"/>
          <w:sz w:val="32"/>
          <w:szCs w:val="32"/>
        </w:rPr>
        <w:t>政策及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社会保险基金</w:t>
      </w:r>
      <w:r>
        <w:rPr>
          <w:rFonts w:hint="eastAsia" w:ascii="仿宋" w:hAnsi="仿宋" w:eastAsia="仿宋" w:cs="仿宋"/>
          <w:sz w:val="32"/>
          <w:szCs w:val="32"/>
        </w:rPr>
        <w:t>使用管理办法；坚持突出重点，统筹安排，注重效益；坚持经济效益、社会效益和生态效益并重，促进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社会保障事业健康</w:t>
      </w:r>
      <w:r>
        <w:rPr>
          <w:rFonts w:hint="eastAsia" w:ascii="仿宋" w:hAnsi="仿宋" w:eastAsia="仿宋" w:cs="仿宋"/>
          <w:sz w:val="32"/>
          <w:szCs w:val="32"/>
        </w:rPr>
        <w:t>发展。项目资金拨付时均根据预算方案的安排、领导的批示或会议纪要确定支出的额度，资金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拨付</w:t>
      </w:r>
      <w:r>
        <w:rPr>
          <w:rFonts w:hint="eastAsia" w:ascii="仿宋" w:hAnsi="仿宋" w:eastAsia="仿宋" w:cs="仿宋"/>
          <w:sz w:val="32"/>
          <w:szCs w:val="32"/>
        </w:rPr>
        <w:t>公开透明。</w:t>
      </w:r>
    </w:p>
    <w:p w14:paraId="264238EC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总体绩效目标完成情况分析。</w:t>
      </w:r>
    </w:p>
    <w:p w14:paraId="7FBB4454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2021年以来，在局党组的领导下，机关事业股提高政治站位，增强“四个意识”，强化组织领导，凝心聚力，以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保发放、保稳定、保民生工作为中心</w:t>
      </w:r>
      <w:r>
        <w:rPr>
          <w:rFonts w:hint="eastAsia" w:ascii="仿宋" w:hAnsi="仿宋" w:eastAsia="仿宋" w:cs="仿宋"/>
          <w:sz w:val="32"/>
          <w:szCs w:val="32"/>
        </w:rPr>
        <w:t>，全力完成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了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年机关事业养老保险待遇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发放和调整工作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为隆尧县社会保障事业作出了应有贡献。</w:t>
      </w:r>
    </w:p>
    <w:p w14:paraId="0A61D144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</w:rPr>
        <w:t>（三）绩效指标完成情况分析。完成2021年度全年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养老金发放和调整</w:t>
      </w:r>
      <w:r>
        <w:rPr>
          <w:rFonts w:hint="eastAsia" w:ascii="仿宋" w:hAnsi="仿宋" w:eastAsia="仿宋" w:cs="仿宋"/>
          <w:sz w:val="32"/>
          <w:szCs w:val="32"/>
        </w:rPr>
        <w:t>工作，截止2021年底共有机关事业单位退休人员4715人，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为符合条件的4715人调整了养老金待遇标准。</w:t>
      </w:r>
      <w:r>
        <w:rPr>
          <w:rFonts w:hint="eastAsia" w:ascii="仿宋" w:hAnsi="仿宋" w:eastAsia="仿宋" w:cs="仿宋"/>
          <w:sz w:val="32"/>
          <w:szCs w:val="32"/>
        </w:rPr>
        <w:t>全年新增退休246人，全年发放养老待遇20707万元。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发放率100%。准时、足额兑现养老金待遇，有效保障了隆尧县机关事业退休人员待遇稳步提高。使得机关事业单位退休人员老有所依，老有所养。</w:t>
      </w:r>
    </w:p>
    <w:p w14:paraId="2A949A67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附：转移支付区域（项目）绩效</w:t>
      </w:r>
    </w:p>
    <w:p w14:paraId="1071908C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</w:p>
    <w:p w14:paraId="643166E9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</w:p>
    <w:p w14:paraId="028B8707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目标自评表</w:t>
      </w:r>
    </w:p>
    <w:p w14:paraId="654C5382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</w:p>
    <w:p w14:paraId="160D388F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</w:p>
    <w:p w14:paraId="2257F23D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</w:p>
    <w:p w14:paraId="73D2BB8F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</w:p>
    <w:p w14:paraId="5A6E8FDA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</w:p>
    <w:p w14:paraId="3CE41B98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</w:p>
    <w:p w14:paraId="666A8439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</w:p>
    <w:p w14:paraId="413929AF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</w:p>
    <w:p w14:paraId="730BE181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</w:p>
    <w:p w14:paraId="43D02C65">
      <w:pPr>
        <w:pStyle w:val="10"/>
        <w:ind w:left="0" w:leftChars="0" w:firstLine="0" w:firstLineChars="0"/>
        <w:rPr>
          <w:rFonts w:hint="eastAsia" w:ascii="仿宋" w:hAnsi="仿宋" w:eastAsia="仿宋" w:cs="仿宋"/>
          <w:sz w:val="32"/>
          <w:szCs w:val="32"/>
        </w:rPr>
      </w:pPr>
    </w:p>
    <w:p w14:paraId="3068229F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</w:p>
    <w:p w14:paraId="135682E5">
      <w:pPr>
        <w:pStyle w:val="10"/>
        <w:rPr>
          <w:rFonts w:hint="eastAsia" w:ascii="仿宋" w:hAnsi="仿宋" w:eastAsia="仿宋" w:cs="仿宋"/>
          <w:sz w:val="32"/>
          <w:szCs w:val="32"/>
        </w:rPr>
      </w:pPr>
    </w:p>
    <w:p w14:paraId="26B09A05">
      <w:pPr>
        <w:pStyle w:val="10"/>
        <w:ind w:left="420" w:firstLine="600"/>
        <w:jc w:val="center"/>
        <w:rPr>
          <w:rFonts w:hint="eastAsia" w:ascii="仿宋" w:hAnsi="仿宋" w:eastAsia="仿宋" w:cs="仿宋"/>
          <w:b/>
          <w:bCs/>
          <w:sz w:val="52"/>
          <w:szCs w:val="52"/>
        </w:rPr>
      </w:pPr>
      <w:r>
        <w:rPr>
          <w:rFonts w:hint="eastAsia" w:ascii="仿宋" w:hAnsi="仿宋" w:eastAsia="仿宋" w:cs="仿宋"/>
          <w:b/>
          <w:bCs/>
          <w:sz w:val="52"/>
          <w:szCs w:val="52"/>
          <w:lang w:val="en-US" w:eastAsia="zh-CN"/>
        </w:rPr>
        <w:t>机关事业养老保险</w:t>
      </w:r>
      <w:r>
        <w:rPr>
          <w:rFonts w:hint="eastAsia" w:ascii="仿宋" w:hAnsi="仿宋" w:eastAsia="仿宋" w:cs="仿宋"/>
          <w:b/>
          <w:bCs/>
          <w:sz w:val="52"/>
          <w:szCs w:val="52"/>
        </w:rPr>
        <w:t>转移支付2021年度绩效自评报告</w:t>
      </w:r>
    </w:p>
    <w:p w14:paraId="0197A17D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</w:p>
    <w:p w14:paraId="781988A1">
      <w:pPr>
        <w:pStyle w:val="10"/>
        <w:ind w:left="420" w:firstLine="6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一、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项目概况</w:t>
      </w:r>
    </w:p>
    <w:p w14:paraId="18DC72C2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（一）</w:t>
      </w:r>
      <w:r>
        <w:rPr>
          <w:rFonts w:hint="eastAsia" w:ascii="仿宋" w:hAnsi="仿宋" w:eastAsia="仿宋" w:cs="仿宋"/>
          <w:sz w:val="32"/>
          <w:szCs w:val="32"/>
        </w:rPr>
        <w:t>政府战略规划或目标。</w:t>
      </w:r>
    </w:p>
    <w:p w14:paraId="6A407A76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完成全年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机关事业</w:t>
      </w:r>
      <w:r>
        <w:rPr>
          <w:rFonts w:hint="eastAsia" w:ascii="仿宋" w:hAnsi="仿宋" w:eastAsia="仿宋" w:cs="仿宋"/>
          <w:sz w:val="32"/>
          <w:szCs w:val="32"/>
        </w:rPr>
        <w:t>养老金发放工作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和机关事业</w:t>
      </w:r>
      <w:r>
        <w:rPr>
          <w:rFonts w:hint="eastAsia" w:ascii="仿宋" w:hAnsi="仿宋" w:eastAsia="仿宋" w:cs="仿宋"/>
          <w:sz w:val="32"/>
          <w:szCs w:val="32"/>
        </w:rPr>
        <w:t>养老金待遇调整工作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。维护社会稳定。</w:t>
      </w:r>
    </w:p>
    <w:p w14:paraId="32FEB4E7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（二）</w:t>
      </w:r>
      <w:r>
        <w:rPr>
          <w:rFonts w:hint="eastAsia" w:ascii="仿宋" w:hAnsi="仿宋" w:eastAsia="仿宋" w:cs="仿宋"/>
          <w:sz w:val="32"/>
          <w:szCs w:val="32"/>
        </w:rPr>
        <w:t>单位工作目标。</w:t>
      </w:r>
    </w:p>
    <w:p w14:paraId="0C853481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及时足额发放机关事业养老金待遇，全面保障民生，保障机关事业退休职工待遇发放。</w:t>
      </w:r>
    </w:p>
    <w:p w14:paraId="2D02F352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（三）</w:t>
      </w:r>
      <w:r>
        <w:rPr>
          <w:rFonts w:hint="eastAsia" w:ascii="仿宋" w:hAnsi="仿宋" w:eastAsia="仿宋" w:cs="仿宋"/>
          <w:sz w:val="32"/>
          <w:szCs w:val="32"/>
        </w:rPr>
        <w:t>项目基本情况。</w:t>
      </w:r>
    </w:p>
    <w:p w14:paraId="1C48B437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机关事业单位养老金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发放</w:t>
      </w:r>
      <w:r>
        <w:rPr>
          <w:rFonts w:hint="eastAsia" w:ascii="仿宋" w:hAnsi="仿宋" w:eastAsia="仿宋" w:cs="仿宋"/>
          <w:sz w:val="32"/>
          <w:szCs w:val="32"/>
        </w:rPr>
        <w:t>资金的使用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符合社会保险</w:t>
      </w:r>
      <w:r>
        <w:rPr>
          <w:rFonts w:hint="eastAsia" w:ascii="仿宋" w:hAnsi="仿宋" w:eastAsia="仿宋" w:cs="仿宋"/>
          <w:sz w:val="32"/>
          <w:szCs w:val="32"/>
        </w:rPr>
        <w:t>政策及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社会保险基金</w:t>
      </w:r>
      <w:r>
        <w:rPr>
          <w:rFonts w:hint="eastAsia" w:ascii="仿宋" w:hAnsi="仿宋" w:eastAsia="仿宋" w:cs="仿宋"/>
          <w:sz w:val="32"/>
          <w:szCs w:val="32"/>
        </w:rPr>
        <w:t>使用管理办法；坚持突出重点，统筹安排，注重效益；坚持经济效益、社会效益和生态效益并重，促进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社会保障事业健康</w:t>
      </w:r>
      <w:r>
        <w:rPr>
          <w:rFonts w:hint="eastAsia" w:ascii="仿宋" w:hAnsi="仿宋" w:eastAsia="仿宋" w:cs="仿宋"/>
          <w:sz w:val="32"/>
          <w:szCs w:val="32"/>
        </w:rPr>
        <w:t>发展。项目资金拨付时均根据预算方案的安排、领导的批示或会议纪要确定支出的额度，资金</w:t>
      </w:r>
      <w:bookmarkStart w:id="0" w:name="_GoBack"/>
      <w:r>
        <w:rPr>
          <w:rFonts w:hint="eastAsia" w:ascii="仿宋" w:hAnsi="仿宋" w:eastAsia="仿宋" w:cs="仿宋"/>
          <w:sz w:val="32"/>
          <w:szCs w:val="32"/>
          <w:lang w:eastAsia="zh-CN"/>
        </w:rPr>
        <w:t>拨付</w:t>
      </w:r>
      <w:bookmarkEnd w:id="0"/>
      <w:r>
        <w:rPr>
          <w:rFonts w:hint="eastAsia" w:ascii="仿宋" w:hAnsi="仿宋" w:eastAsia="仿宋" w:cs="仿宋"/>
          <w:sz w:val="32"/>
          <w:szCs w:val="32"/>
        </w:rPr>
        <w:t>公开透明。</w:t>
      </w:r>
    </w:p>
    <w:p w14:paraId="46C9507F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2021年机关事业单位养老金支付预算21000万元，隆尧县财政安排机关事业单位养老金支付缺口补助资金4000万元。</w:t>
      </w:r>
    </w:p>
    <w:p w14:paraId="6FB68360">
      <w:pPr>
        <w:pStyle w:val="10"/>
        <w:ind w:left="420" w:firstLine="6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二、绩效目标和指标设定</w:t>
      </w:r>
    </w:p>
    <w:p w14:paraId="17AC4DFD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总目标：通过项目活动的开展，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保障领取机关事业养老金待遇足额按时发放。</w:t>
      </w:r>
    </w:p>
    <w:p w14:paraId="4102FA83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年度目标：完成全年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机关事业</w:t>
      </w:r>
      <w:r>
        <w:rPr>
          <w:rFonts w:hint="eastAsia" w:ascii="仿宋" w:hAnsi="仿宋" w:eastAsia="仿宋" w:cs="仿宋"/>
          <w:sz w:val="32"/>
          <w:szCs w:val="32"/>
        </w:rPr>
        <w:t>养老金发放工作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和机关事业</w:t>
      </w:r>
      <w:r>
        <w:rPr>
          <w:rFonts w:hint="eastAsia" w:ascii="仿宋" w:hAnsi="仿宋" w:eastAsia="仿宋" w:cs="仿宋"/>
          <w:sz w:val="32"/>
          <w:szCs w:val="32"/>
        </w:rPr>
        <w:t>养老金待遇调整工作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6ADAB750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项目实施绩效管理情况及取得成绩</w:t>
      </w:r>
    </w:p>
    <w:p w14:paraId="4723A727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2021年以来，在局党组的领导下，机关事业股提高政治站位，增强“四个意识”，强化组织领导，凝心聚力，以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保发放、保稳定、保民生工作为中心</w:t>
      </w:r>
      <w:r>
        <w:rPr>
          <w:rFonts w:hint="eastAsia" w:ascii="仿宋" w:hAnsi="仿宋" w:eastAsia="仿宋" w:cs="仿宋"/>
          <w:sz w:val="32"/>
          <w:szCs w:val="32"/>
        </w:rPr>
        <w:t>，全力完成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了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年机关事业养老保险待遇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发放和调整工作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为隆尧县社会保障事业作出了应有贡献。</w:t>
      </w:r>
    </w:p>
    <w:p w14:paraId="0C4A3A03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</w:rPr>
        <w:t>完成2021年度全年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养老金发放和调整</w:t>
      </w:r>
      <w:r>
        <w:rPr>
          <w:rFonts w:hint="eastAsia" w:ascii="仿宋" w:hAnsi="仿宋" w:eastAsia="仿宋" w:cs="仿宋"/>
          <w:sz w:val="32"/>
          <w:szCs w:val="32"/>
        </w:rPr>
        <w:t>工作，截止2021年底共有机关事业单位退休人员4715人，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为符合条件的4715人调整了养老金待遇标准。</w:t>
      </w:r>
      <w:r>
        <w:rPr>
          <w:rFonts w:hint="eastAsia" w:ascii="仿宋" w:hAnsi="仿宋" w:eastAsia="仿宋" w:cs="仿宋"/>
          <w:sz w:val="32"/>
          <w:szCs w:val="32"/>
        </w:rPr>
        <w:t>全年新增退休246人，全年发放养老待遇20707万元。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发放率100%。准时、足额兑现养老金待遇，有效保障了隆尧县机关事业退休人员待遇稳步提高。使得机关事业单位退休人员老有所依，老有所养。</w:t>
      </w:r>
    </w:p>
    <w:p w14:paraId="0F5A96D7">
      <w:pPr>
        <w:pStyle w:val="10"/>
        <w:ind w:left="420" w:firstLine="6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四、项目绩效自评情况</w:t>
      </w:r>
    </w:p>
    <w:p w14:paraId="6CB01896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按照县级部门绩效自评工作要求，设计评价指标，制定绩效自评工作方案，成立以主管局长为组长的自评小组，认真开展项目绩效自评工作。项目自评小组，依据各项评价指标的完成情况，综合打分为98分，项目评价结果为优秀。</w:t>
      </w:r>
    </w:p>
    <w:p w14:paraId="524ADF01">
      <w:pPr>
        <w:pStyle w:val="10"/>
        <w:ind w:left="420" w:firstLine="6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五、项目存在的问题、改进工作的意见和建议</w:t>
      </w:r>
    </w:p>
    <w:p w14:paraId="0F221FBE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我县财政局能够及时足额将所需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缺口资金</w:t>
      </w:r>
      <w:r>
        <w:rPr>
          <w:rFonts w:hint="eastAsia" w:ascii="仿宋" w:hAnsi="仿宋" w:eastAsia="仿宋" w:cs="仿宋"/>
          <w:sz w:val="32"/>
          <w:szCs w:val="32"/>
        </w:rPr>
        <w:t>补贴拨付到位，保证了我县广大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机关事业退休职工</w:t>
      </w:r>
      <w:r>
        <w:rPr>
          <w:rFonts w:hint="eastAsia" w:ascii="仿宋" w:hAnsi="仿宋" w:eastAsia="仿宋" w:cs="仿宋"/>
          <w:sz w:val="32"/>
          <w:szCs w:val="32"/>
        </w:rPr>
        <w:t>养老金能够按时发放；我单位也要更加精确的对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退休职工</w:t>
      </w:r>
      <w:r>
        <w:rPr>
          <w:rFonts w:hint="eastAsia" w:ascii="仿宋" w:hAnsi="仿宋" w:eastAsia="仿宋" w:cs="仿宋"/>
          <w:sz w:val="32"/>
          <w:szCs w:val="32"/>
        </w:rPr>
        <w:t>养老金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政策落实到位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4AF0E5AF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</w:p>
    <w:p w14:paraId="3DEDD533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</w:p>
    <w:p w14:paraId="3A23E851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  <w:lang w:eastAsia="zh-CN"/>
        </w:rPr>
      </w:pPr>
    </w:p>
    <w:p w14:paraId="0802F567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</w:p>
    <w:p w14:paraId="034D3CF0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</w:rPr>
      </w:pPr>
    </w:p>
    <w:p w14:paraId="5B49A884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  <w:lang w:eastAsia="zh-CN"/>
        </w:rPr>
      </w:pPr>
    </w:p>
    <w:p w14:paraId="01B7AFA5">
      <w:pPr>
        <w:pStyle w:val="10"/>
        <w:ind w:left="420" w:firstLine="600"/>
        <w:rPr>
          <w:rFonts w:hint="eastAsia" w:ascii="仿宋" w:hAnsi="仿宋" w:eastAsia="仿宋" w:cs="仿宋"/>
          <w:sz w:val="32"/>
          <w:szCs w:val="32"/>
          <w:lang w:eastAsia="zh-CN"/>
        </w:rPr>
      </w:pPr>
    </w:p>
    <w:sectPr>
      <w:footerReference r:id="rId3" w:type="default"/>
      <w:pgSz w:w="11906" w:h="16838"/>
      <w:pgMar w:top="2098" w:right="1418" w:bottom="187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DEECDC">
    <w:pPr>
      <w:pStyle w:val="3"/>
      <w:jc w:val="center"/>
    </w:pPr>
  </w:p>
  <w:p w14:paraId="00B623B3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8"/>
  <w:bordersDoNotSurroundHeader w:val="1"/>
  <w:bordersDoNotSurroundFooter w:val="1"/>
  <w:documentProtection w:enforcement="0"/>
  <w:defaultTabStop w:val="420"/>
  <w:drawingGridHorizontalSpacing w:val="150"/>
  <w:drawingGridVerticalSpacing w:val="581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IwMDFmZjg1NjdmMGY3OWY5YThjOTc1NGIyOGYxMTMifQ=="/>
  </w:docVars>
  <w:rsids>
    <w:rsidRoot w:val="00F57F82"/>
    <w:rsid w:val="000101E1"/>
    <w:rsid w:val="000732DA"/>
    <w:rsid w:val="00075CDC"/>
    <w:rsid w:val="000B1E8F"/>
    <w:rsid w:val="000B6964"/>
    <w:rsid w:val="00103D16"/>
    <w:rsid w:val="00111638"/>
    <w:rsid w:val="00111928"/>
    <w:rsid w:val="0012041C"/>
    <w:rsid w:val="00164D84"/>
    <w:rsid w:val="00173016"/>
    <w:rsid w:val="0017509C"/>
    <w:rsid w:val="001808CA"/>
    <w:rsid w:val="00181389"/>
    <w:rsid w:val="001A4E46"/>
    <w:rsid w:val="001D165D"/>
    <w:rsid w:val="001E03FE"/>
    <w:rsid w:val="002123E8"/>
    <w:rsid w:val="00250053"/>
    <w:rsid w:val="0029569C"/>
    <w:rsid w:val="002A5FA7"/>
    <w:rsid w:val="002B3EEF"/>
    <w:rsid w:val="002B54E4"/>
    <w:rsid w:val="002E5562"/>
    <w:rsid w:val="002F6705"/>
    <w:rsid w:val="00301FC0"/>
    <w:rsid w:val="00336A16"/>
    <w:rsid w:val="003663A3"/>
    <w:rsid w:val="00387DD5"/>
    <w:rsid w:val="003B0980"/>
    <w:rsid w:val="003C6374"/>
    <w:rsid w:val="003D2CB9"/>
    <w:rsid w:val="00413F12"/>
    <w:rsid w:val="00493012"/>
    <w:rsid w:val="004D2137"/>
    <w:rsid w:val="004F14FB"/>
    <w:rsid w:val="005D1514"/>
    <w:rsid w:val="005D7CC3"/>
    <w:rsid w:val="006218A1"/>
    <w:rsid w:val="00682A10"/>
    <w:rsid w:val="006A30E4"/>
    <w:rsid w:val="006A74BF"/>
    <w:rsid w:val="006C1CEE"/>
    <w:rsid w:val="006D5A86"/>
    <w:rsid w:val="00707C2E"/>
    <w:rsid w:val="00722A7D"/>
    <w:rsid w:val="00724A6B"/>
    <w:rsid w:val="0073331B"/>
    <w:rsid w:val="00733C2D"/>
    <w:rsid w:val="00756C7F"/>
    <w:rsid w:val="007D7E6E"/>
    <w:rsid w:val="00850797"/>
    <w:rsid w:val="00853FC4"/>
    <w:rsid w:val="008720F1"/>
    <w:rsid w:val="00882EFA"/>
    <w:rsid w:val="008B2F56"/>
    <w:rsid w:val="008F0996"/>
    <w:rsid w:val="00903791"/>
    <w:rsid w:val="009600BD"/>
    <w:rsid w:val="00961C83"/>
    <w:rsid w:val="009922BC"/>
    <w:rsid w:val="009E0D8C"/>
    <w:rsid w:val="00A02AF3"/>
    <w:rsid w:val="00A25077"/>
    <w:rsid w:val="00A610CC"/>
    <w:rsid w:val="00A8737E"/>
    <w:rsid w:val="00AA19AF"/>
    <w:rsid w:val="00B24A9A"/>
    <w:rsid w:val="00BC6882"/>
    <w:rsid w:val="00BD3FE0"/>
    <w:rsid w:val="00BE58CF"/>
    <w:rsid w:val="00CA5578"/>
    <w:rsid w:val="00CA7DAA"/>
    <w:rsid w:val="00D04826"/>
    <w:rsid w:val="00D63908"/>
    <w:rsid w:val="00D8718A"/>
    <w:rsid w:val="00D93453"/>
    <w:rsid w:val="00DA0091"/>
    <w:rsid w:val="00DB5248"/>
    <w:rsid w:val="00DC524D"/>
    <w:rsid w:val="00E071D6"/>
    <w:rsid w:val="00E50520"/>
    <w:rsid w:val="00EA1995"/>
    <w:rsid w:val="00ED3E0F"/>
    <w:rsid w:val="00F015E4"/>
    <w:rsid w:val="00F57F82"/>
    <w:rsid w:val="00F75224"/>
    <w:rsid w:val="00F91EAE"/>
    <w:rsid w:val="00FA086C"/>
    <w:rsid w:val="00FA2093"/>
    <w:rsid w:val="00FA357A"/>
    <w:rsid w:val="031B3573"/>
    <w:rsid w:val="037D0BC8"/>
    <w:rsid w:val="06CA717F"/>
    <w:rsid w:val="0845082D"/>
    <w:rsid w:val="08DB07BA"/>
    <w:rsid w:val="09E965F2"/>
    <w:rsid w:val="0F625BF8"/>
    <w:rsid w:val="139840D3"/>
    <w:rsid w:val="141F6225"/>
    <w:rsid w:val="143E091F"/>
    <w:rsid w:val="14865FC8"/>
    <w:rsid w:val="150C2DB0"/>
    <w:rsid w:val="151953E2"/>
    <w:rsid w:val="18223739"/>
    <w:rsid w:val="19F63AB2"/>
    <w:rsid w:val="1C93342E"/>
    <w:rsid w:val="1D4200FB"/>
    <w:rsid w:val="1E761F05"/>
    <w:rsid w:val="1FC7205C"/>
    <w:rsid w:val="228B3D05"/>
    <w:rsid w:val="284E74F8"/>
    <w:rsid w:val="2AC450FA"/>
    <w:rsid w:val="2AD34027"/>
    <w:rsid w:val="2ADB48E8"/>
    <w:rsid w:val="2DFD2DFD"/>
    <w:rsid w:val="36687282"/>
    <w:rsid w:val="372A7764"/>
    <w:rsid w:val="37523158"/>
    <w:rsid w:val="37B1654C"/>
    <w:rsid w:val="38EF7AD8"/>
    <w:rsid w:val="3A1C460B"/>
    <w:rsid w:val="3A446258"/>
    <w:rsid w:val="3AC90889"/>
    <w:rsid w:val="3C303181"/>
    <w:rsid w:val="3E1672E6"/>
    <w:rsid w:val="402204A1"/>
    <w:rsid w:val="415F08D8"/>
    <w:rsid w:val="42947666"/>
    <w:rsid w:val="43684C17"/>
    <w:rsid w:val="44E2230F"/>
    <w:rsid w:val="45020790"/>
    <w:rsid w:val="471A14B7"/>
    <w:rsid w:val="48B51347"/>
    <w:rsid w:val="491B45FA"/>
    <w:rsid w:val="4A55216A"/>
    <w:rsid w:val="4AF95965"/>
    <w:rsid w:val="4C72601A"/>
    <w:rsid w:val="4CA77209"/>
    <w:rsid w:val="4E5403C0"/>
    <w:rsid w:val="4F294853"/>
    <w:rsid w:val="4F7F3E11"/>
    <w:rsid w:val="4FE0696A"/>
    <w:rsid w:val="536F39E4"/>
    <w:rsid w:val="55673508"/>
    <w:rsid w:val="57081D47"/>
    <w:rsid w:val="57D936E4"/>
    <w:rsid w:val="59595A6F"/>
    <w:rsid w:val="599330CA"/>
    <w:rsid w:val="5E8D0DE7"/>
    <w:rsid w:val="5EBD78BB"/>
    <w:rsid w:val="5FCC07C6"/>
    <w:rsid w:val="60811C1B"/>
    <w:rsid w:val="60D5009F"/>
    <w:rsid w:val="630D7BE9"/>
    <w:rsid w:val="64AC2E11"/>
    <w:rsid w:val="660721C9"/>
    <w:rsid w:val="661E6C75"/>
    <w:rsid w:val="67F75FF5"/>
    <w:rsid w:val="681D4831"/>
    <w:rsid w:val="68264723"/>
    <w:rsid w:val="692E4B19"/>
    <w:rsid w:val="69513EF7"/>
    <w:rsid w:val="6A4D2B29"/>
    <w:rsid w:val="6BF3256F"/>
    <w:rsid w:val="6CE7018A"/>
    <w:rsid w:val="6E3E3F2D"/>
    <w:rsid w:val="6FA10B33"/>
    <w:rsid w:val="715B2F02"/>
    <w:rsid w:val="73092C77"/>
    <w:rsid w:val="73EA0EDA"/>
    <w:rsid w:val="75E45261"/>
    <w:rsid w:val="76820CB3"/>
    <w:rsid w:val="76A548F2"/>
    <w:rsid w:val="7765772E"/>
    <w:rsid w:val="776A5740"/>
    <w:rsid w:val="77867685"/>
    <w:rsid w:val="781F36B6"/>
    <w:rsid w:val="78B81191"/>
    <w:rsid w:val="790627AD"/>
    <w:rsid w:val="792A3948"/>
    <w:rsid w:val="79A96B72"/>
    <w:rsid w:val="7ABB2532"/>
    <w:rsid w:val="7ADC59FA"/>
    <w:rsid w:val="7B8146A0"/>
    <w:rsid w:val="7BB2430B"/>
    <w:rsid w:val="7DDD794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脚 Char"/>
    <w:basedOn w:val="6"/>
    <w:link w:val="3"/>
    <w:qFormat/>
    <w:uiPriority w:val="99"/>
    <w:rPr>
      <w:rFonts w:eastAsia="仿宋_GB2312"/>
      <w:kern w:val="2"/>
      <w:sz w:val="18"/>
      <w:szCs w:val="18"/>
    </w:rPr>
  </w:style>
  <w:style w:type="character" w:customStyle="1" w:styleId="8">
    <w:name w:val="页眉 Char"/>
    <w:basedOn w:val="6"/>
    <w:link w:val="4"/>
    <w:qFormat/>
    <w:uiPriority w:val="0"/>
    <w:rPr>
      <w:rFonts w:eastAsia="仿宋_GB2312"/>
      <w:kern w:val="2"/>
      <w:sz w:val="18"/>
      <w:szCs w:val="18"/>
    </w:rPr>
  </w:style>
  <w:style w:type="character" w:customStyle="1" w:styleId="9">
    <w:name w:val="批注框文本 Char"/>
    <w:basedOn w:val="6"/>
    <w:link w:val="2"/>
    <w:qFormat/>
    <w:uiPriority w:val="0"/>
    <w:rPr>
      <w:rFonts w:eastAsia="仿宋_GB2312"/>
      <w:kern w:val="2"/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paragraph" w:customStyle="1" w:styleId="11">
    <w:name w:val="p0"/>
    <w:basedOn w:val="1"/>
    <w:uiPriority w:val="0"/>
    <w:pPr>
      <w:widowControl/>
    </w:pPr>
    <w:rPr>
      <w:rFonts w:ascii="Times New Roman" w:hAnsi="Times New Roman" w:eastAsia="宋体" w:cs="Times New Roman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FA9612-E0C3-4AFD-8738-6612ED3D160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5</Pages>
  <Words>1395</Words>
  <Characters>1476</Characters>
  <Lines>2</Lines>
  <Paragraphs>1</Paragraphs>
  <TotalTime>8</TotalTime>
  <ScaleCrop>false</ScaleCrop>
  <LinksUpToDate>false</LinksUpToDate>
  <CharactersWithSpaces>1476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2019-02-12T06:26:00Z</dcterms:created>
  <dc:creator>lhn</dc:creator>
  <cp:lastModifiedBy>DELL</cp:lastModifiedBy>
  <cp:lastPrinted>2020-02-28T05:55:00Z</cp:lastPrinted>
  <dcterms:modified xsi:type="dcterms:W3CDTF">2025-04-09T07:46:55Z</dcterms:modified>
  <dc:title>财政支出绩效评价报告</dc:title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292847991A9446A99AAAEEC87E114181_13</vt:lpwstr>
  </property>
</Properties>
</file>