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092FE5">
      <w:pPr>
        <w:widowControl/>
        <w:spacing w:line="400" w:lineRule="exact"/>
        <w:jc w:val="left"/>
        <w:rPr>
          <w:rFonts w:ascii="仿宋" w:hAnsi="仿宋" w:eastAsia="仿宋" w:cs="仿宋"/>
          <w:kern w:val="0"/>
          <w:sz w:val="32"/>
          <w:szCs w:val="32"/>
          <w:shd w:val="clear" w:color="auto" w:fill="FFFFFF"/>
        </w:rPr>
      </w:pPr>
      <w:r>
        <w:rPr>
          <w:rFonts w:hint="eastAsia" w:ascii="仿宋" w:hAnsi="仿宋" w:eastAsia="仿宋" w:cs="仿宋"/>
          <w:kern w:val="0"/>
          <w:sz w:val="32"/>
          <w:szCs w:val="32"/>
          <w:shd w:val="clear" w:color="auto" w:fill="FFFFFF"/>
        </w:rPr>
        <w:t xml:space="preserve">  附件4：</w:t>
      </w:r>
    </w:p>
    <w:p w14:paraId="5019A893">
      <w:pPr>
        <w:spacing w:line="480" w:lineRule="exact"/>
        <w:jc w:val="center"/>
        <w:rPr>
          <w:rFonts w:ascii="宋体" w:hAnsi="宋体"/>
          <w:b/>
          <w:sz w:val="44"/>
          <w:szCs w:val="44"/>
        </w:rPr>
      </w:pPr>
      <w:r>
        <w:rPr>
          <w:rFonts w:hint="eastAsia" w:ascii="宋体" w:hAnsi="宋体"/>
          <w:b/>
          <w:sz w:val="44"/>
          <w:szCs w:val="44"/>
        </w:rPr>
        <w:t>中共隆尧县委统战部2021年</w:t>
      </w:r>
    </w:p>
    <w:p w14:paraId="2705958E">
      <w:pPr>
        <w:spacing w:line="480" w:lineRule="exact"/>
        <w:jc w:val="center"/>
        <w:rPr>
          <w:rFonts w:ascii="宋体" w:hAnsi="宋体" w:eastAsia="宋体" w:cs="宋体"/>
          <w:b/>
          <w:color w:val="000000"/>
          <w:kern w:val="0"/>
          <w:sz w:val="44"/>
          <w:szCs w:val="44"/>
          <w:shd w:val="clear" w:color="auto" w:fill="FFFFFF"/>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p w14:paraId="598F5ECA">
      <w:pPr>
        <w:spacing w:line="480" w:lineRule="exact"/>
        <w:jc w:val="left"/>
        <w:rPr>
          <w:rFonts w:ascii="仿宋" w:hAnsi="仿宋" w:eastAsia="仿宋" w:cs="仿宋"/>
          <w:sz w:val="24"/>
          <w:szCs w:val="24"/>
        </w:rPr>
      </w:pPr>
      <w:r>
        <w:rPr>
          <w:rFonts w:hint="eastAsia" w:ascii="仿宋" w:hAnsi="仿宋" w:eastAsia="仿宋" w:cs="仿宋"/>
          <w:sz w:val="24"/>
          <w:szCs w:val="24"/>
        </w:rPr>
        <w:t xml:space="preserve">单位名称: 统战部(公章)         单位负责人:          </w:t>
      </w:r>
    </w:p>
    <w:tbl>
      <w:tblPr>
        <w:tblStyle w:val="8"/>
        <w:tblW w:w="960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851"/>
        <w:gridCol w:w="1559"/>
        <w:gridCol w:w="3260"/>
        <w:gridCol w:w="2552"/>
        <w:gridCol w:w="567"/>
      </w:tblGrid>
      <w:tr w14:paraId="2E9667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48408ED8">
            <w:pPr>
              <w:widowControl/>
              <w:spacing w:line="240" w:lineRule="exact"/>
              <w:jc w:val="center"/>
              <w:rPr>
                <w:b/>
              </w:rPr>
            </w:pPr>
            <w:r>
              <w:rPr>
                <w:rFonts w:ascii="仿宋_GB2312" w:hAnsi="新宋体" w:eastAsia="仿宋_GB2312" w:cs="仿宋_GB2312"/>
                <w:b/>
                <w:kern w:val="0"/>
                <w:sz w:val="24"/>
                <w:szCs w:val="24"/>
              </w:rPr>
              <w:t>一级指标</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2BFD1A93">
            <w:pPr>
              <w:widowControl/>
              <w:spacing w:line="240" w:lineRule="exact"/>
              <w:jc w:val="center"/>
              <w:rPr>
                <w:b/>
              </w:rPr>
            </w:pPr>
            <w:r>
              <w:rPr>
                <w:rFonts w:ascii="仿宋_GB2312" w:hAnsi="新宋体" w:eastAsia="仿宋_GB2312" w:cs="仿宋_GB2312"/>
                <w:b/>
                <w:kern w:val="0"/>
                <w:sz w:val="24"/>
                <w:szCs w:val="24"/>
              </w:rPr>
              <w:t>二级指标</w:t>
            </w:r>
          </w:p>
        </w:tc>
        <w:tc>
          <w:tcPr>
            <w:tcW w:w="4819" w:type="dxa"/>
            <w:gridSpan w:val="2"/>
            <w:tcBorders>
              <w:top w:val="single" w:color="000000" w:sz="4" w:space="0"/>
              <w:left w:val="single" w:color="000000" w:sz="4" w:space="0"/>
              <w:bottom w:val="single" w:color="000000" w:sz="4" w:space="0"/>
              <w:right w:val="single" w:color="auto" w:sz="4" w:space="0"/>
            </w:tcBorders>
            <w:vAlign w:val="center"/>
          </w:tcPr>
          <w:p w14:paraId="046968BE">
            <w:pPr>
              <w:widowControl/>
              <w:spacing w:line="240" w:lineRule="exact"/>
              <w:jc w:val="center"/>
              <w:rPr>
                <w:b/>
              </w:rPr>
            </w:pPr>
            <w:r>
              <w:rPr>
                <w:rFonts w:ascii="仿宋_GB2312" w:hAnsi="新宋体" w:eastAsia="仿宋_GB2312" w:cs="仿宋_GB2312"/>
                <w:b/>
                <w:kern w:val="0"/>
                <w:sz w:val="24"/>
                <w:szCs w:val="24"/>
              </w:rPr>
              <w:t>三级指标</w:t>
            </w:r>
          </w:p>
        </w:tc>
        <w:tc>
          <w:tcPr>
            <w:tcW w:w="2552" w:type="dxa"/>
            <w:vMerge w:val="restart"/>
            <w:tcBorders>
              <w:top w:val="single" w:color="000000" w:sz="4" w:space="0"/>
              <w:left w:val="single" w:color="auto" w:sz="4" w:space="0"/>
              <w:bottom w:val="single" w:color="000000" w:sz="4" w:space="0"/>
              <w:right w:val="single" w:color="auto" w:sz="4" w:space="0"/>
            </w:tcBorders>
            <w:vAlign w:val="center"/>
          </w:tcPr>
          <w:p w14:paraId="581EF4A8">
            <w:pPr>
              <w:widowControl/>
              <w:spacing w:line="240" w:lineRule="exact"/>
              <w:jc w:val="center"/>
              <w:rPr>
                <w:b/>
              </w:rPr>
            </w:pPr>
            <w:r>
              <w:rPr>
                <w:rFonts w:ascii="仿宋_GB2312" w:hAnsi="新宋体" w:eastAsia="仿宋_GB2312" w:cs="仿宋_GB2312"/>
                <w:b/>
                <w:kern w:val="0"/>
                <w:sz w:val="24"/>
                <w:szCs w:val="24"/>
              </w:rPr>
              <w:t>评分标准</w:t>
            </w:r>
          </w:p>
        </w:tc>
        <w:tc>
          <w:tcPr>
            <w:tcW w:w="567" w:type="dxa"/>
            <w:vMerge w:val="restart"/>
            <w:tcBorders>
              <w:top w:val="single" w:color="000000" w:sz="4" w:space="0"/>
              <w:left w:val="single" w:color="auto" w:sz="4" w:space="0"/>
              <w:bottom w:val="single" w:color="000000" w:sz="4" w:space="0"/>
              <w:right w:val="single" w:color="auto" w:sz="4" w:space="0"/>
            </w:tcBorders>
            <w:vAlign w:val="center"/>
          </w:tcPr>
          <w:p w14:paraId="339EB2C7">
            <w:pPr>
              <w:widowControl/>
              <w:spacing w:line="240" w:lineRule="exact"/>
              <w:jc w:val="left"/>
              <w:rPr>
                <w:b/>
              </w:rPr>
            </w:pPr>
            <w:r>
              <w:rPr>
                <w:rFonts w:ascii="仿宋_GB2312" w:hAnsi="新宋体" w:eastAsia="仿宋_GB2312" w:cs="仿宋_GB2312"/>
                <w:b/>
                <w:kern w:val="0"/>
                <w:sz w:val="24"/>
                <w:szCs w:val="24"/>
              </w:rPr>
              <w:t>得分</w:t>
            </w:r>
          </w:p>
        </w:tc>
      </w:tr>
      <w:tr w14:paraId="0E1DBD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0A3AADB">
            <w:pPr>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62B7FE68">
            <w:pPr>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7B4080CD">
            <w:pPr>
              <w:widowControl/>
              <w:spacing w:line="240" w:lineRule="exact"/>
              <w:jc w:val="center"/>
              <w:rPr>
                <w:b/>
              </w:rPr>
            </w:pPr>
            <w:r>
              <w:rPr>
                <w:rFonts w:ascii="仿宋_GB2312" w:hAnsi="新宋体" w:eastAsia="仿宋_GB2312" w:cs="仿宋_GB2312"/>
                <w:b/>
                <w:kern w:val="0"/>
                <w:sz w:val="24"/>
                <w:szCs w:val="24"/>
              </w:rPr>
              <w:t>指标名称</w:t>
            </w:r>
          </w:p>
        </w:tc>
        <w:tc>
          <w:tcPr>
            <w:tcW w:w="3260" w:type="dxa"/>
            <w:tcBorders>
              <w:top w:val="single" w:color="000000" w:sz="4" w:space="0"/>
              <w:left w:val="single" w:color="auto" w:sz="4" w:space="0"/>
              <w:bottom w:val="single" w:color="000000" w:sz="4" w:space="0"/>
              <w:right w:val="single" w:color="auto" w:sz="4" w:space="0"/>
            </w:tcBorders>
            <w:vAlign w:val="center"/>
          </w:tcPr>
          <w:p w14:paraId="585DC8C3">
            <w:pPr>
              <w:widowControl/>
              <w:spacing w:line="240" w:lineRule="exact"/>
              <w:jc w:val="center"/>
              <w:rPr>
                <w:b/>
              </w:rPr>
            </w:pPr>
            <w:r>
              <w:rPr>
                <w:rFonts w:ascii="仿宋_GB2312" w:hAnsi="新宋体" w:eastAsia="仿宋_GB2312" w:cs="仿宋_GB2312"/>
                <w:b/>
                <w:kern w:val="0"/>
                <w:sz w:val="24"/>
                <w:szCs w:val="24"/>
              </w:rPr>
              <w:t>指标解释说明</w:t>
            </w:r>
          </w:p>
        </w:tc>
        <w:tc>
          <w:tcPr>
            <w:tcW w:w="2552" w:type="dxa"/>
            <w:vMerge w:val="continue"/>
            <w:tcBorders>
              <w:top w:val="single" w:color="000000" w:sz="4" w:space="0"/>
              <w:left w:val="single" w:color="auto" w:sz="4" w:space="0"/>
              <w:bottom w:val="single" w:color="000000" w:sz="4" w:space="0"/>
              <w:right w:val="single" w:color="auto" w:sz="4" w:space="0"/>
            </w:tcBorders>
            <w:vAlign w:val="center"/>
          </w:tcPr>
          <w:p w14:paraId="2969C83F">
            <w:pPr>
              <w:rPr>
                <w:rFonts w:ascii="宋体"/>
                <w:szCs w:val="21"/>
              </w:rPr>
            </w:pPr>
          </w:p>
        </w:tc>
        <w:tc>
          <w:tcPr>
            <w:tcW w:w="567" w:type="dxa"/>
            <w:vMerge w:val="continue"/>
            <w:tcBorders>
              <w:top w:val="single" w:color="000000" w:sz="4" w:space="0"/>
              <w:left w:val="single" w:color="auto" w:sz="4" w:space="0"/>
              <w:bottom w:val="single" w:color="000000" w:sz="4" w:space="0"/>
              <w:right w:val="single" w:color="auto" w:sz="4" w:space="0"/>
            </w:tcBorders>
            <w:vAlign w:val="center"/>
          </w:tcPr>
          <w:p w14:paraId="0070B14C">
            <w:pPr>
              <w:rPr>
                <w:rFonts w:ascii="宋体"/>
                <w:szCs w:val="21"/>
              </w:rPr>
            </w:pPr>
          </w:p>
        </w:tc>
      </w:tr>
      <w:tr w14:paraId="7D2BC7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7" w:hRule="atLeast"/>
        </w:trPr>
        <w:tc>
          <w:tcPr>
            <w:tcW w:w="9039" w:type="dxa"/>
            <w:gridSpan w:val="5"/>
            <w:tcBorders>
              <w:top w:val="single" w:color="000000" w:sz="4" w:space="0"/>
              <w:left w:val="single" w:color="000000" w:sz="4" w:space="0"/>
              <w:bottom w:val="single" w:color="000000" w:sz="4" w:space="0"/>
              <w:right w:val="single" w:color="auto" w:sz="4" w:space="0"/>
            </w:tcBorders>
            <w:vAlign w:val="center"/>
          </w:tcPr>
          <w:p w14:paraId="34873AE1">
            <w:pPr>
              <w:widowControl/>
              <w:spacing w:line="240" w:lineRule="exact"/>
              <w:jc w:val="center"/>
              <w:rPr>
                <w:rFonts w:ascii="仿宋_GB2312" w:hAnsi="新宋体" w:eastAsia="仿宋_GB2312" w:cs="仿宋_GB2312"/>
                <w:b/>
                <w:kern w:val="0"/>
                <w:sz w:val="24"/>
                <w:szCs w:val="24"/>
              </w:rPr>
            </w:pPr>
            <w:r>
              <w:rPr>
                <w:rFonts w:hint="eastAsia" w:ascii="仿宋_GB2312" w:hAnsi="新宋体" w:eastAsia="仿宋_GB2312" w:cs="仿宋_GB2312"/>
                <w:b/>
                <w:kern w:val="0"/>
                <w:sz w:val="24"/>
                <w:szCs w:val="24"/>
              </w:rPr>
              <w:t>自评总分</w:t>
            </w:r>
          </w:p>
        </w:tc>
        <w:tc>
          <w:tcPr>
            <w:tcW w:w="567" w:type="dxa"/>
            <w:tcBorders>
              <w:top w:val="single" w:color="000000" w:sz="4" w:space="0"/>
              <w:left w:val="single" w:color="auto" w:sz="4" w:space="0"/>
              <w:bottom w:val="single" w:color="auto" w:sz="4" w:space="0"/>
              <w:right w:val="single" w:color="000000" w:sz="4" w:space="0"/>
            </w:tcBorders>
            <w:vAlign w:val="center"/>
          </w:tcPr>
          <w:p w14:paraId="183E7B12">
            <w:pPr>
              <w:widowControl/>
              <w:spacing w:line="240" w:lineRule="exact"/>
              <w:jc w:val="left"/>
              <w:rPr>
                <w:szCs w:val="21"/>
              </w:rPr>
            </w:pPr>
            <w:r>
              <w:rPr>
                <w:rFonts w:hint="eastAsia"/>
                <w:szCs w:val="21"/>
              </w:rPr>
              <w:t>97</w:t>
            </w:r>
          </w:p>
        </w:tc>
      </w:tr>
      <w:tr w14:paraId="046B43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7F23B857">
            <w:pPr>
              <w:widowControl/>
              <w:spacing w:line="240" w:lineRule="exact"/>
              <w:jc w:val="left"/>
              <w:rPr>
                <w:szCs w:val="21"/>
              </w:rPr>
            </w:pPr>
            <w:r>
              <w:rPr>
                <w:rFonts w:ascii="仿宋_GB2312" w:hAnsi="新宋体" w:eastAsia="仿宋_GB2312" w:cs="仿宋_GB2312"/>
                <w:kern w:val="0"/>
                <w:szCs w:val="21"/>
              </w:rPr>
              <w:t>投入（1</w:t>
            </w:r>
            <w:r>
              <w:rPr>
                <w:rFonts w:hint="eastAsia" w:ascii="仿宋_GB2312" w:hAnsi="新宋体" w:eastAsia="仿宋_GB2312" w:cs="仿宋_GB2312"/>
                <w:kern w:val="0"/>
                <w:szCs w:val="21"/>
              </w:rPr>
              <w:t>0分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25467658">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绩效</w:t>
            </w:r>
            <w:r>
              <w:rPr>
                <w:rFonts w:ascii="仿宋_GB2312" w:hAnsi="新宋体" w:eastAsia="仿宋_GB2312" w:cs="仿宋_GB2312"/>
                <w:kern w:val="0"/>
                <w:szCs w:val="21"/>
              </w:rPr>
              <w:t>目标设定</w:t>
            </w:r>
            <w:r>
              <w:rPr>
                <w:rFonts w:hint="eastAsia" w:ascii="仿宋_GB2312" w:hAnsi="新宋体" w:eastAsia="仿宋_GB2312" w:cs="仿宋_GB2312"/>
                <w:kern w:val="0"/>
                <w:szCs w:val="21"/>
              </w:rPr>
              <w:t>情</w:t>
            </w:r>
          </w:p>
          <w:p w14:paraId="22C75720">
            <w:pPr>
              <w:widowControl/>
              <w:spacing w:line="240" w:lineRule="exact"/>
              <w:jc w:val="left"/>
              <w:rPr>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1900F470">
            <w:pPr>
              <w:widowControl/>
              <w:spacing w:line="240" w:lineRule="exact"/>
              <w:jc w:val="left"/>
              <w:rPr>
                <w:rFonts w:ascii="仿宋_GB2312" w:hAnsi="新宋体" w:eastAsia="仿宋_GB2312" w:cs="仿宋_GB2312"/>
                <w:kern w:val="0"/>
                <w:szCs w:val="21"/>
              </w:rPr>
            </w:pPr>
          </w:p>
          <w:p w14:paraId="14F9A30F">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职责明确</w:t>
            </w:r>
          </w:p>
          <w:p w14:paraId="270DFF22">
            <w:pPr>
              <w:widowControl/>
              <w:spacing w:line="240" w:lineRule="exact"/>
              <w:jc w:val="left"/>
              <w:rPr>
                <w:szCs w:val="21"/>
              </w:rPr>
            </w:pPr>
            <w:r>
              <w:rPr>
                <w:rFonts w:ascii="仿宋_GB2312" w:hAnsi="新宋体" w:eastAsia="仿宋_GB2312" w:cs="仿宋_GB2312"/>
                <w:kern w:val="0"/>
                <w:szCs w:val="21"/>
              </w:rPr>
              <w:t>（1</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70126D6F">
            <w:pPr>
              <w:widowControl/>
              <w:spacing w:line="240" w:lineRule="exact"/>
              <w:jc w:val="left"/>
              <w:rPr>
                <w:szCs w:val="21"/>
              </w:rPr>
            </w:pPr>
            <w:r>
              <w:rPr>
                <w:rFonts w:ascii="仿宋_GB2312" w:hAnsi="新宋体" w:eastAsia="仿宋_GB2312" w:cs="仿宋_GB2312"/>
                <w:kern w:val="0"/>
                <w:szCs w:val="21"/>
              </w:rPr>
              <w:t>部门的职责设定是否符合“三定”方案中所赋予的职责，用以反映和评价部门工作的目的性与计划性。</w:t>
            </w:r>
          </w:p>
        </w:tc>
        <w:tc>
          <w:tcPr>
            <w:tcW w:w="2552" w:type="dxa"/>
            <w:tcBorders>
              <w:top w:val="single" w:color="000000" w:sz="4" w:space="0"/>
              <w:left w:val="single" w:color="auto" w:sz="4" w:space="0"/>
              <w:bottom w:val="single" w:color="auto" w:sz="4" w:space="0"/>
              <w:right w:val="single" w:color="auto" w:sz="4" w:space="0"/>
            </w:tcBorders>
            <w:vAlign w:val="center"/>
          </w:tcPr>
          <w:p w14:paraId="62D36314">
            <w:pPr>
              <w:widowControl/>
              <w:spacing w:line="240" w:lineRule="exact"/>
              <w:jc w:val="left"/>
              <w:rPr>
                <w:szCs w:val="21"/>
              </w:rPr>
            </w:pPr>
            <w:r>
              <w:rPr>
                <w:rFonts w:ascii="仿宋_GB2312" w:hAnsi="新宋体" w:eastAsia="仿宋_GB2312" w:cs="仿宋_GB2312"/>
                <w:kern w:val="0"/>
                <w:szCs w:val="21"/>
              </w:rPr>
              <w:t>符合（1）；</w:t>
            </w:r>
          </w:p>
          <w:p w14:paraId="0410980D">
            <w:pPr>
              <w:widowControl/>
              <w:spacing w:line="240" w:lineRule="exact"/>
              <w:jc w:val="left"/>
              <w:rPr>
                <w:szCs w:val="21"/>
              </w:rPr>
            </w:pPr>
            <w:r>
              <w:rPr>
                <w:rFonts w:ascii="仿宋_GB2312" w:hAnsi="新宋体" w:eastAsia="仿宋_GB2312" w:cs="仿宋_GB2312"/>
                <w:kern w:val="0"/>
                <w:szCs w:val="21"/>
              </w:rPr>
              <w:t>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682C36CB">
            <w:pPr>
              <w:widowControl/>
              <w:spacing w:line="240" w:lineRule="exact"/>
              <w:jc w:val="left"/>
              <w:rPr>
                <w:szCs w:val="21"/>
              </w:rPr>
            </w:pPr>
            <w:r>
              <w:rPr>
                <w:rFonts w:hint="eastAsia"/>
                <w:szCs w:val="21"/>
              </w:rPr>
              <w:t>1</w:t>
            </w:r>
          </w:p>
        </w:tc>
      </w:tr>
      <w:tr w14:paraId="2E1982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35"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FA727F6">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02537B30">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7B36BC3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活动合规性</w:t>
            </w:r>
          </w:p>
          <w:p w14:paraId="492571D9">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05B5BEEC">
            <w:pPr>
              <w:widowControl/>
              <w:spacing w:line="240" w:lineRule="exact"/>
              <w:jc w:val="left"/>
              <w:rPr>
                <w:szCs w:val="21"/>
              </w:rPr>
            </w:pPr>
            <w:r>
              <w:rPr>
                <w:rFonts w:ascii="仿宋_GB2312" w:hAnsi="新宋体" w:eastAsia="仿宋_GB2312" w:cs="仿宋_GB2312"/>
                <w:kern w:val="0"/>
                <w:szCs w:val="21"/>
              </w:rPr>
              <w:t>部门的活动是否在职责范围之内并符合部门中长期规划，用以反映和评价部门活动目标与部门履职、年度工作任务的相符性情况。</w:t>
            </w:r>
          </w:p>
          <w:p w14:paraId="359E698A">
            <w:pPr>
              <w:widowControl/>
              <w:spacing w:line="240" w:lineRule="exact"/>
              <w:jc w:val="left"/>
              <w:rPr>
                <w:szCs w:val="21"/>
              </w:rPr>
            </w:pPr>
            <w:r>
              <w:rPr>
                <w:rFonts w:ascii="仿宋_GB2312" w:hAnsi="新宋体" w:eastAsia="仿宋_GB2312" w:cs="仿宋_GB2312"/>
                <w:kern w:val="0"/>
                <w:szCs w:val="21"/>
              </w:rPr>
              <w:t>评价要点：</w:t>
            </w:r>
          </w:p>
          <w:p w14:paraId="6D8E6DE7">
            <w:pPr>
              <w:widowControl/>
              <w:spacing w:line="240" w:lineRule="exact"/>
              <w:jc w:val="left"/>
              <w:rPr>
                <w:szCs w:val="21"/>
              </w:rPr>
            </w:pPr>
            <w:r>
              <w:rPr>
                <w:rFonts w:ascii="仿宋_GB2312" w:hAnsi="新宋体" w:eastAsia="仿宋_GB2312" w:cs="仿宋_GB2312"/>
                <w:kern w:val="0"/>
                <w:szCs w:val="21"/>
              </w:rPr>
              <w:t>1.部门活动的设定在部门所确定的职责范围之内；</w:t>
            </w:r>
          </w:p>
          <w:p w14:paraId="19867A97">
            <w:pPr>
              <w:widowControl/>
              <w:spacing w:line="240" w:lineRule="exact"/>
              <w:jc w:val="left"/>
              <w:rPr>
                <w:szCs w:val="21"/>
              </w:rPr>
            </w:pPr>
            <w:r>
              <w:rPr>
                <w:rFonts w:ascii="仿宋_GB2312" w:hAnsi="新宋体" w:eastAsia="仿宋_GB2312" w:cs="仿宋_GB2312"/>
                <w:kern w:val="0"/>
                <w:szCs w:val="21"/>
              </w:rPr>
              <w:t>2.部门活动符合</w:t>
            </w:r>
            <w:r>
              <w:rPr>
                <w:rFonts w:hint="eastAsia" w:ascii="仿宋_GB2312" w:hAnsi="新宋体" w:eastAsia="仿宋_GB2312" w:cs="仿宋_GB2312"/>
                <w:kern w:val="0"/>
                <w:szCs w:val="21"/>
              </w:rPr>
              <w:t>市</w:t>
            </w:r>
            <w:r>
              <w:rPr>
                <w:rFonts w:ascii="仿宋_GB2312" w:hAnsi="新宋体" w:eastAsia="仿宋_GB2312" w:cs="仿宋_GB2312"/>
                <w:kern w:val="0"/>
                <w:szCs w:val="21"/>
              </w:rPr>
              <w:t>委、</w:t>
            </w:r>
            <w:r>
              <w:rPr>
                <w:rFonts w:hint="eastAsia" w:ascii="仿宋_GB2312" w:hAnsi="新宋体" w:eastAsia="仿宋_GB2312" w:cs="仿宋_GB2312"/>
                <w:kern w:val="0"/>
                <w:szCs w:val="21"/>
              </w:rPr>
              <w:t>市</w:t>
            </w:r>
            <w:r>
              <w:rPr>
                <w:rFonts w:ascii="仿宋_GB2312" w:hAnsi="新宋体" w:eastAsia="仿宋_GB2312" w:cs="仿宋_GB2312"/>
                <w:kern w:val="0"/>
                <w:szCs w:val="21"/>
              </w:rPr>
              <w:t>政府的发展规划及本部门的年度工作安排与发展规划。</w:t>
            </w:r>
          </w:p>
        </w:tc>
        <w:tc>
          <w:tcPr>
            <w:tcW w:w="2552" w:type="dxa"/>
            <w:tcBorders>
              <w:top w:val="single" w:color="000000" w:sz="4" w:space="0"/>
              <w:left w:val="single" w:color="auto" w:sz="4" w:space="0"/>
              <w:bottom w:val="single" w:color="auto" w:sz="4" w:space="0"/>
              <w:right w:val="single" w:color="auto" w:sz="4" w:space="0"/>
            </w:tcBorders>
            <w:vAlign w:val="center"/>
          </w:tcPr>
          <w:p w14:paraId="4C871FBE">
            <w:pPr>
              <w:widowControl/>
              <w:spacing w:line="240" w:lineRule="exact"/>
              <w:jc w:val="left"/>
              <w:rPr>
                <w:szCs w:val="21"/>
              </w:rPr>
            </w:pPr>
            <w:r>
              <w:rPr>
                <w:rFonts w:ascii="仿宋_GB2312" w:hAnsi="新宋体" w:eastAsia="仿宋_GB2312" w:cs="仿宋_GB2312"/>
                <w:kern w:val="0"/>
                <w:szCs w:val="21"/>
              </w:rPr>
              <w:t>全部符合（2）；</w:t>
            </w:r>
          </w:p>
          <w:p w14:paraId="2A05F42D">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7459FBA5">
            <w:pPr>
              <w:widowControl/>
              <w:spacing w:line="240" w:lineRule="exact"/>
              <w:jc w:val="left"/>
              <w:rPr>
                <w:szCs w:val="21"/>
              </w:rPr>
            </w:pPr>
            <w:r>
              <w:rPr>
                <w:rFonts w:hint="eastAsia"/>
                <w:szCs w:val="21"/>
              </w:rPr>
              <w:t>2</w:t>
            </w:r>
          </w:p>
        </w:tc>
      </w:tr>
      <w:tr w14:paraId="1FB763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9DD1970">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A2A0DE6">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58FF1322">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活动合理性</w:t>
            </w:r>
          </w:p>
          <w:p w14:paraId="4392697E">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7AE4CE09">
            <w:pPr>
              <w:widowControl/>
              <w:spacing w:line="240" w:lineRule="exact"/>
              <w:jc w:val="left"/>
              <w:rPr>
                <w:szCs w:val="21"/>
              </w:rPr>
            </w:pPr>
            <w:r>
              <w:rPr>
                <w:rFonts w:ascii="仿宋_GB2312" w:hAnsi="新宋体" w:eastAsia="仿宋_GB2312" w:cs="仿宋_GB2312"/>
                <w:kern w:val="0"/>
                <w:szCs w:val="21"/>
              </w:rPr>
              <w:t>部门所设立的活动是否明确合理、活动的关键性指标设置是否可衡量，用以反映和评价部门活动目标设定的合理性。</w:t>
            </w:r>
          </w:p>
          <w:p w14:paraId="1447DEA5">
            <w:pPr>
              <w:widowControl/>
              <w:spacing w:line="240" w:lineRule="exact"/>
              <w:jc w:val="left"/>
              <w:rPr>
                <w:szCs w:val="21"/>
              </w:rPr>
            </w:pPr>
            <w:r>
              <w:rPr>
                <w:rFonts w:ascii="仿宋_GB2312" w:hAnsi="新宋体" w:eastAsia="仿宋_GB2312" w:cs="仿宋_GB2312"/>
                <w:kern w:val="0"/>
                <w:szCs w:val="21"/>
              </w:rPr>
              <w:t>评价要点：</w:t>
            </w:r>
          </w:p>
          <w:p w14:paraId="3FACF85C">
            <w:pPr>
              <w:widowControl/>
              <w:spacing w:line="240" w:lineRule="exact"/>
              <w:jc w:val="left"/>
              <w:rPr>
                <w:szCs w:val="21"/>
              </w:rPr>
            </w:pPr>
            <w:r>
              <w:rPr>
                <w:rFonts w:ascii="仿宋_GB2312" w:hAnsi="新宋体" w:eastAsia="仿宋_GB2312" w:cs="仿宋_GB2312"/>
                <w:kern w:val="0"/>
                <w:szCs w:val="21"/>
              </w:rPr>
              <w:t>1.活动目标的设定是可量化的，可通过清晰、可衡量的关键指标值予以体现；</w:t>
            </w:r>
          </w:p>
          <w:p w14:paraId="6277939F">
            <w:pPr>
              <w:widowControl/>
              <w:spacing w:line="240" w:lineRule="exact"/>
              <w:jc w:val="left"/>
              <w:rPr>
                <w:szCs w:val="21"/>
              </w:rPr>
            </w:pPr>
            <w:r>
              <w:rPr>
                <w:rFonts w:ascii="仿宋_GB2312" w:hAnsi="新宋体" w:eastAsia="仿宋_GB2312" w:cs="仿宋_GB2312"/>
                <w:kern w:val="0"/>
                <w:szCs w:val="21"/>
              </w:rPr>
              <w:t>2.在活动目标设定时，将关键指标明细分解为具体的达成目标与工作任务。</w:t>
            </w:r>
          </w:p>
        </w:tc>
        <w:tc>
          <w:tcPr>
            <w:tcW w:w="2552" w:type="dxa"/>
            <w:tcBorders>
              <w:top w:val="single" w:color="000000" w:sz="4" w:space="0"/>
              <w:left w:val="single" w:color="auto" w:sz="4" w:space="0"/>
              <w:bottom w:val="single" w:color="auto" w:sz="4" w:space="0"/>
              <w:right w:val="single" w:color="auto" w:sz="4" w:space="0"/>
            </w:tcBorders>
            <w:vAlign w:val="center"/>
          </w:tcPr>
          <w:p w14:paraId="23FF0A9D">
            <w:pPr>
              <w:widowControl/>
              <w:spacing w:line="240" w:lineRule="exact"/>
              <w:jc w:val="left"/>
              <w:rPr>
                <w:szCs w:val="21"/>
              </w:rPr>
            </w:pPr>
            <w:r>
              <w:rPr>
                <w:rFonts w:ascii="仿宋_GB2312" w:hAnsi="新宋体" w:eastAsia="仿宋_GB2312" w:cs="仿宋_GB2312"/>
                <w:kern w:val="0"/>
                <w:szCs w:val="21"/>
              </w:rPr>
              <w:t>全部符合（2）；</w:t>
            </w:r>
          </w:p>
          <w:p w14:paraId="35280E8B">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5025C77B">
            <w:pPr>
              <w:widowControl/>
              <w:spacing w:line="240" w:lineRule="exact"/>
              <w:jc w:val="left"/>
              <w:rPr>
                <w:szCs w:val="21"/>
              </w:rPr>
            </w:pPr>
            <w:r>
              <w:rPr>
                <w:rFonts w:hint="eastAsia"/>
                <w:szCs w:val="21"/>
              </w:rPr>
              <w:t>2</w:t>
            </w:r>
          </w:p>
        </w:tc>
      </w:tr>
      <w:tr w14:paraId="323A29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51"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2A0E6E2">
            <w:pPr>
              <w:spacing w:line="240" w:lineRule="exact"/>
              <w:rPr>
                <w:rFonts w:ascii="宋体"/>
                <w:szCs w:val="21"/>
              </w:rPr>
            </w:pPr>
          </w:p>
        </w:tc>
        <w:tc>
          <w:tcPr>
            <w:tcW w:w="851" w:type="dxa"/>
            <w:vMerge w:val="restart"/>
            <w:tcBorders>
              <w:top w:val="single" w:color="000000" w:sz="4" w:space="0"/>
              <w:left w:val="single" w:color="000000" w:sz="4" w:space="0"/>
              <w:right w:val="single" w:color="000000" w:sz="4" w:space="0"/>
            </w:tcBorders>
            <w:vAlign w:val="center"/>
          </w:tcPr>
          <w:p w14:paraId="16468F8D">
            <w:pPr>
              <w:widowControl/>
              <w:spacing w:line="240" w:lineRule="exact"/>
              <w:jc w:val="left"/>
              <w:rPr>
                <w:szCs w:val="21"/>
              </w:rPr>
            </w:pPr>
            <w:r>
              <w:rPr>
                <w:rFonts w:ascii="仿宋_GB2312" w:hAnsi="新宋体" w:eastAsia="仿宋_GB2312" w:cs="仿宋_GB2312"/>
                <w:kern w:val="0"/>
                <w:szCs w:val="21"/>
              </w:rPr>
              <w:t>预算配置</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559" w:type="dxa"/>
            <w:tcBorders>
              <w:top w:val="single" w:color="auto" w:sz="4" w:space="0"/>
              <w:left w:val="single" w:color="000000" w:sz="4" w:space="0"/>
              <w:right w:val="single" w:color="auto" w:sz="4" w:space="0"/>
            </w:tcBorders>
            <w:vAlign w:val="center"/>
          </w:tcPr>
          <w:p w14:paraId="5E0FD19C">
            <w:pPr>
              <w:widowControl/>
              <w:spacing w:line="240" w:lineRule="exact"/>
              <w:jc w:val="left"/>
              <w:rPr>
                <w:szCs w:val="21"/>
              </w:rPr>
            </w:pPr>
            <w:r>
              <w:rPr>
                <w:rFonts w:ascii="仿宋_GB2312" w:hAnsi="新宋体" w:eastAsia="仿宋_GB2312" w:cs="仿宋_GB2312"/>
                <w:kern w:val="0"/>
                <w:szCs w:val="21"/>
              </w:rPr>
              <w:t>在职人员控制率（</w:t>
            </w:r>
            <w:r>
              <w:rPr>
                <w:rFonts w:hint="eastAsia" w:ascii="仿宋_GB2312" w:hAnsi="新宋体" w:eastAsia="仿宋_GB2312" w:cs="仿宋_GB2312"/>
                <w:kern w:val="0"/>
                <w:szCs w:val="21"/>
              </w:rPr>
              <w:t>1分</w:t>
            </w:r>
            <w:r>
              <w:rPr>
                <w:rFonts w:ascii="仿宋_GB2312" w:hAnsi="新宋体" w:eastAsia="仿宋_GB2312" w:cs="仿宋_GB2312"/>
                <w:kern w:val="0"/>
                <w:szCs w:val="21"/>
              </w:rPr>
              <w:t>）</w:t>
            </w:r>
          </w:p>
        </w:tc>
        <w:tc>
          <w:tcPr>
            <w:tcW w:w="3260" w:type="dxa"/>
            <w:tcBorders>
              <w:top w:val="single" w:color="auto" w:sz="4" w:space="0"/>
              <w:left w:val="single" w:color="auto" w:sz="4" w:space="0"/>
              <w:right w:val="single" w:color="auto" w:sz="4" w:space="0"/>
            </w:tcBorders>
            <w:vAlign w:val="center"/>
          </w:tcPr>
          <w:p w14:paraId="6631844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部门本年度实际在职人员数与编制数的比率，用以反映和评价部门对人员成本的控制程度。</w:t>
            </w:r>
          </w:p>
          <w:p w14:paraId="172D146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在职人员控制率=（在职人员数/编制数）×100%。</w:t>
            </w:r>
          </w:p>
          <w:p w14:paraId="33AA9F7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在职人员数：部门实际在职人数，以财政部确定的部门决算编制口径为准，由编制部门和人劳部门批复同意的临聘人员除外。</w:t>
            </w:r>
          </w:p>
          <w:p w14:paraId="36A239E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编制数：机构编制部门核定批复的部门人员编制数。</w:t>
            </w:r>
          </w:p>
        </w:tc>
        <w:tc>
          <w:tcPr>
            <w:tcW w:w="2552" w:type="dxa"/>
            <w:tcBorders>
              <w:top w:val="single" w:color="auto" w:sz="4" w:space="0"/>
              <w:left w:val="single" w:color="auto" w:sz="4" w:space="0"/>
              <w:right w:val="single" w:color="auto" w:sz="4" w:space="0"/>
            </w:tcBorders>
            <w:vAlign w:val="center"/>
          </w:tcPr>
          <w:p w14:paraId="103B4F8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1.在职人员控制率小于或等于100%的，得满分；</w:t>
            </w:r>
          </w:p>
          <w:p w14:paraId="410E511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2.在职人员控制率大于或等于115%的，得0分；</w:t>
            </w:r>
          </w:p>
          <w:p w14:paraId="0F12799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3.在职人员控制率在100%-115%之间的，在0分和满分之间计算确定：</w:t>
            </w:r>
          </w:p>
          <w:p w14:paraId="3188DC6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得分=[max（在职人员控制率）－某部门在职人员控制率]/[max（在职人员控制率）－min（在职人员控制率）]×该指标分值。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3F3CFCC1">
            <w:pPr>
              <w:widowControl/>
              <w:spacing w:line="240" w:lineRule="exact"/>
              <w:jc w:val="left"/>
              <w:rPr>
                <w:szCs w:val="21"/>
              </w:rPr>
            </w:pPr>
            <w:r>
              <w:rPr>
                <w:rFonts w:hint="eastAsia"/>
                <w:szCs w:val="21"/>
              </w:rPr>
              <w:t>1</w:t>
            </w:r>
          </w:p>
        </w:tc>
      </w:tr>
      <w:tr w14:paraId="1D95A9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restart"/>
            <w:tcBorders>
              <w:top w:val="single" w:color="000000" w:sz="4" w:space="0"/>
              <w:left w:val="single" w:color="000000" w:sz="4" w:space="0"/>
              <w:right w:val="single" w:color="000000" w:sz="4" w:space="0"/>
            </w:tcBorders>
            <w:vAlign w:val="center"/>
          </w:tcPr>
          <w:p w14:paraId="432D99F2">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6DB7EB93">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5558D999">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“三公”经费变动率（2分）</w:t>
            </w:r>
          </w:p>
        </w:tc>
        <w:tc>
          <w:tcPr>
            <w:tcW w:w="3260" w:type="dxa"/>
            <w:tcBorders>
              <w:top w:val="single" w:color="auto" w:sz="4" w:space="0"/>
              <w:left w:val="single" w:color="auto" w:sz="4" w:space="0"/>
              <w:right w:val="single" w:color="auto" w:sz="4" w:space="0"/>
            </w:tcBorders>
            <w:vAlign w:val="center"/>
          </w:tcPr>
          <w:p w14:paraId="1CADB937">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三公”经费预算数与上年度“三公”经费预算数的变动比率，用以反映和考核部门对控制重点行政成本的努力程度。“三公”经费变动率=[（本年度“三公”经费总额-上年度“三公”经费总额）/上年度“三公”经费总额]×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“三公”经费：年度预算安排的因公出国（境）费、公务车辆购置及运行费和公务招待费。</w:t>
            </w:r>
          </w:p>
        </w:tc>
        <w:tc>
          <w:tcPr>
            <w:tcW w:w="2552" w:type="dxa"/>
            <w:tcBorders>
              <w:top w:val="single" w:color="auto" w:sz="4" w:space="0"/>
              <w:left w:val="single" w:color="auto" w:sz="4" w:space="0"/>
              <w:right w:val="single" w:color="auto" w:sz="4" w:space="0"/>
            </w:tcBorders>
            <w:vAlign w:val="center"/>
          </w:tcPr>
          <w:p w14:paraId="6812BAC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小于或等于</w:t>
            </w:r>
            <w:r>
              <w:rPr>
                <w:rFonts w:hint="eastAsia" w:ascii="仿宋_GB2312" w:hAnsi="新宋体" w:eastAsia="仿宋_GB2312" w:cs="仿宋_GB2312"/>
                <w:kern w:val="0"/>
                <w:szCs w:val="21"/>
              </w:rPr>
              <w:t>-5</w:t>
            </w:r>
            <w:r>
              <w:rPr>
                <w:rFonts w:ascii="仿宋_GB2312" w:hAnsi="新宋体" w:eastAsia="仿宋_GB2312" w:cs="仿宋_GB2312"/>
                <w:kern w:val="0"/>
                <w:szCs w:val="21"/>
              </w:rPr>
              <w:t>%的，得满分；</w:t>
            </w:r>
          </w:p>
          <w:p w14:paraId="53AA507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大于或等于1</w:t>
            </w:r>
            <w:r>
              <w:rPr>
                <w:rFonts w:hint="eastAsia" w:ascii="仿宋_GB2312" w:hAnsi="新宋体" w:eastAsia="仿宋_GB2312" w:cs="仿宋_GB2312"/>
                <w:kern w:val="0"/>
                <w:szCs w:val="21"/>
              </w:rPr>
              <w:t>0</w:t>
            </w:r>
            <w:r>
              <w:rPr>
                <w:rFonts w:ascii="仿宋_GB2312" w:hAnsi="新宋体" w:eastAsia="仿宋_GB2312" w:cs="仿宋_GB2312"/>
                <w:kern w:val="0"/>
                <w:szCs w:val="21"/>
              </w:rPr>
              <w:t>%的，得0分；</w:t>
            </w:r>
          </w:p>
          <w:p w14:paraId="40483AD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w:t>
            </w:r>
            <w:r>
              <w:rPr>
                <w:rFonts w:hint="eastAsia" w:ascii="仿宋_GB2312" w:hAnsi="新宋体" w:eastAsia="仿宋_GB2312" w:cs="仿宋_GB2312"/>
                <w:kern w:val="0"/>
                <w:szCs w:val="21"/>
              </w:rPr>
              <w:t>-5</w:t>
            </w:r>
            <w:r>
              <w:rPr>
                <w:rFonts w:ascii="仿宋_GB2312" w:hAnsi="新宋体" w:eastAsia="仿宋_GB2312" w:cs="仿宋_GB2312"/>
                <w:kern w:val="0"/>
                <w:szCs w:val="21"/>
              </w:rPr>
              <w:t>%-</w:t>
            </w:r>
            <w:r>
              <w:rPr>
                <w:rFonts w:hint="eastAsia" w:ascii="仿宋_GB2312" w:hAnsi="新宋体" w:eastAsia="仿宋_GB2312" w:cs="仿宋_GB2312"/>
                <w:kern w:val="0"/>
                <w:szCs w:val="21"/>
              </w:rPr>
              <w:t>10</w:t>
            </w:r>
            <w:r>
              <w:rPr>
                <w:rFonts w:ascii="仿宋_GB2312" w:hAnsi="新宋体" w:eastAsia="仿宋_GB2312" w:cs="仿宋_GB2312"/>
                <w:kern w:val="0"/>
                <w:szCs w:val="21"/>
              </w:rPr>
              <w:t>%之间的，在0分和满分之间计算确定：</w:t>
            </w:r>
          </w:p>
          <w:p w14:paraId="22367C9C">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得分=[max（</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]/[max（</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）－min（</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）]×该指标分值。</w:t>
            </w:r>
            <w:bookmarkStart w:id="0" w:name="_GoBack"/>
            <w:bookmarkEnd w:id="0"/>
          </w:p>
        </w:tc>
        <w:tc>
          <w:tcPr>
            <w:tcW w:w="567" w:type="dxa"/>
            <w:tcBorders>
              <w:top w:val="single" w:color="auto" w:sz="4" w:space="0"/>
              <w:left w:val="single" w:color="auto" w:sz="4" w:space="0"/>
              <w:bottom w:val="single" w:color="000000" w:sz="4" w:space="0"/>
              <w:right w:val="single" w:color="000000" w:sz="4" w:space="0"/>
            </w:tcBorders>
            <w:vAlign w:val="center"/>
          </w:tcPr>
          <w:p w14:paraId="4AAC429F">
            <w:pPr>
              <w:widowControl/>
              <w:spacing w:line="240" w:lineRule="exact"/>
              <w:jc w:val="left"/>
              <w:rPr>
                <w:szCs w:val="21"/>
              </w:rPr>
            </w:pPr>
            <w:r>
              <w:rPr>
                <w:rFonts w:hint="eastAsia"/>
                <w:szCs w:val="21"/>
              </w:rPr>
              <w:t>2</w:t>
            </w:r>
          </w:p>
        </w:tc>
      </w:tr>
      <w:tr w14:paraId="686429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continue"/>
            <w:tcBorders>
              <w:left w:val="single" w:color="000000" w:sz="4" w:space="0"/>
              <w:bottom w:val="single" w:color="000000" w:sz="4" w:space="0"/>
              <w:right w:val="single" w:color="000000" w:sz="4" w:space="0"/>
            </w:tcBorders>
            <w:vAlign w:val="center"/>
          </w:tcPr>
          <w:p w14:paraId="6ED0DCFE">
            <w:pPr>
              <w:spacing w:line="240" w:lineRule="exact"/>
              <w:rPr>
                <w:rFonts w:ascii="宋体"/>
                <w:szCs w:val="21"/>
              </w:rPr>
            </w:pPr>
          </w:p>
        </w:tc>
        <w:tc>
          <w:tcPr>
            <w:tcW w:w="851" w:type="dxa"/>
            <w:vMerge w:val="continue"/>
            <w:tcBorders>
              <w:left w:val="single" w:color="000000" w:sz="4" w:space="0"/>
              <w:bottom w:val="single" w:color="000000" w:sz="4" w:space="0"/>
              <w:right w:val="single" w:color="000000" w:sz="4" w:space="0"/>
            </w:tcBorders>
            <w:vAlign w:val="center"/>
          </w:tcPr>
          <w:p w14:paraId="7291F9D7">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04D4A40D">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重点支出安排率（2分）</w:t>
            </w:r>
          </w:p>
        </w:tc>
        <w:tc>
          <w:tcPr>
            <w:tcW w:w="3260" w:type="dxa"/>
            <w:tcBorders>
              <w:top w:val="single" w:color="auto" w:sz="4" w:space="0"/>
              <w:left w:val="single" w:color="auto" w:sz="4" w:space="0"/>
              <w:right w:val="single" w:color="auto" w:sz="4" w:space="0"/>
            </w:tcBorders>
            <w:vAlign w:val="center"/>
          </w:tcPr>
          <w:p w14:paraId="43E26A09">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项目总支出：部门（单位）年度预算安排的项目支出总额。</w:t>
            </w:r>
          </w:p>
        </w:tc>
        <w:tc>
          <w:tcPr>
            <w:tcW w:w="2552" w:type="dxa"/>
            <w:tcBorders>
              <w:top w:val="single" w:color="auto" w:sz="4" w:space="0"/>
              <w:left w:val="single" w:color="auto" w:sz="4" w:space="0"/>
              <w:right w:val="single" w:color="auto" w:sz="4" w:space="0"/>
            </w:tcBorders>
            <w:vAlign w:val="center"/>
          </w:tcPr>
          <w:p w14:paraId="2807D91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大于或等于95%的，得满分；</w:t>
            </w:r>
          </w:p>
          <w:p w14:paraId="124DEBC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小于或等于85%的，得0分；</w:t>
            </w:r>
          </w:p>
          <w:p w14:paraId="7A5E987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在85%-95%之间的，在0分和满分之间计算确定：</w:t>
            </w:r>
          </w:p>
          <w:p w14:paraId="4A06C8FC">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得分=[某部门</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）]/[max（</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57971FCC">
            <w:pPr>
              <w:widowControl/>
              <w:spacing w:line="240" w:lineRule="exact"/>
              <w:jc w:val="left"/>
              <w:rPr>
                <w:szCs w:val="21"/>
              </w:rPr>
            </w:pPr>
            <w:r>
              <w:rPr>
                <w:rFonts w:hint="eastAsia"/>
                <w:szCs w:val="21"/>
              </w:rPr>
              <w:t>2</w:t>
            </w:r>
          </w:p>
        </w:tc>
      </w:tr>
      <w:tr w14:paraId="1FDD1D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1C5E7F28">
            <w:pPr>
              <w:widowControl/>
              <w:spacing w:line="240" w:lineRule="exact"/>
              <w:jc w:val="left"/>
              <w:rPr>
                <w:szCs w:val="21"/>
              </w:rPr>
            </w:pPr>
            <w:r>
              <w:rPr>
                <w:rFonts w:ascii="仿宋_GB2312" w:hAnsi="新宋体" w:eastAsia="仿宋_GB2312" w:cs="仿宋_GB2312"/>
                <w:kern w:val="0"/>
                <w:szCs w:val="21"/>
              </w:rPr>
              <w:t>过程(</w:t>
            </w:r>
            <w:r>
              <w:rPr>
                <w:rFonts w:hint="eastAsia" w:ascii="仿宋_GB2312" w:hAnsi="新宋体" w:eastAsia="仿宋_GB2312" w:cs="仿宋_GB2312"/>
                <w:kern w:val="0"/>
                <w:szCs w:val="21"/>
              </w:rPr>
              <w:t>45分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53754E47">
            <w:pPr>
              <w:widowControl/>
              <w:spacing w:line="240" w:lineRule="exact"/>
              <w:jc w:val="left"/>
              <w:rPr>
                <w:szCs w:val="21"/>
              </w:rPr>
            </w:pPr>
            <w:r>
              <w:rPr>
                <w:rFonts w:ascii="仿宋_GB2312" w:hAnsi="新宋体" w:eastAsia="仿宋_GB2312" w:cs="仿宋_GB2312"/>
                <w:kern w:val="0"/>
                <w:szCs w:val="21"/>
              </w:rPr>
              <w:t>预算执行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25分</w:t>
            </w:r>
            <w:r>
              <w:rPr>
                <w:rFonts w:ascii="仿宋_GB2312" w:hAnsi="新宋体" w:eastAsia="仿宋_GB2312" w:cs="仿宋_GB2312"/>
                <w:kern w:val="0"/>
                <w:szCs w:val="21"/>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3EFDE0AC">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预算完成率</w:t>
            </w:r>
          </w:p>
          <w:p w14:paraId="7F880D46">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3DFC182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通过对部门本年度预算完成数与预算数的比较，反映和评价部门预算的完成程度。</w:t>
            </w:r>
          </w:p>
          <w:p w14:paraId="1B217AB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预算完成率=（预算完成数/预算数）×100%。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31D9959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1.预算完成率大于或等于95%的，得满分；</w:t>
            </w:r>
          </w:p>
          <w:p w14:paraId="0AABFAA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2.预算完成率小于或等于85%的，得0分；</w:t>
            </w:r>
          </w:p>
          <w:p w14:paraId="0A3D0DD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3.预算完成率在85%-95%之间的，在0分和满分之间计算确定：</w:t>
            </w:r>
          </w:p>
          <w:p w14:paraId="1DD4913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得分=[某部门预算完成率-min（预算完成率）]/[max（预算完成率）－min（预算完成率）]×该指标分值。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09FAE28A">
            <w:pPr>
              <w:widowControl/>
              <w:spacing w:line="240" w:lineRule="exact"/>
              <w:jc w:val="left"/>
              <w:rPr>
                <w:szCs w:val="21"/>
              </w:rPr>
            </w:pPr>
            <w:r>
              <w:rPr>
                <w:rFonts w:hint="eastAsia"/>
                <w:szCs w:val="21"/>
              </w:rPr>
              <w:t>4</w:t>
            </w:r>
          </w:p>
        </w:tc>
      </w:tr>
      <w:tr w14:paraId="3B079F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3"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69E5EFB">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32D240B6">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41A5F854">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预算调整率</w:t>
            </w:r>
          </w:p>
          <w:p w14:paraId="284C1771">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106E0E6A">
            <w:pPr>
              <w:widowControl/>
              <w:spacing w:line="240" w:lineRule="exact"/>
              <w:jc w:val="left"/>
              <w:rPr>
                <w:szCs w:val="21"/>
              </w:rPr>
            </w:pPr>
            <w:r>
              <w:rPr>
                <w:rFonts w:ascii="仿宋_GB2312" w:hAnsi="新宋体" w:eastAsia="仿宋_GB2312" w:cs="仿宋_GB2312"/>
                <w:kern w:val="0"/>
                <w:szCs w:val="21"/>
              </w:rPr>
              <w:t>部门本年度预算调整数与预算数的比率，用以反映和评价部门预算的调整程度。</w:t>
            </w:r>
          </w:p>
          <w:p w14:paraId="5225F9E6">
            <w:pPr>
              <w:widowControl/>
              <w:spacing w:line="240" w:lineRule="exact"/>
              <w:jc w:val="left"/>
              <w:rPr>
                <w:szCs w:val="21"/>
              </w:rPr>
            </w:pPr>
            <w:r>
              <w:rPr>
                <w:rFonts w:ascii="仿宋_GB2312" w:hAnsi="新宋体" w:eastAsia="仿宋_GB2312" w:cs="仿宋_GB2312"/>
                <w:kern w:val="0"/>
                <w:szCs w:val="21"/>
              </w:rPr>
              <w:t>预算调整率=（预算调整数/预算数）×100%。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024031F4">
            <w:pPr>
              <w:widowControl/>
              <w:spacing w:line="240" w:lineRule="exact"/>
              <w:jc w:val="left"/>
              <w:rPr>
                <w:szCs w:val="21"/>
              </w:rPr>
            </w:pPr>
            <w:r>
              <w:rPr>
                <w:rFonts w:ascii="仿宋_GB2312" w:hAnsi="新宋体" w:eastAsia="仿宋_GB2312" w:cs="仿宋_GB2312"/>
                <w:kern w:val="0"/>
                <w:szCs w:val="21"/>
              </w:rPr>
              <w:t xml:space="preserve">1.预算调整率等于0的，得满分； </w:t>
            </w:r>
          </w:p>
          <w:p w14:paraId="2430388F">
            <w:pPr>
              <w:widowControl/>
              <w:spacing w:line="240" w:lineRule="exact"/>
              <w:jc w:val="left"/>
              <w:rPr>
                <w:szCs w:val="21"/>
              </w:rPr>
            </w:pPr>
            <w:r>
              <w:rPr>
                <w:rFonts w:ascii="仿宋_GB2312" w:hAnsi="新宋体" w:eastAsia="仿宋_GB2312" w:cs="仿宋_GB2312"/>
                <w:kern w:val="0"/>
                <w:szCs w:val="21"/>
              </w:rPr>
              <w:t>2.预算调整率大于或等于10%的，得0分；</w:t>
            </w:r>
          </w:p>
          <w:p w14:paraId="44CFF68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3.预算调整率在0-10%之间的，在0分和满分之间确定：</w:t>
            </w:r>
          </w:p>
          <w:p w14:paraId="2F8A796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得分=［max（预算调整率）-某部门预算调整率］/［max（预算调整率）-min（预算调整率）］×该指标分值。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1AB7709B">
            <w:pPr>
              <w:widowControl/>
              <w:spacing w:line="240" w:lineRule="exact"/>
              <w:jc w:val="left"/>
              <w:rPr>
                <w:szCs w:val="21"/>
              </w:rPr>
            </w:pPr>
            <w:r>
              <w:rPr>
                <w:rFonts w:hint="eastAsia"/>
                <w:szCs w:val="21"/>
              </w:rPr>
              <w:t>3</w:t>
            </w:r>
          </w:p>
        </w:tc>
      </w:tr>
      <w:tr w14:paraId="46CF51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92"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8874053">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906A055">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13F68FB1">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支付进度率</w:t>
            </w:r>
          </w:p>
          <w:p w14:paraId="1CC7CCC1">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5D9EA0F6">
            <w:pPr>
              <w:widowControl/>
              <w:spacing w:line="240" w:lineRule="exact"/>
              <w:jc w:val="left"/>
              <w:rPr>
                <w:szCs w:val="21"/>
              </w:rPr>
            </w:pPr>
            <w:r>
              <w:rPr>
                <w:rFonts w:ascii="仿宋_GB2312" w:hAnsi="新宋体" w:eastAsia="仿宋_GB2312" w:cs="仿宋_GB2312"/>
                <w:kern w:val="0"/>
                <w:szCs w:val="21"/>
              </w:rPr>
              <w:t>部门</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度支付数与</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度任务数的比率，用以反映和评价部门预算执行的及时和均衡程度。</w:t>
            </w:r>
          </w:p>
          <w:p w14:paraId="0455CE5D">
            <w:pPr>
              <w:widowControl/>
              <w:spacing w:line="240" w:lineRule="exact"/>
              <w:jc w:val="left"/>
              <w:rPr>
                <w:szCs w:val="21"/>
              </w:rPr>
            </w:pPr>
            <w:r>
              <w:rPr>
                <w:rFonts w:ascii="仿宋_GB2312" w:hAnsi="新宋体" w:eastAsia="仿宋_GB2312" w:cs="仿宋_GB2312"/>
                <w:kern w:val="0"/>
                <w:szCs w:val="21"/>
              </w:rPr>
              <w:t>支付进度率=（</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度任务数）×100%。</w:t>
            </w:r>
          </w:p>
        </w:tc>
        <w:tc>
          <w:tcPr>
            <w:tcW w:w="2552" w:type="dxa"/>
            <w:tcBorders>
              <w:top w:val="single" w:color="000000" w:sz="4" w:space="0"/>
              <w:left w:val="single" w:color="auto" w:sz="4" w:space="0"/>
              <w:bottom w:val="single" w:color="000000" w:sz="4" w:space="0"/>
              <w:right w:val="single" w:color="auto" w:sz="4" w:space="0"/>
            </w:tcBorders>
            <w:vAlign w:val="center"/>
          </w:tcPr>
          <w:p w14:paraId="45BDF5E9">
            <w:pPr>
              <w:widowControl/>
              <w:spacing w:line="240" w:lineRule="exact"/>
              <w:jc w:val="left"/>
              <w:rPr>
                <w:szCs w:val="21"/>
              </w:rPr>
            </w:pPr>
            <w:r>
              <w:rPr>
                <w:rFonts w:ascii="仿宋_GB2312" w:hAnsi="新宋体" w:eastAsia="仿宋_GB2312" w:cs="仿宋_GB2312"/>
                <w:kern w:val="0"/>
                <w:szCs w:val="21"/>
              </w:rPr>
              <w:t>按</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度的执行情况进行打分</w:t>
            </w:r>
            <w:r>
              <w:rPr>
                <w:rFonts w:hint="eastAsia" w:ascii="仿宋_GB2312" w:hAnsi="新宋体" w:eastAsia="仿宋_GB2312" w:cs="仿宋_GB2312"/>
                <w:kern w:val="0"/>
                <w:szCs w:val="21"/>
              </w:rPr>
              <w:t>。</w:t>
            </w:r>
            <w:r>
              <w:rPr>
                <w:rFonts w:ascii="仿宋_GB2312" w:hAnsi="新宋体" w:eastAsia="仿宋_GB2312" w:cs="仿宋_GB2312"/>
                <w:kern w:val="0"/>
                <w:szCs w:val="21"/>
              </w:rPr>
              <w:t>得分=</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度任务数×该指标分值。</w:t>
            </w:r>
          </w:p>
          <w:p w14:paraId="0625EEAD">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14:paraId="21FD61B0">
            <w:pPr>
              <w:widowControl/>
              <w:spacing w:line="240" w:lineRule="exact"/>
              <w:jc w:val="left"/>
              <w:rPr>
                <w:szCs w:val="21"/>
              </w:rPr>
            </w:pPr>
            <w:r>
              <w:rPr>
                <w:rFonts w:hint="eastAsia"/>
                <w:szCs w:val="21"/>
              </w:rPr>
              <w:t>4</w:t>
            </w:r>
          </w:p>
        </w:tc>
      </w:tr>
      <w:tr w14:paraId="5479BD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DF13EE4">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C4689D2">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462FDA31">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结转</w:t>
            </w:r>
          </w:p>
          <w:p w14:paraId="7BEA257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结余率</w:t>
            </w:r>
          </w:p>
          <w:p w14:paraId="68DFC8AD">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0E64FD90">
            <w:pPr>
              <w:widowControl/>
              <w:spacing w:line="240" w:lineRule="exact"/>
              <w:jc w:val="left"/>
              <w:rPr>
                <w:szCs w:val="21"/>
              </w:rPr>
            </w:pPr>
            <w:r>
              <w:rPr>
                <w:rFonts w:ascii="仿宋_GB2312" w:hAnsi="新宋体" w:eastAsia="仿宋_GB2312" w:cs="仿宋_GB2312"/>
                <w:kern w:val="0"/>
                <w:szCs w:val="21"/>
              </w:rPr>
              <w:t>通过对部门本年度结转结余总额与支出预算数的比较，反映和评价部门对本年度结转结余资金的实际控制程度。</w:t>
            </w:r>
          </w:p>
          <w:p w14:paraId="4DAA4E15">
            <w:pPr>
              <w:widowControl/>
              <w:spacing w:line="240" w:lineRule="exact"/>
              <w:jc w:val="left"/>
              <w:rPr>
                <w:szCs w:val="21"/>
              </w:rPr>
            </w:pPr>
            <w:r>
              <w:rPr>
                <w:rFonts w:ascii="仿宋_GB2312" w:hAnsi="新宋体" w:eastAsia="仿宋_GB2312" w:cs="仿宋_GB2312"/>
                <w:kern w:val="0"/>
                <w:szCs w:val="21"/>
              </w:rPr>
              <w:t>结转结余率=（结转结余总额/支出预算数）×100%。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3620FAA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1.结转结余率等于0的，得满分；</w:t>
            </w:r>
          </w:p>
          <w:p w14:paraId="58F0AE3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2.结转结余率大于或等于50%的，得0分；</w:t>
            </w:r>
          </w:p>
          <w:p w14:paraId="5C796D6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3.结转结余率在0-50%之间的，在0和满分之间计算确定：</w:t>
            </w:r>
          </w:p>
          <w:p w14:paraId="3FAC9E2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得分=[max（结转结余率）－某部门结转结余率]/[max（结转结余率）－min（结转结余率）]×该指标分值。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4067B579">
            <w:pPr>
              <w:widowControl/>
              <w:spacing w:line="240" w:lineRule="exact"/>
              <w:jc w:val="left"/>
              <w:rPr>
                <w:szCs w:val="21"/>
              </w:rPr>
            </w:pPr>
            <w:r>
              <w:rPr>
                <w:rFonts w:hint="eastAsia"/>
                <w:szCs w:val="21"/>
              </w:rPr>
              <w:t>3</w:t>
            </w:r>
          </w:p>
        </w:tc>
      </w:tr>
      <w:tr w14:paraId="24CD0D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79519B7">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76F8A7E7">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49354FA1">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公用经费</w:t>
            </w:r>
          </w:p>
          <w:p w14:paraId="57F0674A">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控制率</w:t>
            </w:r>
          </w:p>
          <w:p w14:paraId="025A068B">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4DEE1C0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通过对部门本年度实际支出的公用经费总额与预算安排的公用经费总额的比率，反映和评价部门对机构运转成本的实际控制程度。</w:t>
            </w:r>
          </w:p>
          <w:p w14:paraId="14CBE45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公用经费控制率=（实际支出公用经费总额/预算安排公用经费总额）×100%。</w:t>
            </w:r>
          </w:p>
        </w:tc>
        <w:tc>
          <w:tcPr>
            <w:tcW w:w="2552" w:type="dxa"/>
            <w:tcBorders>
              <w:top w:val="single" w:color="000000" w:sz="4" w:space="0"/>
              <w:left w:val="single" w:color="auto" w:sz="4" w:space="0"/>
              <w:bottom w:val="single" w:color="000000" w:sz="4" w:space="0"/>
              <w:right w:val="single" w:color="auto" w:sz="4" w:space="0"/>
            </w:tcBorders>
            <w:vAlign w:val="center"/>
          </w:tcPr>
          <w:p w14:paraId="213600C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1.公用经费控制率小于或等于100%的，得满分；</w:t>
            </w:r>
          </w:p>
          <w:p w14:paraId="44BB559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2.公用经费控制率大于或等于105%的，得0分；</w:t>
            </w:r>
          </w:p>
          <w:p w14:paraId="09285AD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3.公用经费控制率在100%-105%之间的，在0和满分之间计算确定：</w:t>
            </w:r>
          </w:p>
          <w:p w14:paraId="31B98FC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得分=［max（公用经费控制率）-某部门公用经费控制率］/［max（公用经费控制率）-min（公用经费控制率）］×该指标分值。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31B4D34C">
            <w:pPr>
              <w:widowControl/>
              <w:spacing w:line="240" w:lineRule="exact"/>
              <w:jc w:val="left"/>
              <w:rPr>
                <w:szCs w:val="21"/>
              </w:rPr>
            </w:pPr>
            <w:r>
              <w:rPr>
                <w:rFonts w:hint="eastAsia"/>
                <w:szCs w:val="21"/>
              </w:rPr>
              <w:t>4</w:t>
            </w:r>
          </w:p>
        </w:tc>
      </w:tr>
      <w:tr w14:paraId="5B7DCC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A2BD295">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020A02A7">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3FCAFF74">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政府采购</w:t>
            </w:r>
          </w:p>
          <w:p w14:paraId="72168AED">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执行率</w:t>
            </w:r>
          </w:p>
          <w:p w14:paraId="48C53866">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7D965B6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通过对部门本年度实际政府采购预算项目个数与政府采购预算项目个数的比较，反映和评价部门政府采购预算执行情况。</w:t>
            </w:r>
          </w:p>
          <w:p w14:paraId="73E8675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政府采购执行率=（实际政府采购预算项目个数/政府采购预算项目个数）×100%。</w:t>
            </w:r>
          </w:p>
          <w:p w14:paraId="6E21435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政府采购项目中非预算内安排的项目除外。</w:t>
            </w:r>
          </w:p>
        </w:tc>
        <w:tc>
          <w:tcPr>
            <w:tcW w:w="2552" w:type="dxa"/>
            <w:tcBorders>
              <w:top w:val="single" w:color="000000" w:sz="4" w:space="0"/>
              <w:left w:val="single" w:color="auto" w:sz="4" w:space="0"/>
              <w:bottom w:val="single" w:color="000000" w:sz="4" w:space="0"/>
              <w:right w:val="single" w:color="auto" w:sz="4" w:space="0"/>
            </w:tcBorders>
            <w:vAlign w:val="center"/>
          </w:tcPr>
          <w:p w14:paraId="090927F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1.政府采购执行率等于100%的，得满分；</w:t>
            </w:r>
          </w:p>
          <w:p w14:paraId="7BA4E25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2.政府采购执行率小于或等于90%的，0分；</w:t>
            </w:r>
          </w:p>
          <w:p w14:paraId="38F7AAA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3.政府采购执行率在90%-100%之间的，在0和满分之间计算确定：</w:t>
            </w:r>
          </w:p>
          <w:p w14:paraId="7F16C02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得分=［某部门政府采购执行率-min（政府采购执行率）］/［max（政府采购执行率）-min（政府采购执行率）］×该指标分值。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0ABED367">
            <w:pPr>
              <w:widowControl/>
              <w:spacing w:line="240" w:lineRule="exact"/>
              <w:jc w:val="left"/>
              <w:rPr>
                <w:szCs w:val="21"/>
              </w:rPr>
            </w:pPr>
            <w:r>
              <w:rPr>
                <w:rFonts w:hint="eastAsia"/>
                <w:szCs w:val="21"/>
              </w:rPr>
              <w:t>4</w:t>
            </w:r>
          </w:p>
        </w:tc>
      </w:tr>
      <w:tr w14:paraId="3919AB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9DF170D">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692E7807">
            <w:pPr>
              <w:widowControl/>
              <w:spacing w:line="240" w:lineRule="exact"/>
              <w:jc w:val="left"/>
              <w:rPr>
                <w:szCs w:val="21"/>
              </w:rPr>
            </w:pPr>
            <w:r>
              <w:rPr>
                <w:rFonts w:ascii="仿宋_GB2312" w:hAnsi="新宋体" w:eastAsia="仿宋_GB2312" w:cs="仿宋_GB2312"/>
                <w:kern w:val="0"/>
                <w:szCs w:val="21"/>
              </w:rPr>
              <w:t>预算管理</w:t>
            </w:r>
            <w:r>
              <w:rPr>
                <w:rFonts w:hint="eastAsia" w:ascii="仿宋_GB2312" w:hAnsi="新宋体" w:eastAsia="仿宋_GB2312" w:cs="仿宋_GB2312"/>
                <w:kern w:val="0"/>
                <w:szCs w:val="21"/>
              </w:rPr>
              <w:t>情况</w:t>
            </w:r>
          </w:p>
          <w:p w14:paraId="63987C61">
            <w:pPr>
              <w:widowControl/>
              <w:spacing w:line="240" w:lineRule="exact"/>
              <w:jc w:val="left"/>
              <w:rPr>
                <w:szCs w:val="21"/>
              </w:rPr>
            </w:pPr>
            <w:r>
              <w:rPr>
                <w:rFonts w:ascii="仿宋_GB2312" w:hAnsi="新宋体" w:eastAsia="仿宋_GB2312" w:cs="仿宋_GB2312"/>
                <w:kern w:val="0"/>
                <w:szCs w:val="21"/>
              </w:rPr>
              <w:t>（15）</w:t>
            </w:r>
          </w:p>
        </w:tc>
        <w:tc>
          <w:tcPr>
            <w:tcW w:w="1559" w:type="dxa"/>
            <w:tcBorders>
              <w:top w:val="single" w:color="000000" w:sz="4" w:space="0"/>
              <w:left w:val="single" w:color="000000" w:sz="4" w:space="0"/>
              <w:bottom w:val="single" w:color="000000" w:sz="4" w:space="0"/>
              <w:right w:val="single" w:color="auto" w:sz="4" w:space="0"/>
            </w:tcBorders>
            <w:vAlign w:val="center"/>
          </w:tcPr>
          <w:p w14:paraId="792815E7">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资金使用</w:t>
            </w:r>
          </w:p>
          <w:p w14:paraId="13BCEE51">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合规性</w:t>
            </w:r>
          </w:p>
          <w:p w14:paraId="1DF2794B">
            <w:pPr>
              <w:widowControl/>
              <w:spacing w:line="240" w:lineRule="exact"/>
              <w:jc w:val="left"/>
              <w:rPr>
                <w:szCs w:val="21"/>
              </w:rPr>
            </w:pPr>
            <w:r>
              <w:rPr>
                <w:rFonts w:ascii="仿宋_GB2312" w:hAnsi="新宋体" w:eastAsia="仿宋_GB2312" w:cs="仿宋_GB2312"/>
                <w:kern w:val="0"/>
                <w:szCs w:val="21"/>
              </w:rPr>
              <w:t>（8</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5F6C5B1E">
            <w:pPr>
              <w:widowControl/>
              <w:spacing w:line="240" w:lineRule="exact"/>
              <w:jc w:val="left"/>
              <w:rPr>
                <w:szCs w:val="21"/>
              </w:rPr>
            </w:pPr>
            <w:r>
              <w:rPr>
                <w:rFonts w:ascii="仿宋_GB2312" w:hAnsi="新宋体" w:eastAsia="仿宋_GB2312" w:cs="仿宋_GB2312"/>
                <w:kern w:val="0"/>
                <w:szCs w:val="21"/>
              </w:rPr>
              <w:t>部门使用预算资金是否符合相关的预算财务管理制度的规定，反映和评价部门预算资金的规范运行情况。</w:t>
            </w:r>
          </w:p>
          <w:p w14:paraId="17CA01B4">
            <w:pPr>
              <w:widowControl/>
              <w:spacing w:line="240" w:lineRule="exact"/>
              <w:jc w:val="left"/>
              <w:rPr>
                <w:szCs w:val="21"/>
              </w:rPr>
            </w:pPr>
            <w:r>
              <w:rPr>
                <w:rFonts w:ascii="仿宋_GB2312" w:hAnsi="新宋体" w:eastAsia="仿宋_GB2312" w:cs="仿宋_GB2312"/>
                <w:kern w:val="0"/>
                <w:szCs w:val="21"/>
              </w:rPr>
              <w:t>评价要点：</w:t>
            </w:r>
          </w:p>
          <w:p w14:paraId="6FDCD5C2">
            <w:pPr>
              <w:widowControl/>
              <w:spacing w:line="240" w:lineRule="exact"/>
              <w:jc w:val="left"/>
              <w:rPr>
                <w:szCs w:val="21"/>
              </w:rPr>
            </w:pPr>
            <w:r>
              <w:rPr>
                <w:rFonts w:ascii="仿宋_GB2312" w:hAnsi="新宋体" w:eastAsia="仿宋_GB2312" w:cs="仿宋_GB2312"/>
                <w:kern w:val="0"/>
                <w:szCs w:val="21"/>
              </w:rPr>
              <w:t>1.符合国家财经法规和财务管理制度规定以及有关部门资金管理办法的规定；</w:t>
            </w:r>
          </w:p>
          <w:p w14:paraId="0A3AB852">
            <w:pPr>
              <w:widowControl/>
              <w:spacing w:line="240" w:lineRule="exact"/>
              <w:jc w:val="left"/>
              <w:rPr>
                <w:szCs w:val="21"/>
              </w:rPr>
            </w:pPr>
            <w:r>
              <w:rPr>
                <w:rFonts w:ascii="仿宋_GB2312" w:hAnsi="新宋体" w:eastAsia="仿宋_GB2312" w:cs="仿宋_GB2312"/>
                <w:kern w:val="0"/>
                <w:szCs w:val="21"/>
              </w:rPr>
              <w:t>2.资金的拨付有完整的审批过程和手续；</w:t>
            </w:r>
          </w:p>
          <w:p w14:paraId="1BBC506B">
            <w:pPr>
              <w:widowControl/>
              <w:spacing w:line="240" w:lineRule="exact"/>
              <w:jc w:val="left"/>
              <w:rPr>
                <w:szCs w:val="21"/>
              </w:rPr>
            </w:pPr>
            <w:r>
              <w:rPr>
                <w:rFonts w:ascii="仿宋_GB2312" w:hAnsi="新宋体" w:eastAsia="仿宋_GB2312" w:cs="仿宋_GB2312"/>
                <w:kern w:val="0"/>
                <w:szCs w:val="21"/>
              </w:rPr>
              <w:t>3.项目的重大开支经过评估论证；</w:t>
            </w:r>
          </w:p>
          <w:p w14:paraId="1BBCFEDC">
            <w:pPr>
              <w:widowControl/>
              <w:spacing w:line="240" w:lineRule="exact"/>
              <w:jc w:val="left"/>
              <w:rPr>
                <w:szCs w:val="21"/>
              </w:rPr>
            </w:pPr>
            <w:r>
              <w:rPr>
                <w:rFonts w:ascii="仿宋_GB2312" w:hAnsi="新宋体" w:eastAsia="仿宋_GB2312" w:cs="仿宋_GB2312"/>
                <w:kern w:val="0"/>
                <w:szCs w:val="21"/>
              </w:rPr>
              <w:t>4.符合部门预算批复的用途；</w:t>
            </w:r>
          </w:p>
          <w:p w14:paraId="50D72B9F">
            <w:pPr>
              <w:widowControl/>
              <w:spacing w:line="240" w:lineRule="exact"/>
              <w:jc w:val="left"/>
              <w:rPr>
                <w:szCs w:val="21"/>
              </w:rPr>
            </w:pPr>
            <w:r>
              <w:rPr>
                <w:rFonts w:ascii="仿宋_GB2312" w:hAnsi="新宋体" w:eastAsia="仿宋_GB2312" w:cs="仿宋_GB2312"/>
                <w:kern w:val="0"/>
                <w:szCs w:val="21"/>
              </w:rPr>
              <w:t>5.不存在截留情况；</w:t>
            </w:r>
          </w:p>
          <w:p w14:paraId="6EDDBF03">
            <w:pPr>
              <w:widowControl/>
              <w:spacing w:line="240" w:lineRule="exact"/>
              <w:jc w:val="left"/>
              <w:rPr>
                <w:szCs w:val="21"/>
              </w:rPr>
            </w:pPr>
            <w:r>
              <w:rPr>
                <w:rFonts w:ascii="仿宋_GB2312" w:hAnsi="新宋体" w:eastAsia="仿宋_GB2312" w:cs="仿宋_GB2312"/>
                <w:kern w:val="0"/>
                <w:szCs w:val="21"/>
              </w:rPr>
              <w:t>6.不存在挤占情况；</w:t>
            </w:r>
          </w:p>
          <w:p w14:paraId="627B88AF">
            <w:pPr>
              <w:widowControl/>
              <w:spacing w:line="240" w:lineRule="exact"/>
              <w:jc w:val="left"/>
              <w:rPr>
                <w:szCs w:val="21"/>
              </w:rPr>
            </w:pPr>
            <w:r>
              <w:rPr>
                <w:rFonts w:ascii="仿宋_GB2312" w:hAnsi="新宋体" w:eastAsia="仿宋_GB2312" w:cs="仿宋_GB2312"/>
                <w:kern w:val="0"/>
                <w:szCs w:val="21"/>
              </w:rPr>
              <w:t>7.不存在挪用情况；</w:t>
            </w:r>
          </w:p>
          <w:p w14:paraId="1B1D5CD0">
            <w:pPr>
              <w:widowControl/>
              <w:spacing w:line="240" w:lineRule="exact"/>
              <w:jc w:val="left"/>
              <w:rPr>
                <w:szCs w:val="21"/>
              </w:rPr>
            </w:pPr>
            <w:r>
              <w:rPr>
                <w:rFonts w:ascii="仿宋_GB2312" w:hAnsi="新宋体" w:eastAsia="仿宋_GB2312" w:cs="仿宋_GB2312"/>
                <w:kern w:val="0"/>
                <w:szCs w:val="21"/>
              </w:rPr>
              <w:t>8.不存在虚列支出情况。</w:t>
            </w:r>
          </w:p>
        </w:tc>
        <w:tc>
          <w:tcPr>
            <w:tcW w:w="2552" w:type="dxa"/>
            <w:tcBorders>
              <w:top w:val="single" w:color="000000" w:sz="4" w:space="0"/>
              <w:left w:val="single" w:color="auto" w:sz="4" w:space="0"/>
              <w:bottom w:val="single" w:color="000000" w:sz="4" w:space="0"/>
              <w:right w:val="single" w:color="auto" w:sz="4" w:space="0"/>
            </w:tcBorders>
            <w:vAlign w:val="center"/>
          </w:tcPr>
          <w:p w14:paraId="27D436FE">
            <w:pPr>
              <w:widowControl/>
              <w:spacing w:line="240" w:lineRule="exact"/>
              <w:jc w:val="left"/>
              <w:rPr>
                <w:szCs w:val="21"/>
              </w:rPr>
            </w:pPr>
            <w:r>
              <w:rPr>
                <w:rFonts w:ascii="仿宋_GB2312" w:hAnsi="新宋体" w:eastAsia="仿宋_GB2312" w:cs="仿宋_GB2312"/>
                <w:kern w:val="0"/>
                <w:szCs w:val="21"/>
              </w:rPr>
              <w:t>全部符合（8）；</w:t>
            </w:r>
          </w:p>
          <w:p w14:paraId="01BCA9F4">
            <w:pPr>
              <w:widowControl/>
              <w:spacing w:line="240" w:lineRule="exact"/>
              <w:jc w:val="left"/>
              <w:rPr>
                <w:szCs w:val="21"/>
              </w:rPr>
            </w:pPr>
            <w:r>
              <w:rPr>
                <w:rFonts w:ascii="仿宋_GB2312" w:hAnsi="新宋体" w:eastAsia="仿宋_GB2312" w:cs="仿宋_GB2312"/>
                <w:kern w:val="0"/>
                <w:szCs w:val="21"/>
              </w:rPr>
              <w:t>符合其中七项（6）；</w:t>
            </w:r>
          </w:p>
          <w:p w14:paraId="6C32C8EE">
            <w:pPr>
              <w:widowControl/>
              <w:spacing w:line="240" w:lineRule="exact"/>
              <w:jc w:val="left"/>
              <w:rPr>
                <w:szCs w:val="21"/>
              </w:rPr>
            </w:pPr>
            <w:r>
              <w:rPr>
                <w:rFonts w:ascii="仿宋_GB2312" w:hAnsi="新宋体" w:eastAsia="仿宋_GB2312" w:cs="仿宋_GB2312"/>
                <w:kern w:val="0"/>
                <w:szCs w:val="21"/>
              </w:rPr>
              <w:t>符合其中六项（4）；</w:t>
            </w:r>
          </w:p>
          <w:p w14:paraId="6193F820">
            <w:pPr>
              <w:widowControl/>
              <w:spacing w:line="240" w:lineRule="exact"/>
              <w:jc w:val="left"/>
              <w:rPr>
                <w:szCs w:val="21"/>
              </w:rPr>
            </w:pPr>
            <w:r>
              <w:rPr>
                <w:rFonts w:ascii="仿宋_GB2312" w:hAnsi="新宋体" w:eastAsia="仿宋_GB2312" w:cs="仿宋_GB2312"/>
                <w:kern w:val="0"/>
                <w:szCs w:val="21"/>
              </w:rPr>
              <w:t>符合其中五项（2）；</w:t>
            </w:r>
          </w:p>
          <w:p w14:paraId="159A9759">
            <w:pPr>
              <w:widowControl/>
              <w:spacing w:line="240" w:lineRule="exact"/>
              <w:jc w:val="left"/>
              <w:rPr>
                <w:szCs w:val="21"/>
              </w:rPr>
            </w:pPr>
            <w:r>
              <w:rPr>
                <w:rFonts w:ascii="仿宋_GB2312" w:hAnsi="新宋体" w:eastAsia="仿宋_GB2312" w:cs="仿宋_GB2312"/>
                <w:kern w:val="0"/>
                <w:szCs w:val="21"/>
              </w:rPr>
              <w:t>符合其中四项及以下（0）。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235AAC14">
            <w:pPr>
              <w:widowControl/>
              <w:spacing w:line="240" w:lineRule="exact"/>
              <w:jc w:val="left"/>
              <w:rPr>
                <w:szCs w:val="21"/>
              </w:rPr>
            </w:pPr>
            <w:r>
              <w:rPr>
                <w:rFonts w:hint="eastAsia"/>
                <w:szCs w:val="21"/>
              </w:rPr>
              <w:t>8</w:t>
            </w:r>
          </w:p>
        </w:tc>
      </w:tr>
      <w:tr w14:paraId="760F96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3B58504">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6F1DCFD4">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738F9A62">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预决算信息</w:t>
            </w:r>
          </w:p>
          <w:p w14:paraId="1DCAD1D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公开性</w:t>
            </w:r>
          </w:p>
          <w:p w14:paraId="7E803BBC">
            <w:pPr>
              <w:widowControl/>
              <w:spacing w:line="240" w:lineRule="exact"/>
              <w:jc w:val="left"/>
              <w:rPr>
                <w:szCs w:val="21"/>
              </w:rPr>
            </w:pPr>
            <w:r>
              <w:rPr>
                <w:rFonts w:ascii="仿宋_GB2312" w:hAnsi="新宋体" w:eastAsia="仿宋_GB2312" w:cs="仿宋_GB2312"/>
                <w:kern w:val="0"/>
                <w:szCs w:val="21"/>
              </w:rPr>
              <w:t>（3</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66167FE7">
            <w:pPr>
              <w:widowControl/>
              <w:spacing w:line="240" w:lineRule="exact"/>
              <w:jc w:val="left"/>
              <w:rPr>
                <w:szCs w:val="21"/>
              </w:rPr>
            </w:pPr>
            <w:r>
              <w:rPr>
                <w:rFonts w:ascii="仿宋_GB2312" w:hAnsi="新宋体" w:eastAsia="仿宋_GB2312" w:cs="仿宋_GB2312"/>
                <w:kern w:val="0"/>
                <w:szCs w:val="21"/>
              </w:rPr>
              <w:t>部门是否按照政府信息公开有关规定公开相关预决算信息，用以反映和评价部门预决算管理的公开透明情况。</w:t>
            </w:r>
          </w:p>
          <w:p w14:paraId="72973DB4">
            <w:pPr>
              <w:widowControl/>
              <w:spacing w:line="240" w:lineRule="exact"/>
              <w:jc w:val="left"/>
              <w:rPr>
                <w:szCs w:val="21"/>
              </w:rPr>
            </w:pPr>
            <w:r>
              <w:rPr>
                <w:rFonts w:ascii="仿宋_GB2312" w:hAnsi="新宋体" w:eastAsia="仿宋_GB2312" w:cs="仿宋_GB2312"/>
                <w:kern w:val="0"/>
                <w:szCs w:val="21"/>
              </w:rPr>
              <w:t>预决算信息是指与部门预算、执行、决算、监督、绩效等管理相关的信息。</w:t>
            </w:r>
          </w:p>
          <w:p w14:paraId="4011F716">
            <w:pPr>
              <w:widowControl/>
              <w:spacing w:line="240" w:lineRule="exact"/>
              <w:jc w:val="left"/>
              <w:rPr>
                <w:szCs w:val="21"/>
              </w:rPr>
            </w:pPr>
            <w:r>
              <w:rPr>
                <w:rFonts w:ascii="仿宋_GB2312" w:hAnsi="新宋体" w:eastAsia="仿宋_GB2312" w:cs="仿宋_GB2312"/>
                <w:kern w:val="0"/>
                <w:szCs w:val="21"/>
              </w:rPr>
              <w:t>评价要点：</w:t>
            </w:r>
          </w:p>
          <w:p w14:paraId="51064F6D">
            <w:pPr>
              <w:widowControl/>
              <w:spacing w:line="240" w:lineRule="exact"/>
              <w:jc w:val="left"/>
              <w:rPr>
                <w:szCs w:val="21"/>
              </w:rPr>
            </w:pPr>
            <w:r>
              <w:rPr>
                <w:rFonts w:ascii="仿宋_GB2312" w:hAnsi="新宋体" w:eastAsia="仿宋_GB2312" w:cs="仿宋_GB2312"/>
                <w:kern w:val="0"/>
                <w:szCs w:val="21"/>
              </w:rPr>
              <w:t>1.公开预决算信息；</w:t>
            </w:r>
          </w:p>
          <w:p w14:paraId="7FEC01D9">
            <w:pPr>
              <w:widowControl/>
              <w:spacing w:line="240" w:lineRule="exact"/>
              <w:jc w:val="left"/>
              <w:rPr>
                <w:szCs w:val="21"/>
              </w:rPr>
            </w:pPr>
            <w:r>
              <w:rPr>
                <w:rFonts w:ascii="仿宋_GB2312" w:hAnsi="新宋体" w:eastAsia="仿宋_GB2312" w:cs="仿宋_GB2312"/>
                <w:kern w:val="0"/>
                <w:szCs w:val="21"/>
              </w:rPr>
              <w:t>2.按规定内容公开预决算信息；</w:t>
            </w:r>
          </w:p>
          <w:p w14:paraId="46D093CF">
            <w:pPr>
              <w:widowControl/>
              <w:spacing w:line="240" w:lineRule="exact"/>
              <w:jc w:val="left"/>
              <w:rPr>
                <w:szCs w:val="21"/>
              </w:rPr>
            </w:pPr>
            <w:r>
              <w:rPr>
                <w:rFonts w:ascii="仿宋_GB2312" w:hAnsi="新宋体" w:eastAsia="仿宋_GB2312" w:cs="仿宋_GB2312"/>
                <w:kern w:val="0"/>
                <w:szCs w:val="21"/>
              </w:rPr>
              <w:t>3.按规定时限公开预决算信息。</w:t>
            </w:r>
          </w:p>
        </w:tc>
        <w:tc>
          <w:tcPr>
            <w:tcW w:w="2552" w:type="dxa"/>
            <w:tcBorders>
              <w:top w:val="single" w:color="000000" w:sz="4" w:space="0"/>
              <w:left w:val="single" w:color="auto" w:sz="4" w:space="0"/>
              <w:bottom w:val="single" w:color="000000" w:sz="4" w:space="0"/>
              <w:right w:val="single" w:color="auto" w:sz="4" w:space="0"/>
            </w:tcBorders>
            <w:vAlign w:val="center"/>
          </w:tcPr>
          <w:p w14:paraId="7FD8D7AC">
            <w:pPr>
              <w:widowControl/>
              <w:spacing w:line="240" w:lineRule="exact"/>
              <w:jc w:val="left"/>
              <w:rPr>
                <w:szCs w:val="21"/>
              </w:rPr>
            </w:pPr>
            <w:r>
              <w:rPr>
                <w:rFonts w:ascii="仿宋_GB2312" w:hAnsi="新宋体" w:eastAsia="仿宋_GB2312" w:cs="仿宋_GB2312"/>
                <w:kern w:val="0"/>
                <w:szCs w:val="21"/>
              </w:rPr>
              <w:t>全部符合（3）；</w:t>
            </w:r>
          </w:p>
          <w:p w14:paraId="320E9B92">
            <w:pPr>
              <w:widowControl/>
              <w:spacing w:line="240" w:lineRule="exact"/>
              <w:jc w:val="left"/>
              <w:rPr>
                <w:szCs w:val="21"/>
              </w:rPr>
            </w:pPr>
            <w:r>
              <w:rPr>
                <w:rFonts w:ascii="仿宋_GB2312" w:hAnsi="新宋体" w:eastAsia="仿宋_GB2312" w:cs="仿宋_GB2312"/>
                <w:kern w:val="0"/>
                <w:szCs w:val="21"/>
              </w:rPr>
              <w:t>符合其中两项（2）</w:t>
            </w:r>
          </w:p>
          <w:p w14:paraId="733CCE5E">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7C91B3F6">
            <w:pPr>
              <w:widowControl/>
              <w:spacing w:line="240" w:lineRule="exact"/>
              <w:jc w:val="left"/>
              <w:rPr>
                <w:szCs w:val="21"/>
              </w:rPr>
            </w:pPr>
            <w:r>
              <w:rPr>
                <w:rFonts w:hint="eastAsia"/>
                <w:szCs w:val="21"/>
              </w:rPr>
              <w:t>3</w:t>
            </w:r>
          </w:p>
        </w:tc>
      </w:tr>
      <w:tr w14:paraId="0EBFF4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4CDB70D">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33555304">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12205E67">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基础信息</w:t>
            </w:r>
          </w:p>
          <w:p w14:paraId="27C13C9E">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完善性</w:t>
            </w:r>
          </w:p>
          <w:p w14:paraId="151401E7">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23B74051">
            <w:pPr>
              <w:widowControl/>
              <w:spacing w:line="240" w:lineRule="exact"/>
              <w:jc w:val="left"/>
              <w:rPr>
                <w:szCs w:val="21"/>
              </w:rPr>
            </w:pPr>
            <w:r>
              <w:rPr>
                <w:rFonts w:ascii="仿宋_GB2312" w:hAnsi="新宋体" w:eastAsia="仿宋_GB2312" w:cs="仿宋_GB2312"/>
                <w:kern w:val="0"/>
                <w:szCs w:val="21"/>
              </w:rPr>
              <w:t>部门基础信息是否完善，用以反映和评价基础信息对预算管理工作的支撑情况。</w:t>
            </w:r>
          </w:p>
          <w:p w14:paraId="7FF34E6D">
            <w:pPr>
              <w:widowControl/>
              <w:spacing w:line="240" w:lineRule="exact"/>
              <w:jc w:val="left"/>
              <w:rPr>
                <w:szCs w:val="21"/>
              </w:rPr>
            </w:pPr>
            <w:r>
              <w:rPr>
                <w:rFonts w:ascii="仿宋_GB2312" w:hAnsi="新宋体" w:eastAsia="仿宋_GB2312" w:cs="仿宋_GB2312"/>
                <w:kern w:val="0"/>
                <w:szCs w:val="21"/>
              </w:rPr>
              <w:t>评价要点：</w:t>
            </w:r>
          </w:p>
          <w:p w14:paraId="7E9D1BE1">
            <w:pPr>
              <w:widowControl/>
              <w:spacing w:line="240" w:lineRule="exact"/>
              <w:jc w:val="left"/>
              <w:rPr>
                <w:szCs w:val="21"/>
              </w:rPr>
            </w:pPr>
            <w:r>
              <w:rPr>
                <w:rFonts w:ascii="仿宋_GB2312" w:hAnsi="新宋体" w:eastAsia="仿宋_GB2312" w:cs="仿宋_GB2312"/>
                <w:kern w:val="0"/>
                <w:szCs w:val="21"/>
              </w:rPr>
              <w:t>1.基本财务管理制度健全；</w:t>
            </w:r>
          </w:p>
          <w:p w14:paraId="56A5626D">
            <w:pPr>
              <w:widowControl/>
              <w:spacing w:line="240" w:lineRule="exact"/>
              <w:jc w:val="left"/>
              <w:rPr>
                <w:szCs w:val="21"/>
              </w:rPr>
            </w:pPr>
            <w:r>
              <w:rPr>
                <w:rFonts w:ascii="仿宋_GB2312" w:hAnsi="新宋体" w:eastAsia="仿宋_GB2312" w:cs="仿宋_GB2312"/>
                <w:kern w:val="0"/>
                <w:szCs w:val="21"/>
              </w:rPr>
              <w:t>2.基础数据信息和会计信息资料真实；</w:t>
            </w:r>
          </w:p>
          <w:p w14:paraId="380F9520">
            <w:pPr>
              <w:widowControl/>
              <w:spacing w:line="240" w:lineRule="exact"/>
              <w:jc w:val="left"/>
              <w:rPr>
                <w:szCs w:val="21"/>
              </w:rPr>
            </w:pPr>
            <w:r>
              <w:rPr>
                <w:rFonts w:ascii="仿宋_GB2312" w:hAnsi="新宋体" w:eastAsia="仿宋_GB2312" w:cs="仿宋_GB2312"/>
                <w:kern w:val="0"/>
                <w:szCs w:val="21"/>
              </w:rPr>
              <w:t>3.基础数据信息和会计信息资料完整；</w:t>
            </w:r>
          </w:p>
          <w:p w14:paraId="2C5C8741">
            <w:pPr>
              <w:widowControl/>
              <w:spacing w:line="240" w:lineRule="exact"/>
              <w:jc w:val="left"/>
              <w:rPr>
                <w:szCs w:val="21"/>
              </w:rPr>
            </w:pPr>
            <w:r>
              <w:rPr>
                <w:rFonts w:ascii="仿宋_GB2312" w:hAnsi="新宋体" w:eastAsia="仿宋_GB2312" w:cs="仿宋_GB2312"/>
                <w:kern w:val="0"/>
                <w:szCs w:val="21"/>
              </w:rPr>
              <w:t>4.基础数据信息和会计信息资料准确。</w:t>
            </w:r>
          </w:p>
        </w:tc>
        <w:tc>
          <w:tcPr>
            <w:tcW w:w="2552" w:type="dxa"/>
            <w:tcBorders>
              <w:top w:val="single" w:color="000000" w:sz="4" w:space="0"/>
              <w:left w:val="single" w:color="auto" w:sz="4" w:space="0"/>
              <w:bottom w:val="single" w:color="000000" w:sz="4" w:space="0"/>
              <w:right w:val="single" w:color="auto" w:sz="4" w:space="0"/>
            </w:tcBorders>
            <w:vAlign w:val="center"/>
          </w:tcPr>
          <w:p w14:paraId="1548F413">
            <w:pPr>
              <w:widowControl/>
              <w:spacing w:line="240" w:lineRule="exact"/>
              <w:jc w:val="left"/>
              <w:rPr>
                <w:szCs w:val="21"/>
              </w:rPr>
            </w:pPr>
            <w:r>
              <w:rPr>
                <w:rFonts w:ascii="仿宋_GB2312" w:hAnsi="新宋体" w:eastAsia="仿宋_GB2312" w:cs="仿宋_GB2312"/>
                <w:kern w:val="0"/>
                <w:szCs w:val="21"/>
              </w:rPr>
              <w:t>符合全部四项（4）；</w:t>
            </w:r>
          </w:p>
          <w:p w14:paraId="2296B985">
            <w:pPr>
              <w:widowControl/>
              <w:spacing w:line="240" w:lineRule="exact"/>
              <w:jc w:val="left"/>
              <w:rPr>
                <w:szCs w:val="21"/>
              </w:rPr>
            </w:pPr>
            <w:r>
              <w:rPr>
                <w:rFonts w:ascii="仿宋_GB2312" w:hAnsi="新宋体" w:eastAsia="仿宋_GB2312" w:cs="仿宋_GB2312"/>
                <w:kern w:val="0"/>
                <w:szCs w:val="21"/>
              </w:rPr>
              <w:t>符合其中三项（2）；</w:t>
            </w:r>
          </w:p>
          <w:p w14:paraId="142B8076">
            <w:pPr>
              <w:widowControl/>
              <w:spacing w:line="240" w:lineRule="exact"/>
              <w:jc w:val="left"/>
              <w:rPr>
                <w:szCs w:val="21"/>
              </w:rPr>
            </w:pPr>
            <w:r>
              <w:rPr>
                <w:rFonts w:ascii="仿宋_GB2312" w:hAnsi="新宋体" w:eastAsia="仿宋_GB2312" w:cs="仿宋_GB2312"/>
                <w:kern w:val="0"/>
                <w:szCs w:val="21"/>
              </w:rPr>
              <w:t>符合其中两项（1）；</w:t>
            </w:r>
          </w:p>
          <w:p w14:paraId="50CB3836">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2B52E9FC">
            <w:pPr>
              <w:widowControl/>
              <w:spacing w:line="240" w:lineRule="exact"/>
              <w:jc w:val="left"/>
              <w:rPr>
                <w:szCs w:val="21"/>
              </w:rPr>
            </w:pPr>
            <w:r>
              <w:rPr>
                <w:rFonts w:hint="eastAsia"/>
                <w:szCs w:val="21"/>
              </w:rPr>
              <w:t>4</w:t>
            </w:r>
          </w:p>
        </w:tc>
      </w:tr>
      <w:tr w14:paraId="17D982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55E60E4">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1EB6943D">
            <w:pPr>
              <w:widowControl/>
              <w:spacing w:line="240" w:lineRule="exact"/>
              <w:jc w:val="left"/>
              <w:rPr>
                <w:szCs w:val="21"/>
              </w:rPr>
            </w:pPr>
            <w:r>
              <w:rPr>
                <w:rFonts w:ascii="仿宋_GB2312" w:hAnsi="新宋体" w:eastAsia="仿宋_GB2312" w:cs="仿宋_GB2312"/>
                <w:kern w:val="0"/>
                <w:szCs w:val="21"/>
              </w:rPr>
              <w:t>资产管理</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auto" w:sz="4" w:space="0"/>
              <w:left w:val="single" w:color="000000" w:sz="4" w:space="0"/>
              <w:bottom w:val="single" w:color="000000" w:sz="4" w:space="0"/>
              <w:right w:val="single" w:color="auto" w:sz="4" w:space="0"/>
            </w:tcBorders>
            <w:vAlign w:val="center"/>
          </w:tcPr>
          <w:p w14:paraId="536AB0E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资产管理</w:t>
            </w:r>
          </w:p>
          <w:p w14:paraId="3802C7D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完整性</w:t>
            </w:r>
          </w:p>
          <w:p w14:paraId="5C719120">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2分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575B4586">
            <w:pPr>
              <w:widowControl/>
              <w:spacing w:line="240" w:lineRule="exact"/>
              <w:jc w:val="left"/>
              <w:rPr>
                <w:szCs w:val="21"/>
              </w:rPr>
            </w:pPr>
            <w:r>
              <w:rPr>
                <w:rFonts w:ascii="仿宋_GB2312" w:hAnsi="新宋体" w:eastAsia="仿宋_GB2312" w:cs="仿宋_GB2312"/>
                <w:kern w:val="0"/>
                <w:szCs w:val="21"/>
              </w:rPr>
              <w:t>部门的资产是否保存完整、使用合规、收入及时足额上缴，用以反映和评价部门资产运行情况。</w:t>
            </w:r>
          </w:p>
          <w:p w14:paraId="15D9F5BB">
            <w:pPr>
              <w:widowControl/>
              <w:spacing w:line="240" w:lineRule="exact"/>
              <w:jc w:val="left"/>
              <w:rPr>
                <w:szCs w:val="21"/>
              </w:rPr>
            </w:pPr>
            <w:r>
              <w:rPr>
                <w:rFonts w:ascii="仿宋_GB2312" w:hAnsi="新宋体" w:eastAsia="仿宋_GB2312" w:cs="仿宋_GB2312"/>
                <w:kern w:val="0"/>
                <w:szCs w:val="21"/>
              </w:rPr>
              <w:t>评价要点：</w:t>
            </w:r>
          </w:p>
          <w:p w14:paraId="5FF13F0F">
            <w:pPr>
              <w:widowControl/>
              <w:spacing w:line="240" w:lineRule="exact"/>
              <w:jc w:val="left"/>
              <w:rPr>
                <w:szCs w:val="21"/>
              </w:rPr>
            </w:pPr>
            <w:r>
              <w:rPr>
                <w:rFonts w:ascii="仿宋_GB2312" w:hAnsi="新宋体" w:eastAsia="仿宋_GB2312" w:cs="仿宋_GB2312"/>
                <w:kern w:val="0"/>
                <w:szCs w:val="21"/>
              </w:rPr>
              <w:t>1.资产保存完整；</w:t>
            </w:r>
          </w:p>
          <w:p w14:paraId="69BE11E3">
            <w:pPr>
              <w:widowControl/>
              <w:spacing w:line="240" w:lineRule="exact"/>
              <w:jc w:val="left"/>
              <w:rPr>
                <w:szCs w:val="21"/>
              </w:rPr>
            </w:pPr>
            <w:r>
              <w:rPr>
                <w:rFonts w:ascii="仿宋_GB2312" w:hAnsi="新宋体" w:eastAsia="仿宋_GB2312" w:cs="仿宋_GB2312"/>
                <w:kern w:val="0"/>
                <w:szCs w:val="21"/>
              </w:rPr>
              <w:t>2.资产账务管理是否合规，</w:t>
            </w:r>
            <w:r>
              <w:rPr>
                <w:rFonts w:hint="eastAsia" w:ascii="仿宋_GB2312" w:hAnsi="新宋体" w:eastAsia="仿宋_GB2312" w:cs="仿宋_GB2312"/>
                <w:kern w:val="0"/>
                <w:szCs w:val="21"/>
                <w:lang w:eastAsia="zh-CN"/>
              </w:rPr>
              <w:t>账实相符</w:t>
            </w:r>
            <w:r>
              <w:rPr>
                <w:rFonts w:ascii="仿宋_GB2312" w:hAnsi="新宋体" w:eastAsia="仿宋_GB2312" w:cs="仿宋_GB2312"/>
                <w:kern w:val="0"/>
                <w:szCs w:val="21"/>
              </w:rPr>
              <w:t>；</w:t>
            </w:r>
          </w:p>
          <w:p w14:paraId="6EABFA3F">
            <w:pPr>
              <w:widowControl/>
              <w:spacing w:line="240" w:lineRule="exact"/>
              <w:jc w:val="left"/>
              <w:rPr>
                <w:szCs w:val="21"/>
              </w:rPr>
            </w:pPr>
            <w:r>
              <w:rPr>
                <w:rFonts w:ascii="仿宋_GB2312" w:hAnsi="新宋体" w:eastAsia="仿宋_GB2312" w:cs="仿宋_GB2312"/>
                <w:kern w:val="0"/>
                <w:szCs w:val="21"/>
              </w:rPr>
              <w:t>3.资产有偿使用及处置收入及时足额上缴。</w:t>
            </w:r>
          </w:p>
        </w:tc>
        <w:tc>
          <w:tcPr>
            <w:tcW w:w="2552" w:type="dxa"/>
            <w:tcBorders>
              <w:top w:val="single" w:color="auto" w:sz="4" w:space="0"/>
              <w:left w:val="single" w:color="auto" w:sz="4" w:space="0"/>
              <w:bottom w:val="single" w:color="000000" w:sz="4" w:space="0"/>
              <w:right w:val="single" w:color="auto" w:sz="4" w:space="0"/>
            </w:tcBorders>
            <w:vAlign w:val="center"/>
          </w:tcPr>
          <w:p w14:paraId="6E0013CA">
            <w:pPr>
              <w:widowControl/>
              <w:spacing w:line="240" w:lineRule="exact"/>
              <w:jc w:val="left"/>
              <w:rPr>
                <w:szCs w:val="21"/>
              </w:rPr>
            </w:pPr>
            <w:r>
              <w:rPr>
                <w:rFonts w:ascii="仿宋_GB2312" w:hAnsi="新宋体" w:eastAsia="仿宋_GB2312" w:cs="仿宋_GB2312"/>
                <w:kern w:val="0"/>
                <w:szCs w:val="21"/>
              </w:rPr>
              <w:t>符合全部三项（3）；</w:t>
            </w:r>
          </w:p>
          <w:p w14:paraId="451B4B22">
            <w:pPr>
              <w:widowControl/>
              <w:spacing w:line="240" w:lineRule="exact"/>
              <w:jc w:val="left"/>
              <w:rPr>
                <w:szCs w:val="21"/>
              </w:rPr>
            </w:pPr>
            <w:r>
              <w:rPr>
                <w:rFonts w:ascii="仿宋_GB2312" w:hAnsi="新宋体" w:eastAsia="仿宋_GB2312" w:cs="仿宋_GB2312"/>
                <w:kern w:val="0"/>
                <w:szCs w:val="21"/>
              </w:rPr>
              <w:t>符合其中两项（2）；</w:t>
            </w:r>
          </w:p>
          <w:p w14:paraId="0203F8EC">
            <w:pPr>
              <w:widowControl/>
              <w:spacing w:line="240" w:lineRule="exact"/>
              <w:jc w:val="left"/>
              <w:rPr>
                <w:szCs w:val="21"/>
              </w:rPr>
            </w:pPr>
            <w:r>
              <w:rPr>
                <w:rFonts w:ascii="仿宋_GB2312" w:hAnsi="新宋体" w:eastAsia="仿宋_GB2312" w:cs="仿宋_GB2312"/>
                <w:kern w:val="0"/>
                <w:szCs w:val="21"/>
              </w:rPr>
              <w:t>符合其中一项（1）；</w:t>
            </w:r>
          </w:p>
          <w:p w14:paraId="4A2DD6D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符合零项（0）。</w:t>
            </w:r>
          </w:p>
        </w:tc>
        <w:tc>
          <w:tcPr>
            <w:tcW w:w="567" w:type="dxa"/>
            <w:tcBorders>
              <w:top w:val="single" w:color="auto" w:sz="4" w:space="0"/>
              <w:left w:val="single" w:color="auto" w:sz="4" w:space="0"/>
              <w:bottom w:val="single" w:color="000000" w:sz="4" w:space="0"/>
              <w:right w:val="single" w:color="000000" w:sz="4" w:space="0"/>
            </w:tcBorders>
            <w:vAlign w:val="center"/>
          </w:tcPr>
          <w:p w14:paraId="5A840253">
            <w:pPr>
              <w:widowControl/>
              <w:spacing w:line="240" w:lineRule="exact"/>
              <w:jc w:val="left"/>
              <w:rPr>
                <w:szCs w:val="21"/>
              </w:rPr>
            </w:pPr>
            <w:r>
              <w:rPr>
                <w:rFonts w:hint="eastAsia"/>
                <w:szCs w:val="21"/>
              </w:rPr>
              <w:t>2</w:t>
            </w:r>
          </w:p>
        </w:tc>
      </w:tr>
      <w:tr w14:paraId="7DEE52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8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163F190">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708E9BE6">
            <w:pPr>
              <w:spacing w:line="240" w:lineRule="exact"/>
              <w:rPr>
                <w:rFonts w:ascii="宋体"/>
                <w:szCs w:val="21"/>
              </w:rPr>
            </w:pPr>
          </w:p>
        </w:tc>
        <w:tc>
          <w:tcPr>
            <w:tcW w:w="1559" w:type="dxa"/>
            <w:tcBorders>
              <w:top w:val="single" w:color="auto" w:sz="4" w:space="0"/>
              <w:left w:val="single" w:color="000000" w:sz="4" w:space="0"/>
              <w:bottom w:val="single" w:color="000000" w:sz="4" w:space="0"/>
              <w:right w:val="single" w:color="auto" w:sz="4" w:space="0"/>
            </w:tcBorders>
            <w:vAlign w:val="center"/>
          </w:tcPr>
          <w:p w14:paraId="3F4A536F">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固定资产</w:t>
            </w:r>
          </w:p>
          <w:p w14:paraId="41BEBAF7">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利用率</w:t>
            </w:r>
          </w:p>
          <w:p w14:paraId="4ADD8441">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6C97ECA6">
            <w:pPr>
              <w:widowControl/>
              <w:spacing w:line="240" w:lineRule="exact"/>
              <w:jc w:val="left"/>
              <w:rPr>
                <w:szCs w:val="21"/>
              </w:rPr>
            </w:pPr>
            <w:r>
              <w:rPr>
                <w:rFonts w:ascii="仿宋_GB2312" w:hAnsi="新宋体" w:eastAsia="仿宋_GB2312" w:cs="仿宋_GB2312"/>
                <w:kern w:val="0"/>
                <w:szCs w:val="21"/>
              </w:rPr>
              <w:t>部门实际在用固定资产总额与所有固定资产总额的比率，用以反映和评价部门固定资产使用效率。</w:t>
            </w:r>
          </w:p>
          <w:p w14:paraId="19302105">
            <w:pPr>
              <w:widowControl/>
              <w:spacing w:line="240" w:lineRule="exact"/>
              <w:jc w:val="left"/>
              <w:rPr>
                <w:szCs w:val="21"/>
              </w:rPr>
            </w:pPr>
            <w:r>
              <w:rPr>
                <w:rFonts w:ascii="仿宋_GB2312" w:hAnsi="新宋体" w:eastAsia="仿宋_GB2312" w:cs="仿宋_GB2312"/>
                <w:kern w:val="0"/>
                <w:szCs w:val="21"/>
              </w:rPr>
              <w:t>固定资产利用率=（实际在用固定资产总额/所有固定资产总额）×100%。</w:t>
            </w:r>
          </w:p>
        </w:tc>
        <w:tc>
          <w:tcPr>
            <w:tcW w:w="2552" w:type="dxa"/>
            <w:tcBorders>
              <w:top w:val="single" w:color="auto" w:sz="4" w:space="0"/>
              <w:left w:val="single" w:color="auto" w:sz="4" w:space="0"/>
              <w:bottom w:val="single" w:color="000000" w:sz="4" w:space="0"/>
              <w:right w:val="single" w:color="auto" w:sz="4" w:space="0"/>
            </w:tcBorders>
            <w:vAlign w:val="center"/>
          </w:tcPr>
          <w:p w14:paraId="169FA1C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1.固定资产利用率大于或等于95%的，得满分；</w:t>
            </w:r>
          </w:p>
          <w:p w14:paraId="3D83CB5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2.固定资产利用率小于或等于85%的，得0分；</w:t>
            </w:r>
          </w:p>
          <w:p w14:paraId="430EA4A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3.固定资产利用率在85%-95%之间的，在0和满分之间计算确定：</w:t>
            </w:r>
          </w:p>
          <w:p w14:paraId="5E165502">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得分=［某部门固定资产利用率-min（固定资产利用率）］/［max（固定资产利用率）-min（固定资产利用率）］×该指标分值。</w:t>
            </w:r>
          </w:p>
          <w:p w14:paraId="0426DD6D">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auto" w:sz="4" w:space="0"/>
              <w:left w:val="single" w:color="auto" w:sz="4" w:space="0"/>
              <w:bottom w:val="single" w:color="000000" w:sz="4" w:space="0"/>
              <w:right w:val="single" w:color="000000" w:sz="4" w:space="0"/>
            </w:tcBorders>
            <w:vAlign w:val="center"/>
          </w:tcPr>
          <w:p w14:paraId="1D127581">
            <w:pPr>
              <w:widowControl/>
              <w:spacing w:line="240" w:lineRule="exact"/>
              <w:jc w:val="left"/>
              <w:rPr>
                <w:szCs w:val="21"/>
              </w:rPr>
            </w:pPr>
            <w:r>
              <w:rPr>
                <w:rFonts w:hint="eastAsia"/>
                <w:szCs w:val="21"/>
              </w:rPr>
              <w:t>3</w:t>
            </w:r>
          </w:p>
        </w:tc>
      </w:tr>
      <w:tr w14:paraId="330FCA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1824C170">
            <w:pPr>
              <w:widowControl/>
              <w:spacing w:line="240" w:lineRule="exact"/>
              <w:jc w:val="left"/>
              <w:rPr>
                <w:szCs w:val="21"/>
              </w:rPr>
            </w:pPr>
            <w:r>
              <w:rPr>
                <w:rFonts w:ascii="仿宋_GB2312" w:hAnsi="新宋体" w:eastAsia="仿宋_GB2312" w:cs="仿宋_GB2312"/>
                <w:kern w:val="0"/>
                <w:szCs w:val="21"/>
              </w:rPr>
              <w:t>产出(2</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64FB8501">
            <w:pPr>
              <w:widowControl/>
              <w:spacing w:line="240" w:lineRule="exact"/>
              <w:jc w:val="left"/>
              <w:rPr>
                <w:szCs w:val="21"/>
              </w:rPr>
            </w:pPr>
            <w:r>
              <w:rPr>
                <w:rFonts w:ascii="仿宋_GB2312" w:hAnsi="新宋体" w:eastAsia="仿宋_GB2312" w:cs="仿宋_GB2312"/>
                <w:kern w:val="0"/>
                <w:szCs w:val="21"/>
              </w:rPr>
              <w:t>职责履行</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（2</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5ECB5450">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w:t>
            </w:r>
          </w:p>
          <w:p w14:paraId="28A8CC58">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完成</w:t>
            </w:r>
          </w:p>
          <w:p w14:paraId="2254390C">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情况</w:t>
            </w:r>
          </w:p>
          <w:p w14:paraId="695CE1DB">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10分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13D1A8C5">
            <w:pPr>
              <w:widowControl/>
              <w:spacing w:line="240" w:lineRule="exact"/>
              <w:jc w:val="left"/>
              <w:textAlignment w:val="center"/>
              <w:rPr>
                <w:szCs w:val="21"/>
              </w:rPr>
            </w:pPr>
            <w:r>
              <w:rPr>
                <w:rFonts w:hint="eastAsia" w:ascii="仿宋" w:hAnsi="仿宋" w:eastAsia="仿宋" w:cs="仿宋"/>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1.每项任务是否已制定了明确、具体、可量化、可衡量的绩效指标；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2.每项任务绩效指标的完成情况，是全部完成、基本完成、未完成，还是未实施；</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3.每项任务实施效果情况，是优秀、良好、一般，还是无效果；</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4.每项任务是否建立了目标责任制，是否落实到具体部门和人员负责。</w:t>
            </w:r>
          </w:p>
        </w:tc>
        <w:tc>
          <w:tcPr>
            <w:tcW w:w="2552" w:type="dxa"/>
            <w:tcBorders>
              <w:top w:val="single" w:color="000000" w:sz="4" w:space="0"/>
              <w:left w:val="single" w:color="auto" w:sz="4" w:space="0"/>
              <w:bottom w:val="single" w:color="auto" w:sz="4" w:space="0"/>
              <w:right w:val="single" w:color="auto" w:sz="4" w:space="0"/>
            </w:tcBorders>
            <w:vAlign w:val="center"/>
          </w:tcPr>
          <w:p w14:paraId="2282C807">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根据不同部门履职的内容和特点，具体测算部门履职工作任务目标的完成情况。</w:t>
            </w:r>
          </w:p>
        </w:tc>
        <w:tc>
          <w:tcPr>
            <w:tcW w:w="567" w:type="dxa"/>
            <w:tcBorders>
              <w:top w:val="single" w:color="000000" w:sz="4" w:space="0"/>
              <w:left w:val="single" w:color="auto" w:sz="4" w:space="0"/>
              <w:bottom w:val="single" w:color="auto" w:sz="4" w:space="0"/>
              <w:right w:val="single" w:color="000000" w:sz="4" w:space="0"/>
            </w:tcBorders>
            <w:vAlign w:val="center"/>
          </w:tcPr>
          <w:p w14:paraId="515C9683">
            <w:pPr>
              <w:widowControl/>
              <w:spacing w:line="240" w:lineRule="exact"/>
              <w:jc w:val="left"/>
              <w:rPr>
                <w:szCs w:val="21"/>
              </w:rPr>
            </w:pPr>
            <w:r>
              <w:rPr>
                <w:rFonts w:hint="eastAsia"/>
                <w:szCs w:val="21"/>
              </w:rPr>
              <w:t>10</w:t>
            </w:r>
          </w:p>
        </w:tc>
      </w:tr>
      <w:tr w14:paraId="60C0E2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067AE87">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3134ADD">
            <w:pPr>
              <w:spacing w:line="240" w:lineRule="exact"/>
              <w:rPr>
                <w:rFonts w:ascii="宋体"/>
                <w:szCs w:val="21"/>
              </w:rPr>
            </w:pPr>
          </w:p>
        </w:tc>
        <w:tc>
          <w:tcPr>
            <w:tcW w:w="1559" w:type="dxa"/>
            <w:tcBorders>
              <w:top w:val="single" w:color="000000" w:sz="4" w:space="0"/>
              <w:left w:val="single" w:color="000000" w:sz="4" w:space="0"/>
              <w:right w:val="single" w:color="auto" w:sz="4" w:space="0"/>
            </w:tcBorders>
            <w:vAlign w:val="center"/>
          </w:tcPr>
          <w:p w14:paraId="625408FB">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项目</w:t>
            </w:r>
            <w:r>
              <w:rPr>
                <w:rFonts w:hint="eastAsia" w:ascii="仿宋_GB2312" w:hAnsi="新宋体" w:eastAsia="仿宋_GB2312" w:cs="仿宋_GB2312"/>
                <w:kern w:val="0"/>
                <w:szCs w:val="21"/>
              </w:rPr>
              <w:t>完成</w:t>
            </w:r>
          </w:p>
          <w:p w14:paraId="401AB446">
            <w:pPr>
              <w:widowControl/>
              <w:spacing w:line="240" w:lineRule="exact"/>
              <w:jc w:val="left"/>
              <w:rPr>
                <w:szCs w:val="21"/>
              </w:rPr>
            </w:pPr>
            <w:r>
              <w:rPr>
                <w:rFonts w:ascii="仿宋_GB2312" w:hAnsi="新宋体" w:eastAsia="仿宋_GB2312" w:cs="仿宋_GB2312"/>
                <w:kern w:val="0"/>
                <w:szCs w:val="21"/>
              </w:rPr>
              <w:t>质量达标率（</w:t>
            </w:r>
            <w:r>
              <w:rPr>
                <w:rFonts w:hint="eastAsia" w:ascii="仿宋_GB2312" w:hAnsi="新宋体" w:eastAsia="仿宋_GB2312" w:cs="仿宋_GB2312"/>
                <w:kern w:val="0"/>
                <w:szCs w:val="21"/>
              </w:rPr>
              <w:t>15</w:t>
            </w:r>
            <w:r>
              <w:rPr>
                <w:rFonts w:ascii="仿宋_GB2312" w:hAnsi="新宋体" w:eastAsia="仿宋_GB2312" w:cs="仿宋_GB2312"/>
                <w:kern w:val="0"/>
                <w:szCs w:val="21"/>
              </w:rPr>
              <w:t>）</w:t>
            </w:r>
          </w:p>
        </w:tc>
        <w:tc>
          <w:tcPr>
            <w:tcW w:w="3260" w:type="dxa"/>
            <w:tcBorders>
              <w:top w:val="single" w:color="000000" w:sz="4" w:space="0"/>
              <w:left w:val="single" w:color="auto" w:sz="4" w:space="0"/>
              <w:right w:val="single" w:color="auto" w:sz="4" w:space="0"/>
            </w:tcBorders>
            <w:vAlign w:val="center"/>
          </w:tcPr>
          <w:p w14:paraId="74FE7C5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部门已完成项目中质量达标项目个数占已完成项目个数的比率,用以反映和评价部门履职质量目标的实现程度。</w:t>
            </w:r>
          </w:p>
          <w:p w14:paraId="62095D79">
            <w:pPr>
              <w:widowControl/>
              <w:spacing w:line="240" w:lineRule="exact"/>
              <w:jc w:val="left"/>
              <w:rPr>
                <w:szCs w:val="21"/>
              </w:rPr>
            </w:pPr>
            <w:r>
              <w:rPr>
                <w:rFonts w:ascii="仿宋_GB2312" w:hAnsi="新宋体" w:eastAsia="仿宋_GB2312" w:cs="仿宋_GB2312"/>
                <w:kern w:val="0"/>
                <w:szCs w:val="21"/>
              </w:rPr>
              <w:t>项目质量达标率=（已完成项目中质量达标项目个数/已完成项目个数）×100%。</w:t>
            </w:r>
          </w:p>
          <w:p w14:paraId="0A62E49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项目质量达标是指项目决算验收合格。</w:t>
            </w:r>
          </w:p>
        </w:tc>
        <w:tc>
          <w:tcPr>
            <w:tcW w:w="2552" w:type="dxa"/>
            <w:tcBorders>
              <w:top w:val="single" w:color="000000" w:sz="4" w:space="0"/>
              <w:left w:val="single" w:color="auto" w:sz="4" w:space="0"/>
              <w:right w:val="single" w:color="auto" w:sz="4" w:space="0"/>
            </w:tcBorders>
            <w:vAlign w:val="center"/>
          </w:tcPr>
          <w:p w14:paraId="3FC5BC7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1.项目质量达标率等于100%的，得满分；</w:t>
            </w:r>
          </w:p>
          <w:p w14:paraId="02C8CD6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2.项目质量达标率小于或等于99%的，得0分；</w:t>
            </w:r>
          </w:p>
          <w:p w14:paraId="4347EDA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 xml:space="preserve">3.项目质量达标率在99%-100%之间的，在0和满分之间计算确定： </w:t>
            </w:r>
          </w:p>
          <w:p w14:paraId="6D42316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得分=［某部门项目质量达标率-min（项目质量达标率）］/［max（项目质量达标率）-min（项目质量达标率）］×该指标分值。</w:t>
            </w:r>
          </w:p>
        </w:tc>
        <w:tc>
          <w:tcPr>
            <w:tcW w:w="567" w:type="dxa"/>
            <w:tcBorders>
              <w:top w:val="single" w:color="000000" w:sz="4" w:space="0"/>
              <w:left w:val="single" w:color="auto" w:sz="4" w:space="0"/>
              <w:bottom w:val="single" w:color="auto" w:sz="4" w:space="0"/>
              <w:right w:val="single" w:color="000000" w:sz="4" w:space="0"/>
            </w:tcBorders>
            <w:vAlign w:val="center"/>
          </w:tcPr>
          <w:p w14:paraId="08D020B8">
            <w:pPr>
              <w:widowControl/>
              <w:spacing w:line="240" w:lineRule="exact"/>
              <w:jc w:val="left"/>
              <w:rPr>
                <w:szCs w:val="21"/>
              </w:rPr>
            </w:pPr>
            <w:r>
              <w:rPr>
                <w:rFonts w:hint="eastAsia"/>
                <w:szCs w:val="21"/>
              </w:rPr>
              <w:t>15</w:t>
            </w:r>
          </w:p>
        </w:tc>
      </w:tr>
      <w:tr w14:paraId="6F7A3F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4B667DA5">
            <w:pPr>
              <w:widowControl/>
              <w:spacing w:line="240" w:lineRule="exact"/>
              <w:jc w:val="left"/>
              <w:rPr>
                <w:szCs w:val="21"/>
              </w:rPr>
            </w:pPr>
            <w:r>
              <w:rPr>
                <w:rFonts w:ascii="仿宋_GB2312" w:hAnsi="新宋体" w:eastAsia="仿宋_GB2312" w:cs="仿宋_GB2312"/>
                <w:kern w:val="0"/>
                <w:szCs w:val="21"/>
              </w:rPr>
              <w:t>效果（</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851" w:type="dxa"/>
            <w:vMerge w:val="restart"/>
            <w:tcBorders>
              <w:top w:val="single" w:color="auto" w:sz="4" w:space="0"/>
              <w:left w:val="single" w:color="000000" w:sz="4" w:space="0"/>
              <w:right w:val="single" w:color="000000" w:sz="4" w:space="0"/>
            </w:tcBorders>
            <w:vAlign w:val="center"/>
          </w:tcPr>
          <w:p w14:paraId="3BD6189A">
            <w:pPr>
              <w:widowControl/>
              <w:spacing w:line="240" w:lineRule="exact"/>
              <w:jc w:val="left"/>
              <w:rPr>
                <w:rFonts w:ascii="仿宋_GB2312" w:hAnsi="新宋体" w:eastAsia="仿宋_GB2312" w:cs="仿宋_GB2312"/>
                <w:kern w:val="0"/>
                <w:szCs w:val="21"/>
              </w:rPr>
            </w:pPr>
          </w:p>
          <w:p w14:paraId="4E036299">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履职效益情况</w:t>
            </w:r>
          </w:p>
          <w:p w14:paraId="2AE3516E">
            <w:pPr>
              <w:widowControl/>
              <w:spacing w:line="240" w:lineRule="exact"/>
              <w:jc w:val="left"/>
              <w:rPr>
                <w:rFonts w:ascii="仿宋_GB2312" w:hAnsi="新宋体" w:eastAsia="仿宋_GB2312" w:cs="仿宋_GB2312"/>
                <w:kern w:val="0"/>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20分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11E655D1">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经济效益</w:t>
            </w:r>
          </w:p>
          <w:p w14:paraId="5976A420">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2D6D9815">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部门及所属二级单位通过履行职责和预算安排支出项目的实施，对我市带来的经济影响。</w:t>
            </w:r>
          </w:p>
          <w:p w14:paraId="2936752E">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1.通过部门所属企事业单位改革，促进了企事业单位效益增长情况；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2.通过预算支出项目的实施，促进了行业生产能力增长，从而带动行业经济效益增长；</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3.通过预算支出项目的实施，有效提高劳动效率，节约成本费用；</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4.通过预算支出项目的实施，降低了损耗，从而提高了生产效益；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5.通过预算支出项目的实施，完善了突发情况的监测预警，保障了生产安全，降低了生产损失。</w:t>
            </w:r>
          </w:p>
        </w:tc>
        <w:tc>
          <w:tcPr>
            <w:tcW w:w="2552" w:type="dxa"/>
            <w:tcBorders>
              <w:top w:val="single" w:color="000000" w:sz="4" w:space="0"/>
              <w:left w:val="single" w:color="auto" w:sz="4" w:space="0"/>
              <w:bottom w:val="single" w:color="000000" w:sz="4" w:space="0"/>
              <w:right w:val="single" w:color="auto" w:sz="4" w:space="0"/>
            </w:tcBorders>
            <w:vAlign w:val="center"/>
          </w:tcPr>
          <w:p w14:paraId="2129ADAD">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根据不同部门履职的内容和特点，具体测算部门履职产生的经济效益。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3356B9D2">
            <w:pPr>
              <w:widowControl/>
              <w:spacing w:line="240" w:lineRule="exact"/>
              <w:jc w:val="left"/>
              <w:rPr>
                <w:szCs w:val="21"/>
              </w:rPr>
            </w:pPr>
            <w:r>
              <w:rPr>
                <w:rFonts w:hint="eastAsia"/>
                <w:szCs w:val="21"/>
              </w:rPr>
              <w:t>5</w:t>
            </w:r>
          </w:p>
        </w:tc>
      </w:tr>
      <w:tr w14:paraId="381AD5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3D908397">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6751303E">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35B58F29">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社会效益</w:t>
            </w:r>
          </w:p>
          <w:p w14:paraId="3F4EA5DF">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5C144317">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部门及所属二级单位履行职责对社会发展所带来的直接或间接影响。</w:t>
            </w:r>
          </w:p>
          <w:p w14:paraId="34925E60">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1.通过部门所属企事业单位的改革，促进了企事业单位可持续发展，带动就业增长情况；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2.通过预算支出项目的实施，是否明显促进了行业精神文明建设；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3.通过部门履职是否明显提高城乡居民生活水平，满足了人们日益增长的物质与文化生活需求；</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4.通过预算项目的实施，是否提高了劳动生产率，降低了劳动强度，促进了劳动人民的身心健康；</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5.通过部门履职行业形象是否得到了大大提升了，增强了部门影响力。</w:t>
            </w:r>
          </w:p>
        </w:tc>
        <w:tc>
          <w:tcPr>
            <w:tcW w:w="2552" w:type="dxa"/>
            <w:tcBorders>
              <w:top w:val="single" w:color="000000" w:sz="4" w:space="0"/>
              <w:left w:val="single" w:color="auto" w:sz="4" w:space="0"/>
              <w:bottom w:val="single" w:color="000000" w:sz="4" w:space="0"/>
              <w:right w:val="single" w:color="auto" w:sz="4" w:space="0"/>
            </w:tcBorders>
            <w:vAlign w:val="center"/>
          </w:tcPr>
          <w:p w14:paraId="677A7032">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根据不同部门履职的内容和特点，具体测算部门履职产生的社会效益。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7E99DDD2">
            <w:pPr>
              <w:widowControl/>
              <w:spacing w:line="240" w:lineRule="exact"/>
              <w:jc w:val="left"/>
              <w:rPr>
                <w:szCs w:val="21"/>
              </w:rPr>
            </w:pPr>
            <w:r>
              <w:rPr>
                <w:rFonts w:hint="eastAsia"/>
                <w:szCs w:val="21"/>
              </w:rPr>
              <w:t>5</w:t>
            </w:r>
          </w:p>
        </w:tc>
      </w:tr>
      <w:tr w14:paraId="487E84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1EB96AAD">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356364D9">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29D9B747">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生态效益</w:t>
            </w:r>
          </w:p>
          <w:p w14:paraId="507FE178">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256D1633">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部门及所属二级单位履行职责对生态环境所带来的直接或间接影响。</w:t>
            </w:r>
          </w:p>
          <w:p w14:paraId="0F4C0796">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1.通过预算支出项目的实施，绿色、节能环保新技术的应用和推广，明显带动各环节的节能减排，也具有一定的环境效益；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2.通过履职有效地控制虚假、伪劣、霉变等劣质产品进入市场，影响了人民生活质量，净化地市场环境；</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3.通过预算支出项目的实施，是否达到减少污染物排放；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4.通过预算支出项目的实施，周围环境得到了整治，面貌得到了改善。</w:t>
            </w:r>
          </w:p>
        </w:tc>
        <w:tc>
          <w:tcPr>
            <w:tcW w:w="2552" w:type="dxa"/>
            <w:tcBorders>
              <w:top w:val="single" w:color="000000" w:sz="4" w:space="0"/>
              <w:left w:val="single" w:color="auto" w:sz="4" w:space="0"/>
              <w:bottom w:val="single" w:color="000000" w:sz="4" w:space="0"/>
              <w:right w:val="single" w:color="auto" w:sz="4" w:space="0"/>
            </w:tcBorders>
            <w:vAlign w:val="center"/>
          </w:tcPr>
          <w:p w14:paraId="4D6D7D51">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根据不同部门履职的内容和特点，具体测算部门履职产生的生态效益。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2EBAFFA7">
            <w:pPr>
              <w:widowControl/>
              <w:spacing w:line="240" w:lineRule="exact"/>
              <w:jc w:val="left"/>
              <w:rPr>
                <w:szCs w:val="21"/>
              </w:rPr>
            </w:pPr>
            <w:r>
              <w:rPr>
                <w:rFonts w:hint="eastAsia"/>
                <w:szCs w:val="21"/>
              </w:rPr>
              <w:t>5</w:t>
            </w:r>
          </w:p>
        </w:tc>
      </w:tr>
      <w:tr w14:paraId="160BCE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9D74ACE">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79A791C0">
            <w:pPr>
              <w:widowControl/>
              <w:spacing w:line="240" w:lineRule="exact"/>
              <w:jc w:val="left"/>
              <w:rPr>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7DA62A18">
            <w:pPr>
              <w:widowControl/>
              <w:spacing w:line="240" w:lineRule="exact"/>
              <w:jc w:val="left"/>
              <w:rPr>
                <w:szCs w:val="21"/>
              </w:rPr>
            </w:pPr>
            <w:r>
              <w:rPr>
                <w:rFonts w:hint="eastAsia" w:ascii="仿宋_GB2312" w:hAnsi="新宋体" w:eastAsia="仿宋_GB2312" w:cs="仿宋_GB2312"/>
                <w:kern w:val="0"/>
                <w:szCs w:val="21"/>
              </w:rPr>
              <w:t>服务对象</w:t>
            </w:r>
            <w:r>
              <w:rPr>
                <w:rFonts w:ascii="仿宋_GB2312" w:hAnsi="新宋体" w:eastAsia="仿宋_GB2312" w:cs="仿宋_GB2312"/>
                <w:kern w:val="0"/>
                <w:szCs w:val="21"/>
              </w:rPr>
              <w:t>满意度（5）</w:t>
            </w:r>
          </w:p>
        </w:tc>
        <w:tc>
          <w:tcPr>
            <w:tcW w:w="3260" w:type="dxa"/>
            <w:tcBorders>
              <w:top w:val="single" w:color="000000" w:sz="4" w:space="0"/>
              <w:left w:val="single" w:color="auto" w:sz="4" w:space="0"/>
              <w:bottom w:val="single" w:color="000000" w:sz="4" w:space="0"/>
              <w:right w:val="single" w:color="auto" w:sz="4" w:space="0"/>
            </w:tcBorders>
            <w:vAlign w:val="center"/>
          </w:tcPr>
          <w:p w14:paraId="1F5C916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hint="eastAsia" w:ascii="仿宋_GB2312" w:hAnsi="新宋体" w:eastAsia="仿宋_GB2312" w:cs="仿宋_GB2312"/>
                <w:kern w:val="0"/>
                <w:szCs w:val="21"/>
              </w:rPr>
              <w:t>通过对部门（单位）的服务对象对部门履职效果的满意程度调查，反映和考核社会公众或服务对象对部门履职的满意度。</w:t>
            </w:r>
          </w:p>
        </w:tc>
        <w:tc>
          <w:tcPr>
            <w:tcW w:w="2552" w:type="dxa"/>
            <w:tcBorders>
              <w:top w:val="single" w:color="000000" w:sz="4" w:space="0"/>
              <w:left w:val="single" w:color="auto" w:sz="4" w:space="0"/>
              <w:bottom w:val="single" w:color="000000" w:sz="4" w:space="0"/>
              <w:right w:val="single" w:color="auto" w:sz="4" w:space="0"/>
            </w:tcBorders>
            <w:vAlign w:val="center"/>
          </w:tcPr>
          <w:p w14:paraId="5FBF1F35">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14:paraId="23FFEC2D">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567" w:type="dxa"/>
            <w:tcBorders>
              <w:top w:val="single" w:color="000000" w:sz="4" w:space="0"/>
              <w:left w:val="single" w:color="auto" w:sz="4" w:space="0"/>
              <w:bottom w:val="single" w:color="000000" w:sz="4" w:space="0"/>
              <w:right w:val="single" w:color="000000" w:sz="4" w:space="0"/>
            </w:tcBorders>
            <w:vAlign w:val="center"/>
          </w:tcPr>
          <w:p w14:paraId="33F7B1C5">
            <w:pPr>
              <w:widowControl/>
              <w:spacing w:line="240" w:lineRule="exact"/>
              <w:jc w:val="left"/>
              <w:rPr>
                <w:szCs w:val="21"/>
              </w:rPr>
            </w:pPr>
            <w:r>
              <w:rPr>
                <w:rFonts w:hint="eastAsia"/>
                <w:szCs w:val="21"/>
              </w:rPr>
              <w:t>5</w:t>
            </w:r>
          </w:p>
        </w:tc>
      </w:tr>
    </w:tbl>
    <w:p w14:paraId="53A19898">
      <w:pPr>
        <w:widowControl/>
        <w:spacing w:line="480" w:lineRule="exact"/>
        <w:jc w:val="left"/>
        <w:rPr>
          <w:rFonts w:ascii="仿宋" w:hAnsi="仿宋" w:eastAsia="仿宋" w:cs="仿宋"/>
          <w:kern w:val="0"/>
          <w:sz w:val="32"/>
          <w:szCs w:val="32"/>
          <w:shd w:val="clear" w:color="auto" w:fill="FFFFFF"/>
        </w:rPr>
      </w:pPr>
    </w:p>
    <w:p w14:paraId="26067C12">
      <w:pPr>
        <w:rPr>
          <w:rFonts w:ascii="黑体" w:hAnsi="黑体" w:eastAsia="黑体" w:cs="黑体"/>
          <w:b/>
          <w:bCs/>
          <w:sz w:val="30"/>
          <w:szCs w:val="30"/>
        </w:rPr>
      </w:pPr>
      <w:r>
        <w:rPr>
          <w:rFonts w:hint="eastAsia" w:ascii="黑体" w:hAnsi="黑体" w:eastAsia="黑体" w:cs="黑体"/>
          <w:b/>
          <w:bCs/>
          <w:sz w:val="30"/>
          <w:szCs w:val="30"/>
        </w:rPr>
        <w:t>(后附部门整体自评报告)</w:t>
      </w:r>
    </w:p>
    <w:p w14:paraId="45652A7E">
      <w:pPr>
        <w:ind w:firstLine="780"/>
        <w:jc w:val="center"/>
        <w:rPr>
          <w:rFonts w:cs="黑体" w:asciiTheme="minorEastAsia" w:hAnsiTheme="minorEastAsia"/>
          <w:b/>
          <w:bCs/>
          <w:sz w:val="44"/>
          <w:szCs w:val="44"/>
        </w:rPr>
      </w:pPr>
      <w:r>
        <w:rPr>
          <w:rFonts w:hint="eastAsia" w:cs="黑体" w:asciiTheme="minorEastAsia" w:hAnsiTheme="minorEastAsia"/>
          <w:b/>
          <w:bCs/>
          <w:sz w:val="44"/>
          <w:szCs w:val="44"/>
        </w:rPr>
        <w:t>中共隆尧县委统战部</w:t>
      </w:r>
    </w:p>
    <w:p w14:paraId="1BD5CB74">
      <w:pPr>
        <w:ind w:firstLine="780"/>
        <w:jc w:val="center"/>
        <w:rPr>
          <w:rFonts w:cs="黑体" w:asciiTheme="minorEastAsia" w:hAnsiTheme="minorEastAsia"/>
          <w:b/>
          <w:bCs/>
          <w:sz w:val="44"/>
          <w:szCs w:val="44"/>
        </w:rPr>
      </w:pPr>
      <w:r>
        <w:rPr>
          <w:rFonts w:hint="eastAsia" w:cs="黑体" w:asciiTheme="minorEastAsia" w:hAnsiTheme="minorEastAsia"/>
          <w:b/>
          <w:bCs/>
          <w:sz w:val="44"/>
          <w:szCs w:val="44"/>
        </w:rPr>
        <w:t>2021年部门整体支出绩效评价报告</w:t>
      </w:r>
    </w:p>
    <w:p w14:paraId="76C93476">
      <w:pPr>
        <w:ind w:firstLine="640" w:firstLineChars="200"/>
        <w:rPr>
          <w:rFonts w:ascii="黑体" w:hAnsi="黑体" w:eastAsia="黑体" w:cs="仿宋"/>
          <w:sz w:val="32"/>
          <w:szCs w:val="32"/>
        </w:rPr>
      </w:pPr>
      <w:r>
        <w:rPr>
          <w:rFonts w:hint="eastAsia" w:ascii="黑体" w:hAnsi="黑体" w:eastAsia="黑体" w:cs="仿宋"/>
          <w:sz w:val="32"/>
          <w:szCs w:val="32"/>
        </w:rPr>
        <w:t>一、基本概况。</w:t>
      </w:r>
    </w:p>
    <w:p w14:paraId="7A124D35">
      <w:pPr>
        <w:adjustRightInd w:val="0"/>
        <w:ind w:firstLine="640" w:firstLineChars="200"/>
        <w:rPr>
          <w:rFonts w:ascii="仿宋" w:hAnsi="仿宋" w:eastAsia="仿宋" w:cs="仿宋"/>
          <w:sz w:val="32"/>
          <w:szCs w:val="32"/>
        </w:rPr>
      </w:pPr>
      <w:r>
        <w:rPr>
          <w:rFonts w:hint="eastAsia" w:ascii="仿宋" w:hAnsi="仿宋" w:eastAsia="仿宋" w:cs="仿宋"/>
          <w:sz w:val="32"/>
          <w:szCs w:val="32"/>
        </w:rPr>
        <w:t>(一)部门主要职责职能和部门组织架构</w:t>
      </w:r>
    </w:p>
    <w:p w14:paraId="65A4F2C6">
      <w:pPr>
        <w:adjustRightInd w:val="0"/>
        <w:ind w:firstLine="640" w:firstLineChars="200"/>
        <w:rPr>
          <w:rFonts w:ascii="仿宋" w:hAnsi="仿宋" w:eastAsia="仿宋" w:cs="仿宋"/>
          <w:sz w:val="32"/>
          <w:szCs w:val="32"/>
        </w:rPr>
      </w:pPr>
      <w:r>
        <w:rPr>
          <w:rFonts w:hint="eastAsia" w:ascii="仿宋" w:hAnsi="仿宋" w:eastAsia="仿宋" w:cs="宋体"/>
          <w:sz w:val="32"/>
          <w:szCs w:val="32"/>
        </w:rPr>
        <w:t>贯彻落实加强党对统一战线工作集中统一领导的要求，发挥县委在统战工作方面的参谋机构、组织协调机构、具体执行机构、督促检查机构作用，了解情况、掌握政策、协调关系、安排人事、增进共识、加强团结，协调统一战线各方面关系，组织落实中央和省、市、县委关于统一战线工作重大决策部署，巩固壮大最广泛的统一战线。</w:t>
      </w:r>
    </w:p>
    <w:p w14:paraId="23BF698B">
      <w:pPr>
        <w:adjustRightInd w:val="0"/>
        <w:rPr>
          <w:rFonts w:ascii="仿宋" w:hAnsi="仿宋" w:eastAsia="仿宋" w:cs="仿宋"/>
          <w:sz w:val="32"/>
          <w:szCs w:val="32"/>
        </w:rPr>
      </w:pPr>
      <w:r>
        <w:rPr>
          <w:rFonts w:hint="eastAsia" w:ascii="仿宋" w:hAnsi="仿宋" w:eastAsia="仿宋" w:cs="仿宋"/>
          <w:sz w:val="32"/>
          <w:szCs w:val="32"/>
        </w:rPr>
        <w:t xml:space="preserve">   （二）人员及资产情况。</w:t>
      </w:r>
    </w:p>
    <w:p w14:paraId="061226E9">
      <w:pPr>
        <w:pStyle w:val="4"/>
        <w:ind w:firstLine="640" w:firstLineChars="200"/>
        <w:rPr>
          <w:rFonts w:ascii="仿宋" w:hAnsi="仿宋" w:eastAsia="仿宋" w:cs="仿宋"/>
          <w:sz w:val="32"/>
          <w:szCs w:val="32"/>
        </w:rPr>
      </w:pPr>
      <w:r>
        <w:rPr>
          <w:rFonts w:hint="eastAsia" w:ascii="仿宋" w:hAnsi="仿宋" w:eastAsia="仿宋" w:cs="宋体"/>
          <w:sz w:val="32"/>
          <w:szCs w:val="32"/>
        </w:rPr>
        <w:t>内设股室三个，人员总计8人，固定资产9.47万元。</w:t>
      </w:r>
    </w:p>
    <w:p w14:paraId="0F4F083F">
      <w:pPr>
        <w:adjustRightInd w:val="0"/>
        <w:rPr>
          <w:rFonts w:ascii="仿宋" w:hAnsi="仿宋" w:eastAsia="仿宋" w:cs="仿宋"/>
          <w:sz w:val="32"/>
          <w:szCs w:val="32"/>
        </w:rPr>
      </w:pPr>
      <w:r>
        <w:rPr>
          <w:rFonts w:hint="eastAsia" w:ascii="仿宋" w:hAnsi="仿宋" w:eastAsia="仿宋" w:cs="仿宋"/>
          <w:sz w:val="32"/>
          <w:szCs w:val="32"/>
        </w:rPr>
        <w:t xml:space="preserve">   （三）部门履职总体目标。</w:t>
      </w:r>
    </w:p>
    <w:p w14:paraId="6C98E51F">
      <w:pPr>
        <w:adjustRightInd w:val="0"/>
        <w:ind w:firstLine="640" w:firstLineChars="200"/>
        <w:rPr>
          <w:rFonts w:ascii="仿宋" w:hAnsi="仿宋" w:eastAsia="仿宋" w:cs="仿宋"/>
          <w:sz w:val="32"/>
          <w:szCs w:val="32"/>
        </w:rPr>
      </w:pPr>
      <w:r>
        <w:rPr>
          <w:rFonts w:ascii="仿宋" w:hAnsi="仿宋" w:eastAsia="仿宋"/>
          <w:sz w:val="32"/>
        </w:rPr>
        <w:t>紧密围绕县委、县政府中心工作，充分发挥统一战线职能优势，突出亮点，发挥特色，在党外干部、民族宗教、海外联谊、非公有制经济人士等各项工作中均取得明显成效，收到良好效果，为我县经济社会发展做出积极的贡献。</w:t>
      </w:r>
    </w:p>
    <w:p w14:paraId="0347484F">
      <w:pPr>
        <w:adjustRightInd w:val="0"/>
        <w:rPr>
          <w:rFonts w:ascii="仿宋" w:hAnsi="仿宋" w:eastAsia="仿宋" w:cs="仿宋"/>
          <w:sz w:val="32"/>
          <w:szCs w:val="32"/>
        </w:rPr>
      </w:pPr>
      <w:r>
        <w:rPr>
          <w:rFonts w:hint="eastAsia" w:ascii="仿宋" w:hAnsi="仿宋" w:eastAsia="仿宋" w:cs="仿宋"/>
          <w:sz w:val="32"/>
          <w:szCs w:val="32"/>
        </w:rPr>
        <w:t xml:space="preserve">   （四）年度整体绩效目标和工作任务。</w:t>
      </w:r>
    </w:p>
    <w:p w14:paraId="3B12C27B">
      <w:pPr>
        <w:adjustRightInd w:val="0"/>
        <w:ind w:firstLine="640" w:firstLineChars="200"/>
        <w:rPr>
          <w:rFonts w:ascii="仿宋" w:hAnsi="仿宋" w:eastAsia="仿宋" w:cs="仿宋"/>
          <w:sz w:val="32"/>
          <w:szCs w:val="32"/>
        </w:rPr>
      </w:pPr>
      <w:r>
        <w:rPr>
          <w:rFonts w:ascii="仿宋" w:hAnsi="仿宋" w:eastAsia="仿宋"/>
          <w:sz w:val="32"/>
        </w:rPr>
        <w:t>调查研究统一战线的理论、政策和法律法规，向党委全面反映统一战线情况，提出开展统一战线工作的意见和建议，组织协调统一战线政策和法律法规的贯彻落实，检查执行情况，协调统一战线各方面的关系。调查研究民族、宗教工作的理论、方针、政策和法律法规，做好重要工作和重大问题的处理，协调开展马克思主义民族观、宗教观和相关理论、政策的宣传教育，联系少数民族和宗教界代表人士，会同有关部门做好少数民族干部的培养和举荐工作。牵头有关部门做好宗教维稳、抵御境外渗透工作。</w:t>
      </w:r>
    </w:p>
    <w:p w14:paraId="13456721">
      <w:pPr>
        <w:adjustRightInd w:val="0"/>
        <w:rPr>
          <w:rFonts w:ascii="楷体" w:hAnsi="楷体" w:eastAsia="楷体" w:cs="仿宋"/>
          <w:sz w:val="32"/>
          <w:szCs w:val="32"/>
        </w:rPr>
      </w:pPr>
      <w:r>
        <w:rPr>
          <w:rFonts w:hint="eastAsia" w:ascii="仿宋" w:hAnsi="仿宋" w:eastAsia="仿宋" w:cs="仿宋"/>
          <w:sz w:val="32"/>
          <w:szCs w:val="32"/>
        </w:rPr>
        <w:t xml:space="preserve">   （五）预算资金安排及资金支出</w:t>
      </w:r>
      <w:r>
        <w:rPr>
          <w:rFonts w:hint="eastAsia" w:ascii="楷体" w:hAnsi="楷体" w:eastAsia="楷体" w:cs="仿宋"/>
          <w:sz w:val="32"/>
          <w:szCs w:val="32"/>
        </w:rPr>
        <w:t>情况。</w:t>
      </w:r>
    </w:p>
    <w:p w14:paraId="6B0BCB6D">
      <w:pPr>
        <w:adjustRightInd w:val="0"/>
        <w:ind w:firstLine="640" w:firstLineChars="200"/>
        <w:rPr>
          <w:rFonts w:ascii="仿宋_GB2312" w:hAnsi="楷体" w:eastAsia="仿宋_GB2312" w:cs="仿宋"/>
          <w:sz w:val="32"/>
          <w:szCs w:val="32"/>
        </w:rPr>
      </w:pPr>
      <w:r>
        <w:rPr>
          <w:rFonts w:hint="eastAsia" w:ascii="仿宋_GB2312" w:hAnsi="楷体" w:eastAsia="仿宋_GB2312" w:cs="仿宋"/>
          <w:sz w:val="32"/>
          <w:szCs w:val="32"/>
        </w:rPr>
        <w:t>2021年度安排项目资金1446.85万元，支出996.24万元。</w:t>
      </w:r>
    </w:p>
    <w:p w14:paraId="2F9CF10B">
      <w:pPr>
        <w:pStyle w:val="17"/>
        <w:numPr>
          <w:ilvl w:val="0"/>
          <w:numId w:val="1"/>
        </w:numPr>
        <w:ind w:firstLineChars="0"/>
        <w:rPr>
          <w:rFonts w:ascii="黑体" w:hAnsi="黑体" w:eastAsia="黑体" w:cs="仿宋"/>
          <w:sz w:val="32"/>
          <w:szCs w:val="32"/>
        </w:rPr>
      </w:pPr>
      <w:r>
        <w:rPr>
          <w:rFonts w:hint="eastAsia" w:ascii="黑体" w:hAnsi="黑体" w:eastAsia="黑体" w:cs="仿宋"/>
          <w:sz w:val="32"/>
          <w:szCs w:val="32"/>
        </w:rPr>
        <w:t>预算绩效管理开展及整体绩效实现情况。</w:t>
      </w:r>
    </w:p>
    <w:p w14:paraId="70ED7C28">
      <w:pPr>
        <w:adjustRightInd w:val="0"/>
        <w:ind w:firstLine="480" w:firstLineChars="150"/>
        <w:rPr>
          <w:rFonts w:ascii="仿宋" w:hAnsi="仿宋" w:eastAsia="仿宋" w:cs="仿宋"/>
          <w:sz w:val="32"/>
          <w:szCs w:val="32"/>
        </w:rPr>
      </w:pPr>
      <w:r>
        <w:rPr>
          <w:rFonts w:hint="eastAsia" w:ascii="仿宋" w:hAnsi="仿宋" w:eastAsia="仿宋" w:cs="仿宋"/>
          <w:sz w:val="32"/>
          <w:szCs w:val="32"/>
        </w:rPr>
        <w:t>（一）部门开展预算绩效管理情况。</w:t>
      </w:r>
    </w:p>
    <w:p w14:paraId="16BDD323">
      <w:pPr>
        <w:tabs>
          <w:tab w:val="left" w:pos="1395"/>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s>
        <w:spacing w:line="540" w:lineRule="exact"/>
        <w:ind w:firstLine="640" w:firstLineChars="200"/>
        <w:rPr>
          <w:rFonts w:ascii="仿宋" w:hAnsi="仿宋" w:eastAsia="仿宋" w:cs="仿宋"/>
          <w:sz w:val="32"/>
          <w:szCs w:val="32"/>
        </w:rPr>
      </w:pPr>
      <w:r>
        <w:rPr>
          <w:rFonts w:ascii="仿宋" w:hAnsi="仿宋" w:eastAsia="仿宋"/>
          <w:sz w:val="32"/>
        </w:rPr>
        <w:t>开展海外统一战线工作，联系香港、澳门、台湾和海外有关党派、团体及代表人士，会同有关部门对香港、澳门地区统一战线工作方针政策和法律法规进行调查研究，做好台胞、台属工作，负责党委交办的其他港澳、对台工作。</w:t>
      </w:r>
      <w:r>
        <w:rPr>
          <w:rFonts w:ascii="仿宋" w:hAnsi="仿宋" w:eastAsia="仿宋"/>
          <w:color w:val="333333"/>
          <w:sz w:val="32"/>
          <w:shd w:val="clear" w:color="auto" w:fill="FFFFFF"/>
        </w:rPr>
        <w:t>调查研究国内外侨情和侨务工作情况，组织开展侨务政策、理论和侨务工作重大问题的调查研究，负责向涉侨部门通报侨务工作情况，推动涉侨宣传、文化交流和华文教育工作等。</w:t>
      </w:r>
      <w:r>
        <w:rPr>
          <w:rFonts w:ascii="仿宋" w:hAnsi="仿宋" w:eastAsia="仿宋"/>
          <w:sz w:val="32"/>
        </w:rPr>
        <w:t>调查研究非公有制经济人士的情况，协调关系，提出政策建议，团结、服务、引导、教育非公有制经济人士，开展思想政治工作。负责党外代表人士在人大、政协安排的有关工作，会同有关部门做好安排党外代表人士担任政府和司法机关等领导职务的工作，做好党外代表人士和后备干部队伍建设工作，反映和解决党外代表人士工作生活中的实际困难。</w:t>
      </w:r>
    </w:p>
    <w:p w14:paraId="128FF0AD">
      <w:pPr>
        <w:adjustRightInd w:val="0"/>
        <w:ind w:firstLine="480" w:firstLineChars="150"/>
        <w:rPr>
          <w:rFonts w:ascii="仿宋" w:hAnsi="仿宋" w:eastAsia="仿宋" w:cs="仿宋"/>
          <w:sz w:val="32"/>
          <w:szCs w:val="32"/>
        </w:rPr>
      </w:pPr>
      <w:r>
        <w:rPr>
          <w:rFonts w:hint="eastAsia" w:ascii="仿宋" w:hAnsi="仿宋" w:eastAsia="仿宋" w:cs="仿宋"/>
          <w:sz w:val="32"/>
          <w:szCs w:val="32"/>
        </w:rPr>
        <w:t>（二）工作履行活动完成情况。</w:t>
      </w:r>
    </w:p>
    <w:p w14:paraId="49A0B9A2">
      <w:pPr>
        <w:ind w:firstLine="640" w:firstLineChars="200"/>
        <w:rPr>
          <w:rFonts w:ascii="仿宋" w:hAnsi="仿宋" w:eastAsia="仿宋" w:cs="仿宋"/>
          <w:sz w:val="32"/>
          <w:szCs w:val="32"/>
        </w:rPr>
      </w:pPr>
      <w:r>
        <w:rPr>
          <w:rFonts w:hint="eastAsia" w:ascii="仿宋" w:hAnsi="仿宋" w:eastAsia="仿宋" w:cs="仿宋"/>
          <w:sz w:val="32"/>
          <w:szCs w:val="32"/>
        </w:rPr>
        <w:t>本年度工作履行活动已全部完成。</w:t>
      </w:r>
    </w:p>
    <w:p w14:paraId="1F954B71">
      <w:pPr>
        <w:adjustRightInd w:val="0"/>
        <w:ind w:firstLine="480" w:firstLineChars="150"/>
        <w:rPr>
          <w:rFonts w:ascii="仿宋" w:hAnsi="仿宋" w:eastAsia="仿宋" w:cs="仿宋"/>
          <w:sz w:val="32"/>
          <w:szCs w:val="32"/>
        </w:rPr>
      </w:pPr>
      <w:r>
        <w:rPr>
          <w:rFonts w:hint="eastAsia" w:ascii="仿宋" w:hAnsi="仿宋" w:eastAsia="仿宋" w:cs="仿宋"/>
          <w:sz w:val="32"/>
          <w:szCs w:val="32"/>
        </w:rPr>
        <w:t>（三）实施履职活动产生的效果或服务对象满意程度。</w:t>
      </w:r>
    </w:p>
    <w:p w14:paraId="6D9AB3F8">
      <w:pPr>
        <w:ind w:firstLine="640" w:firstLineChars="200"/>
        <w:rPr>
          <w:rFonts w:ascii="仿宋" w:hAnsi="仿宋" w:eastAsia="仿宋" w:cs="仿宋"/>
          <w:sz w:val="32"/>
          <w:szCs w:val="32"/>
        </w:rPr>
      </w:pPr>
      <w:r>
        <w:rPr>
          <w:rFonts w:hint="eastAsia" w:ascii="仿宋" w:hAnsi="仿宋" w:eastAsia="仿宋" w:cs="仿宋"/>
          <w:sz w:val="32"/>
          <w:szCs w:val="32"/>
        </w:rPr>
        <w:t>实施履职活动产生的效果优良，社会公众或服务对象满意程度较高。</w:t>
      </w:r>
    </w:p>
    <w:p w14:paraId="62F697BD">
      <w:pPr>
        <w:pStyle w:val="17"/>
        <w:numPr>
          <w:ilvl w:val="0"/>
          <w:numId w:val="1"/>
        </w:numPr>
        <w:ind w:firstLineChars="0"/>
        <w:rPr>
          <w:rFonts w:ascii="黑体" w:hAnsi="黑体" w:eastAsia="黑体" w:cs="仿宋"/>
          <w:sz w:val="32"/>
          <w:szCs w:val="32"/>
        </w:rPr>
      </w:pPr>
      <w:r>
        <w:rPr>
          <w:rFonts w:hint="eastAsia" w:ascii="黑体" w:hAnsi="黑体" w:eastAsia="黑体" w:cs="仿宋"/>
          <w:sz w:val="32"/>
          <w:szCs w:val="32"/>
        </w:rPr>
        <w:t>绩效评价的组织实施情况</w:t>
      </w:r>
    </w:p>
    <w:p w14:paraId="442911D5">
      <w:pPr>
        <w:ind w:firstLine="480" w:firstLineChars="150"/>
        <w:rPr>
          <w:rFonts w:ascii="仿宋_GB2312" w:hAnsi="黑体" w:eastAsia="仿宋_GB2312" w:cs="仿宋"/>
          <w:sz w:val="32"/>
          <w:szCs w:val="32"/>
        </w:rPr>
      </w:pPr>
      <w:r>
        <w:rPr>
          <w:rFonts w:hint="eastAsia" w:ascii="仿宋_GB2312" w:hAnsi="黑体" w:eastAsia="仿宋_GB2312" w:cs="仿宋"/>
          <w:sz w:val="32"/>
          <w:szCs w:val="32"/>
        </w:rPr>
        <w:t>（一）评价对象绩效目标。</w:t>
      </w:r>
    </w:p>
    <w:p w14:paraId="2539DACF">
      <w:pPr>
        <w:ind w:firstLine="640" w:firstLineChars="200"/>
        <w:rPr>
          <w:rFonts w:ascii="仿宋_GB2312" w:hAnsi="黑体" w:eastAsia="仿宋_GB2312" w:cs="仿宋"/>
          <w:sz w:val="32"/>
          <w:szCs w:val="32"/>
        </w:rPr>
      </w:pPr>
      <w:r>
        <w:rPr>
          <w:rFonts w:hint="eastAsia" w:ascii="仿宋_GB2312" w:hAnsi="黑体" w:eastAsia="仿宋_GB2312" w:cs="仿宋"/>
          <w:sz w:val="32"/>
          <w:szCs w:val="32"/>
        </w:rPr>
        <w:t>在绩效目标评价工作过程中，我单位通过对绩效目标的设置情况、资金使用情况、项目实施管理情况、项目绩效表现情况等方面进行综合评价，对 2021年度整体支出进行深入研究分析。加深了对资金使用是否达到了预期目标、资金管理是否规范、资金使用是否有效，检验资金支出效率和效果等方面绩效评价的理解，充分发挥了绩效目标情况评价对预算管理的指导和监督作用。</w:t>
      </w:r>
    </w:p>
    <w:p w14:paraId="31BF8C3F">
      <w:pPr>
        <w:ind w:firstLine="419" w:firstLineChars="131"/>
        <w:rPr>
          <w:rFonts w:ascii="仿宋_GB2312" w:hAnsi="黑体" w:eastAsia="仿宋_GB2312" w:cs="仿宋"/>
          <w:sz w:val="32"/>
          <w:szCs w:val="32"/>
        </w:rPr>
      </w:pPr>
      <w:r>
        <w:rPr>
          <w:rFonts w:hint="eastAsia" w:ascii="仿宋_GB2312" w:hAnsi="黑体" w:eastAsia="仿宋_GB2312" w:cs="仿宋"/>
          <w:sz w:val="32"/>
          <w:szCs w:val="32"/>
        </w:rPr>
        <w:t>（二）绩效指标。</w:t>
      </w:r>
    </w:p>
    <w:p w14:paraId="737F4895">
      <w:pPr>
        <w:ind w:firstLine="640" w:firstLineChars="200"/>
        <w:rPr>
          <w:rFonts w:ascii="仿宋_GB2312" w:hAnsi="黑体" w:eastAsia="仿宋_GB2312" w:cs="仿宋"/>
          <w:sz w:val="32"/>
          <w:szCs w:val="32"/>
        </w:rPr>
      </w:pPr>
      <w:r>
        <w:rPr>
          <w:rFonts w:hint="eastAsia" w:ascii="仿宋_GB2312" w:hAnsi="黑体" w:eastAsia="仿宋_GB2312" w:cs="仿宋"/>
          <w:sz w:val="32"/>
          <w:szCs w:val="32"/>
        </w:rPr>
        <w:t>绩效指标包括产出指标、效益指标、满意度指标以及预算执行率指标。其中产出指标包括数量指标、质量指标、时效指标、成本指标，效益指标包括经济效益指标、社会效益指标、生态效益指标、可持续影响指标。</w:t>
      </w:r>
    </w:p>
    <w:p w14:paraId="2336FD49">
      <w:pPr>
        <w:pStyle w:val="17"/>
        <w:ind w:left="1429" w:firstLine="640"/>
        <w:rPr>
          <w:rFonts w:ascii="仿宋_GB2312" w:hAnsi="黑体" w:eastAsia="仿宋_GB2312" w:cs="仿宋"/>
          <w:sz w:val="32"/>
          <w:szCs w:val="32"/>
        </w:rPr>
      </w:pPr>
    </w:p>
    <w:p w14:paraId="3849AE82">
      <w:pPr>
        <w:ind w:firstLine="419" w:firstLineChars="131"/>
        <w:rPr>
          <w:rFonts w:ascii="仿宋_GB2312" w:hAnsi="黑体" w:eastAsia="仿宋_GB2312" w:cs="仿宋"/>
          <w:sz w:val="32"/>
          <w:szCs w:val="32"/>
        </w:rPr>
      </w:pPr>
      <w:r>
        <w:rPr>
          <w:rFonts w:hint="eastAsia" w:ascii="仿宋_GB2312" w:hAnsi="黑体" w:eastAsia="仿宋_GB2312" w:cs="仿宋"/>
          <w:sz w:val="32"/>
          <w:szCs w:val="32"/>
        </w:rPr>
        <w:t>（三）评价标准和评价方法。</w:t>
      </w:r>
    </w:p>
    <w:p w14:paraId="750EC770">
      <w:pPr>
        <w:ind w:firstLine="800" w:firstLineChars="250"/>
        <w:rPr>
          <w:rFonts w:ascii="仿宋_GB2312" w:hAnsi="黑体" w:eastAsia="仿宋_GB2312" w:cs="仿宋"/>
          <w:sz w:val="32"/>
          <w:szCs w:val="32"/>
        </w:rPr>
      </w:pPr>
      <w:r>
        <w:rPr>
          <w:rFonts w:hint="eastAsia" w:ascii="仿宋_GB2312" w:hAnsi="黑体" w:eastAsia="仿宋_GB2312" w:cs="仿宋"/>
          <w:sz w:val="32"/>
          <w:szCs w:val="32"/>
        </w:rPr>
        <w:t>绩效标准评价主要是通过百分比率进行打分，根据实际情况大于90%或等于100%对单项指标完成率进行打分。</w:t>
      </w:r>
    </w:p>
    <w:p w14:paraId="1C5C8DA6">
      <w:pPr>
        <w:pStyle w:val="17"/>
        <w:numPr>
          <w:ilvl w:val="0"/>
          <w:numId w:val="1"/>
        </w:numPr>
        <w:ind w:firstLineChars="0"/>
        <w:rPr>
          <w:rFonts w:ascii="黑体" w:hAnsi="黑体" w:eastAsia="黑体" w:cs="仿宋"/>
          <w:sz w:val="32"/>
          <w:szCs w:val="32"/>
        </w:rPr>
      </w:pPr>
      <w:r>
        <w:rPr>
          <w:rFonts w:hint="eastAsia" w:ascii="黑体" w:hAnsi="黑体" w:eastAsia="黑体" w:cs="仿宋"/>
          <w:sz w:val="32"/>
          <w:szCs w:val="32"/>
        </w:rPr>
        <w:t>各项绩效目标的实现程度及差异性原因分析。</w:t>
      </w:r>
    </w:p>
    <w:p w14:paraId="5ADA2925">
      <w:pPr>
        <w:pStyle w:val="17"/>
        <w:ind w:left="1429" w:firstLine="0" w:firstLineChars="0"/>
        <w:rPr>
          <w:rFonts w:ascii="黑体" w:hAnsi="黑体" w:eastAsia="黑体" w:cs="仿宋"/>
          <w:sz w:val="32"/>
          <w:szCs w:val="32"/>
        </w:rPr>
      </w:pPr>
      <w:r>
        <w:rPr>
          <w:rFonts w:hint="eastAsia" w:ascii="黑体" w:hAnsi="黑体" w:eastAsia="黑体" w:cs="仿宋"/>
          <w:sz w:val="32"/>
          <w:szCs w:val="32"/>
        </w:rPr>
        <w:t>无</w:t>
      </w:r>
    </w:p>
    <w:p w14:paraId="0F91ED83">
      <w:pPr>
        <w:pStyle w:val="17"/>
        <w:numPr>
          <w:ilvl w:val="0"/>
          <w:numId w:val="1"/>
        </w:numPr>
        <w:ind w:firstLineChars="0"/>
        <w:rPr>
          <w:rFonts w:ascii="黑体" w:hAnsi="黑体" w:eastAsia="黑体" w:cs="仿宋"/>
          <w:sz w:val="32"/>
          <w:szCs w:val="32"/>
        </w:rPr>
      </w:pPr>
      <w:r>
        <w:rPr>
          <w:rFonts w:hint="eastAsia" w:ascii="黑体" w:hAnsi="黑体" w:eastAsia="黑体" w:cs="仿宋"/>
          <w:sz w:val="32"/>
          <w:szCs w:val="32"/>
        </w:rPr>
        <w:t>存在问题</w:t>
      </w:r>
    </w:p>
    <w:p w14:paraId="622ACE3B">
      <w:pPr>
        <w:pStyle w:val="17"/>
        <w:ind w:left="1429" w:firstLine="0" w:firstLineChars="0"/>
        <w:rPr>
          <w:rFonts w:ascii="黑体" w:hAnsi="黑体" w:eastAsia="黑体" w:cs="仿宋"/>
          <w:sz w:val="32"/>
          <w:szCs w:val="32"/>
        </w:rPr>
      </w:pPr>
      <w:r>
        <w:rPr>
          <w:rFonts w:hint="eastAsia" w:ascii="黑体" w:hAnsi="黑体" w:eastAsia="黑体" w:cs="仿宋"/>
          <w:sz w:val="32"/>
          <w:szCs w:val="32"/>
        </w:rPr>
        <w:t>无</w:t>
      </w:r>
    </w:p>
    <w:p w14:paraId="16EED2C1">
      <w:pPr>
        <w:ind w:firstLine="640" w:firstLineChars="200"/>
        <w:rPr>
          <w:rFonts w:ascii="黑体" w:hAnsi="黑体" w:eastAsia="黑体" w:cs="仿宋"/>
          <w:sz w:val="32"/>
          <w:szCs w:val="32"/>
        </w:rPr>
      </w:pPr>
      <w:r>
        <w:rPr>
          <w:rFonts w:hint="eastAsia" w:ascii="黑体" w:hAnsi="黑体" w:eastAsia="黑体" w:cs="仿宋"/>
          <w:sz w:val="32"/>
          <w:szCs w:val="32"/>
        </w:rPr>
        <w:t>五、采取的纠偏措施及改进绩效管理建议。</w:t>
      </w:r>
    </w:p>
    <w:p w14:paraId="272332D7">
      <w:pPr>
        <w:ind w:firstLine="1280" w:firstLineChars="400"/>
        <w:rPr>
          <w:rFonts w:ascii="黑体" w:hAnsi="黑体" w:eastAsia="黑体" w:cs="仿宋"/>
          <w:sz w:val="32"/>
          <w:szCs w:val="32"/>
        </w:rPr>
      </w:pPr>
      <w:r>
        <w:rPr>
          <w:rFonts w:hint="eastAsia" w:ascii="黑体" w:hAnsi="黑体" w:eastAsia="黑体" w:cs="仿宋"/>
          <w:sz w:val="32"/>
          <w:szCs w:val="32"/>
        </w:rPr>
        <w:t>无</w:t>
      </w: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003" w:usb1="288F0000" w:usb2="0000000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93030A">
    <w:pPr>
      <w:pStyle w:val="5"/>
      <w:framePr w:wrap="around" w:vAnchor="text" w:hAnchor="margin" w:xAlign="outside" w:y="1"/>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1</w:t>
    </w:r>
    <w:r>
      <w:rPr>
        <w:rStyle w:val="11"/>
        <w:rFonts w:ascii="宋体" w:hAnsi="宋体" w:eastAsia="宋体"/>
        <w:sz w:val="28"/>
        <w:szCs w:val="28"/>
      </w:rPr>
      <w:fldChar w:fldCharType="end"/>
    </w:r>
    <w:r>
      <w:rPr>
        <w:rStyle w:val="11"/>
        <w:rFonts w:hint="eastAsia" w:ascii="宋体" w:hAnsi="宋体" w:eastAsia="宋体"/>
        <w:sz w:val="28"/>
        <w:szCs w:val="28"/>
      </w:rPr>
      <w:t>-</w:t>
    </w:r>
  </w:p>
  <w:p w14:paraId="3816598A">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E0F65E">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14:paraId="509D6F36">
    <w:pPr>
      <w:pStyle w:val="5"/>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DE332E9"/>
    <w:multiLevelType w:val="multilevel"/>
    <w:tmpl w:val="4DE332E9"/>
    <w:lvl w:ilvl="0" w:tentative="0">
      <w:start w:val="1"/>
      <w:numFmt w:val="japaneseCounting"/>
      <w:lvlText w:val="%1、"/>
      <w:lvlJc w:val="left"/>
      <w:pPr>
        <w:ind w:left="1429" w:hanging="720"/>
      </w:pPr>
      <w:rPr>
        <w:rFonts w:hint="default"/>
        <w:lang w:val="en-US"/>
      </w:rPr>
    </w:lvl>
    <w:lvl w:ilvl="1" w:tentative="0">
      <w:start w:val="1"/>
      <w:numFmt w:val="lowerLetter"/>
      <w:lvlText w:val="%2)"/>
      <w:lvlJc w:val="left"/>
      <w:pPr>
        <w:ind w:left="1419" w:hanging="420"/>
      </w:pPr>
    </w:lvl>
    <w:lvl w:ilvl="2" w:tentative="0">
      <w:start w:val="1"/>
      <w:numFmt w:val="lowerRoman"/>
      <w:lvlText w:val="%3."/>
      <w:lvlJc w:val="right"/>
      <w:pPr>
        <w:ind w:left="1839" w:hanging="420"/>
      </w:pPr>
    </w:lvl>
    <w:lvl w:ilvl="3" w:tentative="0">
      <w:start w:val="1"/>
      <w:numFmt w:val="decimal"/>
      <w:lvlText w:val="%4."/>
      <w:lvlJc w:val="left"/>
      <w:pPr>
        <w:ind w:left="2259" w:hanging="420"/>
      </w:pPr>
    </w:lvl>
    <w:lvl w:ilvl="4" w:tentative="0">
      <w:start w:val="1"/>
      <w:numFmt w:val="lowerLetter"/>
      <w:lvlText w:val="%5)"/>
      <w:lvlJc w:val="left"/>
      <w:pPr>
        <w:ind w:left="2679" w:hanging="420"/>
      </w:pPr>
    </w:lvl>
    <w:lvl w:ilvl="5" w:tentative="0">
      <w:start w:val="1"/>
      <w:numFmt w:val="lowerRoman"/>
      <w:lvlText w:val="%6."/>
      <w:lvlJc w:val="right"/>
      <w:pPr>
        <w:ind w:left="3099" w:hanging="420"/>
      </w:pPr>
    </w:lvl>
    <w:lvl w:ilvl="6" w:tentative="0">
      <w:start w:val="1"/>
      <w:numFmt w:val="decimal"/>
      <w:lvlText w:val="%7."/>
      <w:lvlJc w:val="left"/>
      <w:pPr>
        <w:ind w:left="3519" w:hanging="420"/>
      </w:pPr>
    </w:lvl>
    <w:lvl w:ilvl="7" w:tentative="0">
      <w:start w:val="1"/>
      <w:numFmt w:val="lowerLetter"/>
      <w:lvlText w:val="%8)"/>
      <w:lvlJc w:val="left"/>
      <w:pPr>
        <w:ind w:left="3939" w:hanging="420"/>
      </w:pPr>
    </w:lvl>
    <w:lvl w:ilvl="8" w:tentative="0">
      <w:start w:val="1"/>
      <w:numFmt w:val="lowerRoman"/>
      <w:lvlText w:val="%9."/>
      <w:lvlJc w:val="right"/>
      <w:pPr>
        <w:ind w:left="4359"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NotDisplayPageBoundaries w:val="1"/>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042933"/>
    <w:rsid w:val="00002F2C"/>
    <w:rsid w:val="000070A8"/>
    <w:rsid w:val="00016CA4"/>
    <w:rsid w:val="000324AE"/>
    <w:rsid w:val="00042933"/>
    <w:rsid w:val="00074438"/>
    <w:rsid w:val="0008033E"/>
    <w:rsid w:val="00083780"/>
    <w:rsid w:val="0008759D"/>
    <w:rsid w:val="00094F2B"/>
    <w:rsid w:val="000B0A83"/>
    <w:rsid w:val="000B6322"/>
    <w:rsid w:val="000C2CC1"/>
    <w:rsid w:val="000E4A5A"/>
    <w:rsid w:val="00103547"/>
    <w:rsid w:val="00136EC7"/>
    <w:rsid w:val="00167B4C"/>
    <w:rsid w:val="0017068B"/>
    <w:rsid w:val="00185A3C"/>
    <w:rsid w:val="00192D5A"/>
    <w:rsid w:val="001C59B3"/>
    <w:rsid w:val="001D49CC"/>
    <w:rsid w:val="001E0886"/>
    <w:rsid w:val="001F7E31"/>
    <w:rsid w:val="002071BC"/>
    <w:rsid w:val="00225AE6"/>
    <w:rsid w:val="002270EB"/>
    <w:rsid w:val="00235F0F"/>
    <w:rsid w:val="00255783"/>
    <w:rsid w:val="00290BA1"/>
    <w:rsid w:val="002A6AEA"/>
    <w:rsid w:val="002D70DF"/>
    <w:rsid w:val="002F07DF"/>
    <w:rsid w:val="002F2268"/>
    <w:rsid w:val="003C50C2"/>
    <w:rsid w:val="0041099F"/>
    <w:rsid w:val="00425111"/>
    <w:rsid w:val="00436A1D"/>
    <w:rsid w:val="004379D7"/>
    <w:rsid w:val="004A68B1"/>
    <w:rsid w:val="004B64F3"/>
    <w:rsid w:val="004E3B64"/>
    <w:rsid w:val="005020C5"/>
    <w:rsid w:val="00567FE6"/>
    <w:rsid w:val="0058162A"/>
    <w:rsid w:val="005B2327"/>
    <w:rsid w:val="005B3616"/>
    <w:rsid w:val="005E12FA"/>
    <w:rsid w:val="006279F4"/>
    <w:rsid w:val="00683167"/>
    <w:rsid w:val="006A1CCC"/>
    <w:rsid w:val="006A5056"/>
    <w:rsid w:val="006C0824"/>
    <w:rsid w:val="006E64C9"/>
    <w:rsid w:val="007048FF"/>
    <w:rsid w:val="00712100"/>
    <w:rsid w:val="0071700D"/>
    <w:rsid w:val="00742652"/>
    <w:rsid w:val="00752E24"/>
    <w:rsid w:val="00756EFC"/>
    <w:rsid w:val="00772600"/>
    <w:rsid w:val="007D5D41"/>
    <w:rsid w:val="007F01F9"/>
    <w:rsid w:val="00856BA1"/>
    <w:rsid w:val="00867620"/>
    <w:rsid w:val="008709E0"/>
    <w:rsid w:val="008A6A10"/>
    <w:rsid w:val="008A6A31"/>
    <w:rsid w:val="008C54C8"/>
    <w:rsid w:val="00904AF4"/>
    <w:rsid w:val="00905542"/>
    <w:rsid w:val="00917700"/>
    <w:rsid w:val="00921750"/>
    <w:rsid w:val="00956F74"/>
    <w:rsid w:val="009841E5"/>
    <w:rsid w:val="009A5E3A"/>
    <w:rsid w:val="009B0B5F"/>
    <w:rsid w:val="009C04DA"/>
    <w:rsid w:val="009C4C62"/>
    <w:rsid w:val="009E3627"/>
    <w:rsid w:val="009F53E7"/>
    <w:rsid w:val="00A11BF8"/>
    <w:rsid w:val="00A14A33"/>
    <w:rsid w:val="00A44D93"/>
    <w:rsid w:val="00A574F9"/>
    <w:rsid w:val="00A6449D"/>
    <w:rsid w:val="00A768DB"/>
    <w:rsid w:val="00AA09C8"/>
    <w:rsid w:val="00AD5F30"/>
    <w:rsid w:val="00B0681D"/>
    <w:rsid w:val="00B56C08"/>
    <w:rsid w:val="00B81AEC"/>
    <w:rsid w:val="00B9023F"/>
    <w:rsid w:val="00B9701F"/>
    <w:rsid w:val="00BC1FDC"/>
    <w:rsid w:val="00BD0FD8"/>
    <w:rsid w:val="00C44804"/>
    <w:rsid w:val="00C6362A"/>
    <w:rsid w:val="00C81363"/>
    <w:rsid w:val="00CB27A5"/>
    <w:rsid w:val="00CD55ED"/>
    <w:rsid w:val="00CD63C0"/>
    <w:rsid w:val="00CE62A0"/>
    <w:rsid w:val="00D16C4D"/>
    <w:rsid w:val="00D174FC"/>
    <w:rsid w:val="00D21F0C"/>
    <w:rsid w:val="00D270F2"/>
    <w:rsid w:val="00D366C1"/>
    <w:rsid w:val="00D36CB5"/>
    <w:rsid w:val="00D877F7"/>
    <w:rsid w:val="00DB2D43"/>
    <w:rsid w:val="00E266F1"/>
    <w:rsid w:val="00E46D4C"/>
    <w:rsid w:val="00E9169E"/>
    <w:rsid w:val="00E924C0"/>
    <w:rsid w:val="00EB16A8"/>
    <w:rsid w:val="00EC7904"/>
    <w:rsid w:val="00F72E93"/>
    <w:rsid w:val="00F87A11"/>
    <w:rsid w:val="00FB2D24"/>
    <w:rsid w:val="00FB7E01"/>
    <w:rsid w:val="00FE5F4C"/>
    <w:rsid w:val="00FE7503"/>
    <w:rsid w:val="00FF39F6"/>
    <w:rsid w:val="05374814"/>
    <w:rsid w:val="0C8F0285"/>
    <w:rsid w:val="0F8F6BFC"/>
    <w:rsid w:val="107166F3"/>
    <w:rsid w:val="1C841DE7"/>
    <w:rsid w:val="2F752500"/>
    <w:rsid w:val="320262CD"/>
    <w:rsid w:val="3791647A"/>
    <w:rsid w:val="455969D8"/>
    <w:rsid w:val="48725571"/>
    <w:rsid w:val="4BDB04ED"/>
    <w:rsid w:val="526A3656"/>
    <w:rsid w:val="53CD5365"/>
    <w:rsid w:val="5D643D56"/>
    <w:rsid w:val="64283056"/>
    <w:rsid w:val="69BD0A47"/>
    <w:rsid w:val="71A911C9"/>
    <w:rsid w:val="7793669D"/>
    <w:rsid w:val="7CCC213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99"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99"/>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character" w:customStyle="1" w:styleId="12">
    <w:name w:val="页眉 Char"/>
    <w:basedOn w:val="9"/>
    <w:link w:val="6"/>
    <w:qFormat/>
    <w:uiPriority w:val="99"/>
    <w:rPr>
      <w:sz w:val="18"/>
      <w:szCs w:val="18"/>
    </w:rPr>
  </w:style>
  <w:style w:type="character" w:customStyle="1" w:styleId="13">
    <w:name w:val="页脚 Char"/>
    <w:basedOn w:val="9"/>
    <w:link w:val="5"/>
    <w:qFormat/>
    <w:uiPriority w:val="99"/>
    <w:rPr>
      <w:sz w:val="18"/>
      <w:szCs w:val="18"/>
    </w:rPr>
  </w:style>
  <w:style w:type="character" w:customStyle="1" w:styleId="14">
    <w:name w:val="纯文本 Char"/>
    <w:basedOn w:val="9"/>
    <w:link w:val="4"/>
    <w:qFormat/>
    <w:uiPriority w:val="99"/>
    <w:rPr>
      <w:rFonts w:ascii="宋体" w:hAnsi="Courier New" w:eastAsia="宋体" w:cs="Courier New"/>
      <w:szCs w:val="21"/>
    </w:rPr>
  </w:style>
  <w:style w:type="character" w:customStyle="1" w:styleId="15">
    <w:name w:val="标题 1 Char"/>
    <w:basedOn w:val="9"/>
    <w:link w:val="2"/>
    <w:qFormat/>
    <w:uiPriority w:val="9"/>
    <w:rPr>
      <w:rFonts w:ascii="宋体" w:hAnsi="宋体" w:eastAsia="宋体" w:cs="宋体"/>
      <w:b/>
      <w:kern w:val="44"/>
      <w:sz w:val="48"/>
      <w:szCs w:val="48"/>
    </w:rPr>
  </w:style>
  <w:style w:type="character" w:customStyle="1" w:styleId="16">
    <w:name w:val="font31"/>
    <w:basedOn w:val="9"/>
    <w:qFormat/>
    <w:uiPriority w:val="0"/>
    <w:rPr>
      <w:rFonts w:hint="eastAsia" w:ascii="宋体" w:hAnsi="宋体" w:eastAsia="宋体" w:cs="宋体"/>
      <w:b/>
      <w:color w:val="000000"/>
      <w:sz w:val="36"/>
      <w:szCs w:val="36"/>
      <w:u w:val="none"/>
    </w:rPr>
  </w:style>
  <w:style w:type="paragraph" w:styleId="17">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6217</Words>
  <Characters>6566</Characters>
  <Lines>49</Lines>
  <Paragraphs>13</Paragraphs>
  <TotalTime>2</TotalTime>
  <ScaleCrop>false</ScaleCrop>
  <LinksUpToDate>false</LinksUpToDate>
  <CharactersWithSpaces>6634</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李娟</cp:lastModifiedBy>
  <cp:lastPrinted>2018-11-29T03:23:00Z</cp:lastPrinted>
  <dcterms:modified xsi:type="dcterms:W3CDTF">2025-04-09T07:48:01Z</dcterms:modified>
  <cp:revision>86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eyJoZGlkIjoiNTRiNmNmZTkxYjI3NzJjM2IwYjJkODVlMjY4MjNkYzkiLCJ1c2VySWQiOiIyNTQwNDI3NjMifQ==</vt:lpwstr>
  </property>
  <property fmtid="{D5CDD505-2E9C-101B-9397-08002B2CF9AE}" pid="4" name="ICV">
    <vt:lpwstr>3907DDE4E50044AD82EA19842D33B02F_12</vt:lpwstr>
  </property>
</Properties>
</file>