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B63483">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3B691A99">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社会保险事业管理局</w:t>
      </w:r>
      <w:r>
        <w:rPr>
          <w:rFonts w:hint="eastAsia" w:ascii="宋体" w:hAnsi="宋体"/>
          <w:b/>
          <w:sz w:val="44"/>
          <w:szCs w:val="44"/>
        </w:rPr>
        <w:t>2021年</w:t>
      </w:r>
    </w:p>
    <w:p w14:paraId="6F1C2C38">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3AA7F4A9">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w:t>
      </w:r>
      <w:r>
        <w:rPr>
          <w:rFonts w:hint="eastAsia" w:ascii="仿宋" w:hAnsi="仿宋" w:eastAsia="仿宋" w:cs="仿宋"/>
          <w:sz w:val="24"/>
          <w:szCs w:val="24"/>
          <w:lang w:eastAsia="zh-CN"/>
        </w:rPr>
        <w:t xml:space="preserve">隆尧县社会保险事业管理局 </w:t>
      </w:r>
      <w:r>
        <w:rPr>
          <w:rFonts w:hint="eastAsia" w:ascii="仿宋" w:hAnsi="仿宋" w:eastAsia="仿宋" w:cs="仿宋"/>
          <w:sz w:val="24"/>
          <w:szCs w:val="24"/>
        </w:rPr>
        <w:t xml:space="preserve">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4A4AE5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C3DA02E">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2501E0F">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1242F417">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31B62689">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70619301">
            <w:pPr>
              <w:widowControl/>
              <w:spacing w:line="240" w:lineRule="exact"/>
              <w:jc w:val="left"/>
              <w:rPr>
                <w:b/>
              </w:rPr>
            </w:pPr>
            <w:r>
              <w:rPr>
                <w:rFonts w:ascii="仿宋_GB2312" w:hAnsi="新宋体" w:eastAsia="仿宋_GB2312" w:cs="仿宋_GB2312"/>
                <w:b/>
                <w:kern w:val="0"/>
                <w:sz w:val="24"/>
                <w:szCs w:val="24"/>
              </w:rPr>
              <w:t>得分</w:t>
            </w:r>
          </w:p>
        </w:tc>
      </w:tr>
      <w:tr w14:paraId="59D637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CE332BD">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0E49558">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B035E73">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5A06459">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0EA6DF24">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43605E18">
            <w:pPr>
              <w:rPr>
                <w:rFonts w:ascii="宋体"/>
                <w:szCs w:val="21"/>
              </w:rPr>
            </w:pPr>
          </w:p>
        </w:tc>
      </w:tr>
      <w:tr w14:paraId="5F4B78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2F21CB6">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3BE79F53">
            <w:pPr>
              <w:widowControl/>
              <w:spacing w:line="240" w:lineRule="exact"/>
              <w:jc w:val="left"/>
              <w:rPr>
                <w:rFonts w:hint="default" w:eastAsiaTheme="minorEastAsia"/>
                <w:szCs w:val="21"/>
                <w:lang w:val="en-US" w:eastAsia="zh-CN"/>
              </w:rPr>
            </w:pPr>
            <w:r>
              <w:rPr>
                <w:rFonts w:hint="eastAsia"/>
                <w:szCs w:val="21"/>
                <w:lang w:val="en-US" w:eastAsia="zh-CN"/>
              </w:rPr>
              <w:t>97</w:t>
            </w:r>
          </w:p>
        </w:tc>
      </w:tr>
      <w:tr w14:paraId="5B2ECB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1BF1456">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E4E1BA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03E9C8A7">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EDA1D11">
            <w:pPr>
              <w:widowControl/>
              <w:spacing w:line="240" w:lineRule="exact"/>
              <w:jc w:val="left"/>
              <w:rPr>
                <w:rFonts w:ascii="仿宋_GB2312" w:hAnsi="新宋体" w:eastAsia="仿宋_GB2312" w:cs="仿宋_GB2312"/>
                <w:kern w:val="0"/>
                <w:szCs w:val="21"/>
              </w:rPr>
            </w:pPr>
          </w:p>
          <w:p w14:paraId="452D231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394441B6">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5EE5757">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080F4CE7">
            <w:pPr>
              <w:widowControl/>
              <w:spacing w:line="240" w:lineRule="exact"/>
              <w:jc w:val="left"/>
              <w:rPr>
                <w:szCs w:val="21"/>
              </w:rPr>
            </w:pPr>
            <w:r>
              <w:rPr>
                <w:rFonts w:ascii="仿宋_GB2312" w:hAnsi="新宋体" w:eastAsia="仿宋_GB2312" w:cs="仿宋_GB2312"/>
                <w:kern w:val="0"/>
                <w:szCs w:val="21"/>
              </w:rPr>
              <w:t>符合（1）；</w:t>
            </w:r>
          </w:p>
          <w:p w14:paraId="20AA0DA6">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46BC228">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66493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7B0A4A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4B9E469">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554551C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798B3E3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F8AD936">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1168B03">
            <w:pPr>
              <w:widowControl/>
              <w:spacing w:line="240" w:lineRule="exact"/>
              <w:jc w:val="left"/>
              <w:rPr>
                <w:szCs w:val="21"/>
              </w:rPr>
            </w:pPr>
            <w:r>
              <w:rPr>
                <w:rFonts w:ascii="仿宋_GB2312" w:hAnsi="新宋体" w:eastAsia="仿宋_GB2312" w:cs="仿宋_GB2312"/>
                <w:kern w:val="0"/>
                <w:szCs w:val="21"/>
              </w:rPr>
              <w:t>评价要点：</w:t>
            </w:r>
          </w:p>
          <w:p w14:paraId="76AC36B8">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54898FCA">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00BC665F">
            <w:pPr>
              <w:widowControl/>
              <w:spacing w:line="240" w:lineRule="exact"/>
              <w:jc w:val="left"/>
              <w:rPr>
                <w:szCs w:val="21"/>
              </w:rPr>
            </w:pPr>
            <w:r>
              <w:rPr>
                <w:rFonts w:ascii="仿宋_GB2312" w:hAnsi="新宋体" w:eastAsia="仿宋_GB2312" w:cs="仿宋_GB2312"/>
                <w:kern w:val="0"/>
                <w:szCs w:val="21"/>
              </w:rPr>
              <w:t>全部符合（2）；</w:t>
            </w:r>
          </w:p>
          <w:p w14:paraId="1C40B2C6">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EF32C0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C57F4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F324E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A6E748B">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0EAAB16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706F9B3C">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4266D3B">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493A94C6">
            <w:pPr>
              <w:widowControl/>
              <w:spacing w:line="240" w:lineRule="exact"/>
              <w:jc w:val="left"/>
              <w:rPr>
                <w:szCs w:val="21"/>
              </w:rPr>
            </w:pPr>
            <w:r>
              <w:rPr>
                <w:rFonts w:ascii="仿宋_GB2312" w:hAnsi="新宋体" w:eastAsia="仿宋_GB2312" w:cs="仿宋_GB2312"/>
                <w:kern w:val="0"/>
                <w:szCs w:val="21"/>
              </w:rPr>
              <w:t>评价要点：</w:t>
            </w:r>
          </w:p>
          <w:p w14:paraId="298E0440">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537423F2">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4B19207">
            <w:pPr>
              <w:widowControl/>
              <w:spacing w:line="240" w:lineRule="exact"/>
              <w:jc w:val="left"/>
              <w:rPr>
                <w:szCs w:val="21"/>
              </w:rPr>
            </w:pPr>
            <w:r>
              <w:rPr>
                <w:rFonts w:ascii="仿宋_GB2312" w:hAnsi="新宋体" w:eastAsia="仿宋_GB2312" w:cs="仿宋_GB2312"/>
                <w:kern w:val="0"/>
                <w:szCs w:val="21"/>
              </w:rPr>
              <w:t>全部符合（2）；</w:t>
            </w:r>
          </w:p>
          <w:p w14:paraId="2AEC6E23">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5E6CC0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0B369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A5389A">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65CB4C90">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081FAACC">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15FFA3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5249E3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7C5561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1DFD26F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758D36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15AD0B3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47A98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75168E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44EBD7E">
            <w:pPr>
              <w:widowControl/>
              <w:spacing w:line="240" w:lineRule="exact"/>
              <w:jc w:val="left"/>
              <w:rPr>
                <w:rFonts w:hint="default" w:eastAsiaTheme="minorEastAsia"/>
                <w:szCs w:val="21"/>
                <w:lang w:val="en-US" w:eastAsia="zh-CN"/>
              </w:rPr>
            </w:pPr>
            <w:r>
              <w:rPr>
                <w:rFonts w:hint="eastAsia"/>
                <w:szCs w:val="21"/>
                <w:lang w:val="en-US" w:eastAsia="zh-CN"/>
              </w:rPr>
              <w:t>1</w:t>
            </w:r>
          </w:p>
        </w:tc>
      </w:tr>
      <w:tr w14:paraId="52716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47EE573C">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E48AB9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C21C92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1E66905D">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p>
          <w:p w14:paraId="5B122B8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3755D8C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2B3716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62FD2F8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21A26C6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4B80BA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082BF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72F7E69C">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4CB97FB4">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6C8B845">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8DBF7D1">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p>
          <w:p w14:paraId="28D12A42">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p>
          <w:p w14:paraId="44B66BE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3280A8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7E911D8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530C93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042959B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845CEC9">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5B4E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B19DC19">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2EF5D1E">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C9088E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485772D5">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FCEC6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3EC943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D8B50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A206B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1D5D40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77A074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DA05EED">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7D8028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5A26A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713BDF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F5F0AF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0EF5E7E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4E15120">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7A79F7E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8422A49">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870CC4A">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13AC7C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538504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530498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747F9F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34B61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553DFD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C67CE14">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656BA23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4C17F2B">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64DD5713">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E85AE02">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44D79F42">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618CA6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D989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F31AC2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B8BD25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943706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54FF48B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10632CF">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2CAB5F4">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4C176722">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EDD431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7020BBE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3A3A87D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FA923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94B7CE9">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540610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81AD46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EFBB0A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902049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208D6F3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4557D9C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3DBD12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0EB8D86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250713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61B217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BCBCCC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477D4BF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AE6A4F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DD84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EDDE44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BAFE58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7C7E8F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33C9C96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EC3894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D756D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3F31ED7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A1600F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478191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710DCB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D699CA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2F184E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B58442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EF23B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ED28629">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8A43057">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7381CB62">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74AD03B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596CCF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45A6150E">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F6ABC37">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257FFFFD">
            <w:pPr>
              <w:widowControl/>
              <w:spacing w:line="240" w:lineRule="exact"/>
              <w:jc w:val="left"/>
              <w:rPr>
                <w:szCs w:val="21"/>
              </w:rPr>
            </w:pPr>
            <w:r>
              <w:rPr>
                <w:rFonts w:ascii="仿宋_GB2312" w:hAnsi="新宋体" w:eastAsia="仿宋_GB2312" w:cs="仿宋_GB2312"/>
                <w:kern w:val="0"/>
                <w:szCs w:val="21"/>
              </w:rPr>
              <w:t>评价要点：</w:t>
            </w:r>
          </w:p>
          <w:p w14:paraId="18DF78B5">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F310CB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00D42AC7">
            <w:pPr>
              <w:widowControl/>
              <w:spacing w:line="240" w:lineRule="exact"/>
              <w:jc w:val="left"/>
              <w:rPr>
                <w:szCs w:val="21"/>
              </w:rPr>
            </w:pPr>
            <w:r>
              <w:rPr>
                <w:rFonts w:ascii="仿宋_GB2312" w:hAnsi="新宋体" w:eastAsia="仿宋_GB2312" w:cs="仿宋_GB2312"/>
                <w:kern w:val="0"/>
                <w:szCs w:val="21"/>
              </w:rPr>
              <w:t>3.项目的重大开支经过评估论证；</w:t>
            </w:r>
          </w:p>
          <w:p w14:paraId="6AFBCC82">
            <w:pPr>
              <w:widowControl/>
              <w:spacing w:line="240" w:lineRule="exact"/>
              <w:jc w:val="left"/>
              <w:rPr>
                <w:szCs w:val="21"/>
              </w:rPr>
            </w:pPr>
            <w:r>
              <w:rPr>
                <w:rFonts w:ascii="仿宋_GB2312" w:hAnsi="新宋体" w:eastAsia="仿宋_GB2312" w:cs="仿宋_GB2312"/>
                <w:kern w:val="0"/>
                <w:szCs w:val="21"/>
              </w:rPr>
              <w:t>4.符合部门预算批复的用途；</w:t>
            </w:r>
          </w:p>
          <w:p w14:paraId="3205141C">
            <w:pPr>
              <w:widowControl/>
              <w:spacing w:line="240" w:lineRule="exact"/>
              <w:jc w:val="left"/>
              <w:rPr>
                <w:szCs w:val="21"/>
              </w:rPr>
            </w:pPr>
            <w:r>
              <w:rPr>
                <w:rFonts w:ascii="仿宋_GB2312" w:hAnsi="新宋体" w:eastAsia="仿宋_GB2312" w:cs="仿宋_GB2312"/>
                <w:kern w:val="0"/>
                <w:szCs w:val="21"/>
              </w:rPr>
              <w:t>5.不存在截留情况；</w:t>
            </w:r>
          </w:p>
          <w:p w14:paraId="67D3D51C">
            <w:pPr>
              <w:widowControl/>
              <w:spacing w:line="240" w:lineRule="exact"/>
              <w:jc w:val="left"/>
              <w:rPr>
                <w:szCs w:val="21"/>
              </w:rPr>
            </w:pPr>
            <w:r>
              <w:rPr>
                <w:rFonts w:ascii="仿宋_GB2312" w:hAnsi="新宋体" w:eastAsia="仿宋_GB2312" w:cs="仿宋_GB2312"/>
                <w:kern w:val="0"/>
                <w:szCs w:val="21"/>
              </w:rPr>
              <w:t>6.不存在挤占情况；</w:t>
            </w:r>
          </w:p>
          <w:p w14:paraId="420708D8">
            <w:pPr>
              <w:widowControl/>
              <w:spacing w:line="240" w:lineRule="exact"/>
              <w:jc w:val="left"/>
              <w:rPr>
                <w:szCs w:val="21"/>
              </w:rPr>
            </w:pPr>
            <w:r>
              <w:rPr>
                <w:rFonts w:ascii="仿宋_GB2312" w:hAnsi="新宋体" w:eastAsia="仿宋_GB2312" w:cs="仿宋_GB2312"/>
                <w:kern w:val="0"/>
                <w:szCs w:val="21"/>
              </w:rPr>
              <w:t>7.不存在挪用情况；</w:t>
            </w:r>
          </w:p>
          <w:p w14:paraId="10F0BBC5">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3EB64534">
            <w:pPr>
              <w:widowControl/>
              <w:spacing w:line="240" w:lineRule="exact"/>
              <w:jc w:val="left"/>
              <w:rPr>
                <w:szCs w:val="21"/>
              </w:rPr>
            </w:pPr>
            <w:r>
              <w:rPr>
                <w:rFonts w:ascii="仿宋_GB2312" w:hAnsi="新宋体" w:eastAsia="仿宋_GB2312" w:cs="仿宋_GB2312"/>
                <w:kern w:val="0"/>
                <w:szCs w:val="21"/>
              </w:rPr>
              <w:t>全部符合（8）；</w:t>
            </w:r>
          </w:p>
          <w:p w14:paraId="55288B0D">
            <w:pPr>
              <w:widowControl/>
              <w:spacing w:line="240" w:lineRule="exact"/>
              <w:jc w:val="left"/>
              <w:rPr>
                <w:szCs w:val="21"/>
              </w:rPr>
            </w:pPr>
            <w:r>
              <w:rPr>
                <w:rFonts w:ascii="仿宋_GB2312" w:hAnsi="新宋体" w:eastAsia="仿宋_GB2312" w:cs="仿宋_GB2312"/>
                <w:kern w:val="0"/>
                <w:szCs w:val="21"/>
              </w:rPr>
              <w:t>符合其中七项（6）；</w:t>
            </w:r>
          </w:p>
          <w:p w14:paraId="29B68520">
            <w:pPr>
              <w:widowControl/>
              <w:spacing w:line="240" w:lineRule="exact"/>
              <w:jc w:val="left"/>
              <w:rPr>
                <w:szCs w:val="21"/>
              </w:rPr>
            </w:pPr>
            <w:r>
              <w:rPr>
                <w:rFonts w:ascii="仿宋_GB2312" w:hAnsi="新宋体" w:eastAsia="仿宋_GB2312" w:cs="仿宋_GB2312"/>
                <w:kern w:val="0"/>
                <w:szCs w:val="21"/>
              </w:rPr>
              <w:t>符合其中六项（4）；</w:t>
            </w:r>
          </w:p>
          <w:p w14:paraId="73CAA8B8">
            <w:pPr>
              <w:widowControl/>
              <w:spacing w:line="240" w:lineRule="exact"/>
              <w:jc w:val="left"/>
              <w:rPr>
                <w:szCs w:val="21"/>
              </w:rPr>
            </w:pPr>
            <w:r>
              <w:rPr>
                <w:rFonts w:ascii="仿宋_GB2312" w:hAnsi="新宋体" w:eastAsia="仿宋_GB2312" w:cs="仿宋_GB2312"/>
                <w:kern w:val="0"/>
                <w:szCs w:val="21"/>
              </w:rPr>
              <w:t>符合其中五项（2）；</w:t>
            </w:r>
          </w:p>
          <w:p w14:paraId="26844659">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33BFF72">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099939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CFB591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838D5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DF8BF1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46D2495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6850E9AE">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A23E651">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436DAED9">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33DBF8F5">
            <w:pPr>
              <w:widowControl/>
              <w:spacing w:line="240" w:lineRule="exact"/>
              <w:jc w:val="left"/>
              <w:rPr>
                <w:szCs w:val="21"/>
              </w:rPr>
            </w:pPr>
            <w:r>
              <w:rPr>
                <w:rFonts w:ascii="仿宋_GB2312" w:hAnsi="新宋体" w:eastAsia="仿宋_GB2312" w:cs="仿宋_GB2312"/>
                <w:kern w:val="0"/>
                <w:szCs w:val="21"/>
              </w:rPr>
              <w:t>评价要点：</w:t>
            </w:r>
          </w:p>
          <w:p w14:paraId="421142CB">
            <w:pPr>
              <w:widowControl/>
              <w:spacing w:line="240" w:lineRule="exact"/>
              <w:jc w:val="left"/>
              <w:rPr>
                <w:szCs w:val="21"/>
              </w:rPr>
            </w:pPr>
            <w:r>
              <w:rPr>
                <w:rFonts w:ascii="仿宋_GB2312" w:hAnsi="新宋体" w:eastAsia="仿宋_GB2312" w:cs="仿宋_GB2312"/>
                <w:kern w:val="0"/>
                <w:szCs w:val="21"/>
              </w:rPr>
              <w:t>1.公开预决算信息；</w:t>
            </w:r>
          </w:p>
          <w:p w14:paraId="7ADAB3CC">
            <w:pPr>
              <w:widowControl/>
              <w:spacing w:line="240" w:lineRule="exact"/>
              <w:jc w:val="left"/>
              <w:rPr>
                <w:szCs w:val="21"/>
              </w:rPr>
            </w:pPr>
            <w:r>
              <w:rPr>
                <w:rFonts w:ascii="仿宋_GB2312" w:hAnsi="新宋体" w:eastAsia="仿宋_GB2312" w:cs="仿宋_GB2312"/>
                <w:kern w:val="0"/>
                <w:szCs w:val="21"/>
              </w:rPr>
              <w:t>2.按规定内容公开预决算信息；</w:t>
            </w:r>
          </w:p>
          <w:p w14:paraId="14287D7F">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3F5DABE9">
            <w:pPr>
              <w:widowControl/>
              <w:spacing w:line="240" w:lineRule="exact"/>
              <w:jc w:val="left"/>
              <w:rPr>
                <w:szCs w:val="21"/>
              </w:rPr>
            </w:pPr>
            <w:r>
              <w:rPr>
                <w:rFonts w:ascii="仿宋_GB2312" w:hAnsi="新宋体" w:eastAsia="仿宋_GB2312" w:cs="仿宋_GB2312"/>
                <w:kern w:val="0"/>
                <w:szCs w:val="21"/>
              </w:rPr>
              <w:t>全部符合（3）；</w:t>
            </w:r>
          </w:p>
          <w:p w14:paraId="4BC116A4">
            <w:pPr>
              <w:widowControl/>
              <w:spacing w:line="240" w:lineRule="exact"/>
              <w:jc w:val="left"/>
              <w:rPr>
                <w:szCs w:val="21"/>
              </w:rPr>
            </w:pPr>
            <w:r>
              <w:rPr>
                <w:rFonts w:ascii="仿宋_GB2312" w:hAnsi="新宋体" w:eastAsia="仿宋_GB2312" w:cs="仿宋_GB2312"/>
                <w:kern w:val="0"/>
                <w:szCs w:val="21"/>
              </w:rPr>
              <w:t>符合其中两项（2）</w:t>
            </w:r>
          </w:p>
          <w:p w14:paraId="5C96332B">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52DF1B8">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EA0DE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82172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9A3058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7AA11DD">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0C387478">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6264FA0">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318550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0DDA32CC">
            <w:pPr>
              <w:widowControl/>
              <w:spacing w:line="240" w:lineRule="exact"/>
              <w:jc w:val="left"/>
              <w:rPr>
                <w:szCs w:val="21"/>
              </w:rPr>
            </w:pPr>
            <w:r>
              <w:rPr>
                <w:rFonts w:ascii="仿宋_GB2312" w:hAnsi="新宋体" w:eastAsia="仿宋_GB2312" w:cs="仿宋_GB2312"/>
                <w:kern w:val="0"/>
                <w:szCs w:val="21"/>
              </w:rPr>
              <w:t>评价要点：</w:t>
            </w:r>
          </w:p>
          <w:p w14:paraId="5FACE53B">
            <w:pPr>
              <w:widowControl/>
              <w:spacing w:line="240" w:lineRule="exact"/>
              <w:jc w:val="left"/>
              <w:rPr>
                <w:szCs w:val="21"/>
              </w:rPr>
            </w:pPr>
            <w:r>
              <w:rPr>
                <w:rFonts w:ascii="仿宋_GB2312" w:hAnsi="新宋体" w:eastAsia="仿宋_GB2312" w:cs="仿宋_GB2312"/>
                <w:kern w:val="0"/>
                <w:szCs w:val="21"/>
              </w:rPr>
              <w:t>1.基本财务管理制度健全；</w:t>
            </w:r>
          </w:p>
          <w:p w14:paraId="377F4842">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86DDBC6">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6213BF92">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5C39C0C">
            <w:pPr>
              <w:widowControl/>
              <w:spacing w:line="240" w:lineRule="exact"/>
              <w:jc w:val="left"/>
              <w:rPr>
                <w:szCs w:val="21"/>
              </w:rPr>
            </w:pPr>
            <w:r>
              <w:rPr>
                <w:rFonts w:ascii="仿宋_GB2312" w:hAnsi="新宋体" w:eastAsia="仿宋_GB2312" w:cs="仿宋_GB2312"/>
                <w:kern w:val="0"/>
                <w:szCs w:val="21"/>
              </w:rPr>
              <w:t>符合全部四项（4）；</w:t>
            </w:r>
          </w:p>
          <w:p w14:paraId="2434FF07">
            <w:pPr>
              <w:widowControl/>
              <w:spacing w:line="240" w:lineRule="exact"/>
              <w:jc w:val="left"/>
              <w:rPr>
                <w:szCs w:val="21"/>
              </w:rPr>
            </w:pPr>
            <w:r>
              <w:rPr>
                <w:rFonts w:ascii="仿宋_GB2312" w:hAnsi="新宋体" w:eastAsia="仿宋_GB2312" w:cs="仿宋_GB2312"/>
                <w:kern w:val="0"/>
                <w:szCs w:val="21"/>
              </w:rPr>
              <w:t>符合其中三项（2）；</w:t>
            </w:r>
          </w:p>
          <w:p w14:paraId="4E41D7E3">
            <w:pPr>
              <w:widowControl/>
              <w:spacing w:line="240" w:lineRule="exact"/>
              <w:jc w:val="left"/>
              <w:rPr>
                <w:szCs w:val="21"/>
              </w:rPr>
            </w:pPr>
            <w:r>
              <w:rPr>
                <w:rFonts w:ascii="仿宋_GB2312" w:hAnsi="新宋体" w:eastAsia="仿宋_GB2312" w:cs="仿宋_GB2312"/>
                <w:kern w:val="0"/>
                <w:szCs w:val="21"/>
              </w:rPr>
              <w:t>符合其中两项（1）；</w:t>
            </w:r>
          </w:p>
          <w:p w14:paraId="79042806">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84EEE9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B71C2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551E59">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CCD287A">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3593141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0A31A72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3045C2B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F523DDB">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0FC09239">
            <w:pPr>
              <w:widowControl/>
              <w:spacing w:line="240" w:lineRule="exact"/>
              <w:jc w:val="left"/>
              <w:rPr>
                <w:szCs w:val="21"/>
              </w:rPr>
            </w:pPr>
            <w:r>
              <w:rPr>
                <w:rFonts w:ascii="仿宋_GB2312" w:hAnsi="新宋体" w:eastAsia="仿宋_GB2312" w:cs="仿宋_GB2312"/>
                <w:kern w:val="0"/>
                <w:szCs w:val="21"/>
              </w:rPr>
              <w:t>评价要点：</w:t>
            </w:r>
          </w:p>
          <w:p w14:paraId="7E5CE6CC">
            <w:pPr>
              <w:widowControl/>
              <w:spacing w:line="240" w:lineRule="exact"/>
              <w:jc w:val="left"/>
              <w:rPr>
                <w:szCs w:val="21"/>
              </w:rPr>
            </w:pPr>
            <w:r>
              <w:rPr>
                <w:rFonts w:ascii="仿宋_GB2312" w:hAnsi="新宋体" w:eastAsia="仿宋_GB2312" w:cs="仿宋_GB2312"/>
                <w:kern w:val="0"/>
                <w:szCs w:val="21"/>
              </w:rPr>
              <w:t>1.资产保存完整；</w:t>
            </w:r>
          </w:p>
          <w:p w14:paraId="54F30A05">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7C04E6F8">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65AA113F">
            <w:pPr>
              <w:widowControl/>
              <w:spacing w:line="240" w:lineRule="exact"/>
              <w:jc w:val="left"/>
              <w:rPr>
                <w:szCs w:val="21"/>
              </w:rPr>
            </w:pPr>
            <w:r>
              <w:rPr>
                <w:rFonts w:ascii="仿宋_GB2312" w:hAnsi="新宋体" w:eastAsia="仿宋_GB2312" w:cs="仿宋_GB2312"/>
                <w:kern w:val="0"/>
                <w:szCs w:val="21"/>
              </w:rPr>
              <w:t>符合全部三项（3）；</w:t>
            </w:r>
          </w:p>
          <w:p w14:paraId="14DEDB03">
            <w:pPr>
              <w:widowControl/>
              <w:spacing w:line="240" w:lineRule="exact"/>
              <w:jc w:val="left"/>
              <w:rPr>
                <w:szCs w:val="21"/>
              </w:rPr>
            </w:pPr>
            <w:r>
              <w:rPr>
                <w:rFonts w:ascii="仿宋_GB2312" w:hAnsi="新宋体" w:eastAsia="仿宋_GB2312" w:cs="仿宋_GB2312"/>
                <w:kern w:val="0"/>
                <w:szCs w:val="21"/>
              </w:rPr>
              <w:t>符合其中两项（2）；</w:t>
            </w:r>
          </w:p>
          <w:p w14:paraId="57435F45">
            <w:pPr>
              <w:widowControl/>
              <w:spacing w:line="240" w:lineRule="exact"/>
              <w:jc w:val="left"/>
              <w:rPr>
                <w:szCs w:val="21"/>
              </w:rPr>
            </w:pPr>
            <w:r>
              <w:rPr>
                <w:rFonts w:ascii="仿宋_GB2312" w:hAnsi="新宋体" w:eastAsia="仿宋_GB2312" w:cs="仿宋_GB2312"/>
                <w:kern w:val="0"/>
                <w:szCs w:val="21"/>
              </w:rPr>
              <w:t>符合其中一项（1）；</w:t>
            </w:r>
          </w:p>
          <w:p w14:paraId="3D964F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3F58576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2F262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2F092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C70C39E">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4EB80A4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D6D1A9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C3C31D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97A6517">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410197E1">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7304517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1086F9A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880890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6B81AC1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7D9BFB67">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3FB7BD5">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575A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B2107CC">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4C7EEB6">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4D463C05">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4DBA8B6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4854E4A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56F64FC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A163C4D">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p>
          <w:p w14:paraId="096CD052">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1.每项任务是否已制定了明确、具体、可量化、可衡量的绩效指标；           </w:t>
            </w:r>
          </w:p>
          <w:p w14:paraId="732E3BB7">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2.每项任务绩效指标的完成情况，是全部完成、基本完成、未完成，还是未实施；</w:t>
            </w:r>
          </w:p>
          <w:p w14:paraId="4385BBF4">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3.每项任务实施效果情况，是优秀、良好、一般，还是无效果；</w:t>
            </w:r>
          </w:p>
          <w:p w14:paraId="00DC0D4F">
            <w:pPr>
              <w:widowControl/>
              <w:spacing w:line="240" w:lineRule="exact"/>
              <w:jc w:val="left"/>
              <w:textAlignment w:val="center"/>
              <w:rPr>
                <w:szCs w:val="21"/>
              </w:rPr>
            </w:pP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5895ECB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06D0B663">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29479D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F1554C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3D5E1DA">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608E7A8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02946D92">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44D9E28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1170EB2">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1C0099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63F97D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9C71F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6FAAB38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050F29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0A2D8288">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2D803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81511E6">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38BB4BD3">
            <w:pPr>
              <w:widowControl/>
              <w:spacing w:line="240" w:lineRule="exact"/>
              <w:jc w:val="left"/>
              <w:rPr>
                <w:rFonts w:ascii="仿宋_GB2312" w:hAnsi="新宋体" w:eastAsia="仿宋_GB2312" w:cs="仿宋_GB2312"/>
                <w:kern w:val="0"/>
                <w:szCs w:val="21"/>
              </w:rPr>
            </w:pPr>
          </w:p>
          <w:p w14:paraId="476F714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15E62B2">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1164A74">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1C8BB053">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15DA257">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38627608">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6CDB9226">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1.通过部门所属企事业单位改革，促进了企事业单位效益增长情况；          </w:t>
            </w:r>
          </w:p>
          <w:p w14:paraId="73F830F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2.通过预算支出项目的实施，促进了行业生产能力增长，从而带动行业经济效益增长；</w:t>
            </w:r>
          </w:p>
          <w:p w14:paraId="0B393229">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3.通过预算支出项目的实施，有效提高劳动效率，节约成本费用；</w:t>
            </w:r>
          </w:p>
          <w:p w14:paraId="748FBEC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4.通过预算支出项目的实施，降低了损耗，从而提高了生产效益；</w:t>
            </w:r>
          </w:p>
          <w:p w14:paraId="06B98298">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67F83F2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A090632">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7768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0E0FF87">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53CD93A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853F684">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3157C8B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2B4E48A">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798AB490">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7555B695">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1.通过部门所属企事业单位的改革，促进了企事业单位可持续发展，带动就业增长情况；          </w:t>
            </w:r>
          </w:p>
          <w:p w14:paraId="4ECF43A1">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2.通过预算支出项目的实施，是否明显促进了行业精神文明建设；</w:t>
            </w:r>
          </w:p>
          <w:p w14:paraId="7E970E6D">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3.通过部门履职是否明显提高城乡居民生活水平，满足了人们日益增长的物质与文化生活需求；</w:t>
            </w:r>
          </w:p>
          <w:p w14:paraId="4A455477">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4.通过预算项目的实施，是否提高了劳动生产率，降低了劳动强度，促进了劳动人民的身心健康；</w:t>
            </w:r>
          </w:p>
          <w:p w14:paraId="5A7BDF35">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28CFCB39">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385138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EA2F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462F576">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3175A299">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DFBBDED">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033B9666">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46F721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52B059C1">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45143315">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p>
          <w:p w14:paraId="6B4DFEED">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2.通过履职有效地控制虚假、伪劣、霉变等劣质产品进入市场，影响了人民生活质量，净化地市场环境；</w:t>
            </w:r>
          </w:p>
          <w:p w14:paraId="66D4E01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3.通过预算支出项目的实施，是否达到减少污染物排放；</w:t>
            </w:r>
          </w:p>
          <w:p w14:paraId="5575DD4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405541E5">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90F1C65">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7DAD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BB828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7B5A5BB">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4DEF54E">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09730F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CA71078">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7EB3338E">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A448FA5">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5FAFE554">
      <w:pPr>
        <w:rPr>
          <w:rFonts w:ascii="黑体" w:hAnsi="黑体" w:eastAsia="黑体" w:cs="黑体"/>
          <w:b/>
          <w:bCs/>
          <w:sz w:val="30"/>
          <w:szCs w:val="30"/>
        </w:rPr>
      </w:pPr>
    </w:p>
    <w:p w14:paraId="333D1E8C">
      <w:pPr>
        <w:rPr>
          <w:rFonts w:ascii="黑体" w:hAnsi="黑体" w:eastAsia="黑体" w:cs="黑体"/>
          <w:b/>
          <w:bCs/>
          <w:sz w:val="30"/>
          <w:szCs w:val="30"/>
        </w:rPr>
      </w:pPr>
    </w:p>
    <w:p w14:paraId="77EEE815">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社会保险事业管理局</w:t>
      </w:r>
    </w:p>
    <w:p w14:paraId="17AA6ACD">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4716AD17">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4D76C156">
      <w:pPr>
        <w:adjustRightInd w:val="0"/>
        <w:ind w:firstLine="640" w:firstLineChars="200"/>
        <w:rPr>
          <w:rFonts w:hint="eastAsia" w:ascii="仿宋" w:hAnsi="仿宋" w:eastAsia="仿宋" w:cs="仿宋_GB2312"/>
          <w:b/>
          <w:bCs/>
          <w:sz w:val="32"/>
          <w:szCs w:val="32"/>
        </w:rPr>
      </w:pPr>
      <w:r>
        <w:rPr>
          <w:rFonts w:hint="eastAsia" w:ascii="仿宋" w:hAnsi="仿宋" w:eastAsia="仿宋" w:cs="仿宋"/>
          <w:sz w:val="32"/>
          <w:szCs w:val="32"/>
        </w:rPr>
        <w:t>(一)部门主要职责职能和部门组织架构</w:t>
      </w:r>
    </w:p>
    <w:p w14:paraId="090DA064">
      <w:pPr>
        <w:keepNext w:val="0"/>
        <w:keepLines w:val="0"/>
        <w:pageBreakBefore w:val="0"/>
        <w:widowControl/>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（1）主要职能：按照有关法律、法规和政策规定，负责全县机关事业单位、企业、城乡居民养老保险和工伤、失业等保险的信息管理和经办工作，指导并组织实施全县社会保险社会化管理工作。</w:t>
      </w:r>
    </w:p>
    <w:p w14:paraId="75B328C3">
      <w:pPr>
        <w:keepNext w:val="0"/>
        <w:keepLines w:val="0"/>
        <w:pageBreakBefore w:val="0"/>
        <w:widowControl/>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sz w:val="32"/>
          <w:szCs w:val="32"/>
          <w:lang w:val="en-US" w:eastAsia="zh-CN"/>
        </w:rPr>
        <w:t>（2）部门组织架构</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隆尧县社会保险事业管理局，属一级预算单位。</w:t>
      </w:r>
    </w:p>
    <w:p w14:paraId="15986720">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14F900E1">
      <w:pPr>
        <w:numPr>
          <w:ilvl w:val="0"/>
          <w:numId w:val="0"/>
        </w:numPr>
        <w:adjustRightInd w:val="0"/>
        <w:ind w:left="48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三定方案编制数15人，单位现有人数15人，同上年持平。</w:t>
      </w:r>
    </w:p>
    <w:p w14:paraId="06E3A961">
      <w:pPr>
        <w:numPr>
          <w:ilvl w:val="0"/>
          <w:numId w:val="0"/>
        </w:numPr>
        <w:adjustRightInd w:val="0"/>
        <w:ind w:left="480" w:leftChars="0"/>
        <w:rPr>
          <w:rFonts w:hint="default" w:ascii="仿宋" w:hAnsi="仿宋" w:eastAsia="仿宋" w:cs="仿宋"/>
          <w:sz w:val="32"/>
          <w:szCs w:val="32"/>
          <w:highlight w:val="none"/>
          <w:lang w:val="en-US"/>
        </w:rPr>
      </w:pPr>
      <w:r>
        <w:rPr>
          <w:rFonts w:hint="eastAsia" w:ascii="仿宋" w:hAnsi="仿宋" w:eastAsia="仿宋" w:cs="仿宋"/>
          <w:sz w:val="32"/>
          <w:szCs w:val="32"/>
          <w:highlight w:val="none"/>
          <w:lang w:val="en-US" w:eastAsia="zh-CN"/>
        </w:rPr>
        <w:t>年末资产原值99.22万元。</w:t>
      </w:r>
    </w:p>
    <w:p w14:paraId="31F298D6">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028B1F18">
      <w:pPr>
        <w:numPr>
          <w:ilvl w:val="0"/>
          <w:numId w:val="0"/>
        </w:numPr>
        <w:adjustRightInd w:val="0"/>
        <w:ind w:left="48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按照法律法规及政策规定，继续扩大各项社会保险的覆盖面，并及时足额落实各项社会保险待遇。确保各项待遇足额发放，确保参保人员权益。   </w:t>
      </w:r>
    </w:p>
    <w:p w14:paraId="40D07AD6">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6229D480">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结合本单位实际情况，按月发放各项社会保险待遇，支付正常运转及业务费用；开展职工活动；完成上级下达的任务，做好社保局自身的改革和建设，充分发挥社会保险</w:t>
      </w:r>
      <w:bookmarkStart w:id="0" w:name="_GoBack"/>
      <w:bookmarkEnd w:id="0"/>
      <w:r>
        <w:rPr>
          <w:rFonts w:hint="eastAsia" w:ascii="仿宋" w:hAnsi="仿宋" w:eastAsia="仿宋" w:cs="仿宋"/>
          <w:sz w:val="32"/>
          <w:szCs w:val="32"/>
          <w:lang w:val="en-US" w:eastAsia="zh-CN"/>
        </w:rPr>
        <w:t>的职能，保障单位的正常运转。</w:t>
      </w:r>
    </w:p>
    <w:p w14:paraId="3078A331">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14:paraId="317D6279">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本单位2021年年初预算安排收入16517.44万元，调整预算收入17080.88万元，支出18005.63万元。</w:t>
      </w:r>
    </w:p>
    <w:p w14:paraId="2EED61E9">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highlight w:val="none"/>
          <w:lang w:val="en-US" w:eastAsia="zh-CN"/>
        </w:rPr>
        <w:t>（1）基本支出</w:t>
      </w:r>
      <w:r>
        <w:rPr>
          <w:rFonts w:hint="eastAsia" w:ascii="仿宋" w:hAnsi="仿宋" w:eastAsia="仿宋" w:cs="仿宋"/>
          <w:sz w:val="32"/>
          <w:szCs w:val="32"/>
          <w:lang w:val="en-US" w:eastAsia="zh-CN"/>
        </w:rPr>
        <w:t>148.97万元。</w:t>
      </w:r>
    </w:p>
    <w:p w14:paraId="6EDACC32">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lang w:val="en-US" w:eastAsia="zh-CN"/>
        </w:rPr>
        <w:t>（2）项目支出17856.66万</w:t>
      </w:r>
      <w:r>
        <w:rPr>
          <w:rFonts w:hint="eastAsia" w:ascii="仿宋" w:hAnsi="仿宋" w:eastAsia="仿宋" w:cs="仿宋"/>
          <w:sz w:val="32"/>
          <w:szCs w:val="32"/>
          <w:highlight w:val="none"/>
          <w:lang w:val="en-US" w:eastAsia="zh-CN"/>
        </w:rPr>
        <w:t>元。</w:t>
      </w:r>
    </w:p>
    <w:p w14:paraId="7ECD72ED">
      <w:pPr>
        <w:pStyle w:val="17"/>
        <w:numPr>
          <w:ilvl w:val="0"/>
          <w:numId w:val="0"/>
        </w:numPr>
        <w:ind w:left="630" w:leftChars="0"/>
        <w:rPr>
          <w:rFonts w:hint="eastAsia" w:ascii="仿宋" w:hAnsi="仿宋" w:eastAsia="仿宋" w:cs="仿宋"/>
          <w:sz w:val="32"/>
          <w:szCs w:val="32"/>
          <w:highlight w:val="none"/>
          <w:lang w:val="en-US" w:eastAsia="zh-CN"/>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3C905408">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70CA884B">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市残联</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年部门整体支出绩效自评的结果分析如下：</w:t>
      </w:r>
    </w:p>
    <w:p w14:paraId="6237BFA2">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14:paraId="0F9D1E80">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eastAsia="zh-CN"/>
        </w:rPr>
        <w:t>部长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14:paraId="3FFF57A2">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14:paraId="6BF61C23">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（二）工作履行活动完成情况。</w:t>
      </w:r>
    </w:p>
    <w:p w14:paraId="290732F4">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本部门绩效评价工作活动由人社局局长白庆霞同志任组长，刘敬伟、陈朴为成员，</w:t>
      </w:r>
      <w:r>
        <w:rPr>
          <w:rFonts w:hint="eastAsia" w:ascii="仿宋" w:hAnsi="仿宋" w:eastAsia="仿宋" w:cs="Times New Roman"/>
          <w:color w:val="000000"/>
          <w:sz w:val="32"/>
          <w:szCs w:val="32"/>
          <w:highlight w:val="none"/>
          <w:lang w:val="en-US" w:eastAsia="zh-CN"/>
        </w:rPr>
        <w:t>项目绩效目标均已完成。</w:t>
      </w:r>
    </w:p>
    <w:p w14:paraId="511DF958">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3AFBB6DC">
      <w:pPr>
        <w:snapToGrid/>
        <w:spacing w:line="240" w:lineRule="auto"/>
        <w:ind w:firstLine="640" w:firstLineChars="200"/>
        <w:rPr>
          <w:rFonts w:hint="eastAsia" w:ascii="仿宋" w:hAnsi="仿宋" w:eastAsia="仿宋" w:cs="仿宋"/>
          <w:sz w:val="32"/>
          <w:szCs w:val="32"/>
        </w:rPr>
      </w:pP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w:t>
      </w:r>
      <w:r>
        <w:rPr>
          <w:rFonts w:hint="eastAsia" w:ascii="仿宋" w:hAnsi="仿宋" w:eastAsia="仿宋" w:cs="仿宋"/>
          <w:sz w:val="32"/>
          <w:szCs w:val="32"/>
          <w:lang w:eastAsia="zh-CN"/>
        </w:rPr>
        <w:t>县级项目活动</w:t>
      </w:r>
      <w:r>
        <w:rPr>
          <w:rFonts w:hint="eastAsia" w:ascii="仿宋" w:hAnsi="仿宋" w:eastAsia="仿宋" w:cs="仿宋"/>
          <w:sz w:val="32"/>
          <w:szCs w:val="32"/>
        </w:rPr>
        <w:t>已全部完成，完成率</w:t>
      </w:r>
      <w:r>
        <w:rPr>
          <w:rFonts w:ascii="仿宋" w:hAnsi="仿宋" w:eastAsia="仿宋" w:cs="仿宋"/>
          <w:sz w:val="32"/>
          <w:szCs w:val="32"/>
        </w:rPr>
        <w:t>100%</w:t>
      </w:r>
      <w:r>
        <w:rPr>
          <w:rFonts w:hint="eastAsia" w:ascii="仿宋" w:hAnsi="仿宋" w:eastAsia="仿宋" w:cs="仿宋"/>
          <w:sz w:val="32"/>
          <w:szCs w:val="32"/>
        </w:rPr>
        <w:t>，</w:t>
      </w:r>
      <w:r>
        <w:rPr>
          <w:rFonts w:hint="eastAsia" w:ascii="仿宋" w:hAnsi="仿宋" w:eastAsia="仿宋" w:cs="仿宋"/>
          <w:sz w:val="32"/>
          <w:szCs w:val="32"/>
          <w:lang w:eastAsia="zh-CN"/>
        </w:rPr>
        <w:t>社会保险</w:t>
      </w:r>
      <w:r>
        <w:rPr>
          <w:rFonts w:hint="eastAsia" w:ascii="仿宋" w:hAnsi="仿宋" w:eastAsia="仿宋" w:cs="仿宋"/>
          <w:sz w:val="32"/>
          <w:szCs w:val="32"/>
        </w:rPr>
        <w:t>各项项目</w:t>
      </w:r>
      <w:r>
        <w:rPr>
          <w:rFonts w:hint="eastAsia" w:ascii="仿宋" w:hAnsi="仿宋" w:eastAsia="仿宋" w:cs="宋体"/>
          <w:kern w:val="0"/>
          <w:sz w:val="32"/>
          <w:szCs w:val="32"/>
          <w:shd w:val="clear" w:color="auto" w:fill="FFFFFF"/>
        </w:rPr>
        <w:t>资金全部用于</w:t>
      </w:r>
      <w:r>
        <w:rPr>
          <w:rFonts w:hint="eastAsia" w:ascii="仿宋" w:hAnsi="仿宋" w:eastAsia="仿宋" w:cs="宋体"/>
          <w:kern w:val="0"/>
          <w:sz w:val="32"/>
          <w:szCs w:val="32"/>
          <w:shd w:val="clear" w:color="auto" w:fill="FFFFFF"/>
          <w:lang w:eastAsia="zh-CN"/>
        </w:rPr>
        <w:t>社会保险事业</w:t>
      </w:r>
      <w:r>
        <w:rPr>
          <w:rFonts w:hint="eastAsia" w:ascii="仿宋" w:hAnsi="仿宋" w:eastAsia="仿宋" w:cs="仿宋"/>
          <w:sz w:val="32"/>
          <w:szCs w:val="32"/>
        </w:rPr>
        <w:t>，资金使用合理规规，得到群众认可</w:t>
      </w:r>
      <w:r>
        <w:rPr>
          <w:rFonts w:hint="eastAsia" w:ascii="仿宋" w:hAnsi="仿宋" w:eastAsia="仿宋" w:cs="宋体"/>
          <w:kern w:val="0"/>
          <w:sz w:val="32"/>
          <w:szCs w:val="32"/>
          <w:shd w:val="clear" w:color="auto" w:fill="FFFFFF"/>
        </w:rPr>
        <w:t>并取得了很好的社会反响</w:t>
      </w:r>
      <w:r>
        <w:rPr>
          <w:rFonts w:hint="eastAsia" w:ascii="仿宋" w:hAnsi="仿宋" w:eastAsia="仿宋" w:cs="仿宋"/>
          <w:sz w:val="32"/>
          <w:szCs w:val="32"/>
        </w:rPr>
        <w:t>。</w:t>
      </w:r>
    </w:p>
    <w:p w14:paraId="1F325DD9">
      <w:pPr>
        <w:pStyle w:val="17"/>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14:paraId="41EE42F7">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14:paraId="1EEE2066">
      <w:pPr>
        <w:numPr>
          <w:ilvl w:val="0"/>
          <w:numId w:val="0"/>
        </w:numPr>
        <w:adjustRightInd w:val="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目标1：全面足额发放城乡居民养老金；目标2：全面足额发放机关事业养老金。目标3：为贫困、重残参保人员代缴保费。切实保障民生，更好地保障广大各项待遇领取人员的基本生活。</w:t>
      </w:r>
    </w:p>
    <w:p w14:paraId="4D04D71D">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tbl>
      <w:tblPr>
        <w:tblStyle w:val="8"/>
        <w:tblW w:w="9990" w:type="dxa"/>
        <w:tblInd w:w="0" w:type="dxa"/>
        <w:shd w:val="clear" w:color="auto" w:fill="auto"/>
        <w:tblLayout w:type="autofit"/>
        <w:tblCellMar>
          <w:top w:w="0" w:type="dxa"/>
          <w:left w:w="0" w:type="dxa"/>
          <w:bottom w:w="0" w:type="dxa"/>
          <w:right w:w="0" w:type="dxa"/>
        </w:tblCellMar>
      </w:tblPr>
      <w:tblGrid>
        <w:gridCol w:w="630"/>
        <w:gridCol w:w="1770"/>
        <w:gridCol w:w="1140"/>
        <w:gridCol w:w="4215"/>
        <w:gridCol w:w="2235"/>
      </w:tblGrid>
      <w:tr w14:paraId="3576C795">
        <w:tblPrEx>
          <w:shd w:val="clear" w:color="auto" w:fill="auto"/>
          <w:tblCellMar>
            <w:top w:w="0" w:type="dxa"/>
            <w:left w:w="0" w:type="dxa"/>
            <w:bottom w:w="0" w:type="dxa"/>
            <w:right w:w="0" w:type="dxa"/>
          </w:tblCellMar>
        </w:tblPrEx>
        <w:trPr>
          <w:trHeight w:val="510"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97736">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绩</w:t>
            </w:r>
          </w:p>
          <w:p w14:paraId="208CAAE4">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效</w:t>
            </w:r>
          </w:p>
          <w:p w14:paraId="772D2C68">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指</w:t>
            </w:r>
          </w:p>
          <w:p w14:paraId="0941EFD0">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标</w:t>
            </w: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A413A">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一级</w:t>
            </w:r>
          </w:p>
          <w:p w14:paraId="75031971">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DF081">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DE6B3">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347F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指标值</w:t>
            </w:r>
          </w:p>
        </w:tc>
      </w:tr>
      <w:tr w14:paraId="35CB3B19">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36D8A">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56538">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产</w:t>
            </w:r>
          </w:p>
          <w:p w14:paraId="7AB5C529">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出</w:t>
            </w:r>
          </w:p>
          <w:p w14:paraId="46FEF4C1">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指</w:t>
            </w:r>
          </w:p>
          <w:p w14:paraId="75999689">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2E8F9">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8C51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发放城乡居民养老金人数</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ECB3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≥80000人</w:t>
            </w:r>
          </w:p>
        </w:tc>
      </w:tr>
      <w:tr w14:paraId="723E1A3D">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F1C16">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7BAC5">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E6119">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D17A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发放机关事业养老金人数</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069F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≥4000人</w:t>
            </w:r>
          </w:p>
        </w:tc>
      </w:tr>
      <w:tr w14:paraId="7E29568C">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86285">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D3C0B">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6E49D">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01DD1">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为贫困、重残参保人员代缴保费</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95B5F">
            <w:pPr>
              <w:keepNext w:val="0"/>
              <w:keepLines w:val="0"/>
              <w:widowControl/>
              <w:suppressLineNumbers w:val="0"/>
              <w:ind w:firstLine="800" w:firstLineChars="40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≥80万</w:t>
            </w:r>
          </w:p>
        </w:tc>
      </w:tr>
      <w:tr w14:paraId="3878F1A6">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3D38F5">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AF634">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6452C">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8D239">
            <w:pPr>
              <w:keepNext w:val="0"/>
              <w:keepLines w:val="0"/>
              <w:widowControl/>
              <w:suppressLineNumbers w:val="0"/>
              <w:jc w:val="left"/>
              <w:textAlignment w:val="center"/>
              <w:rPr>
                <w:rFonts w:hint="eastAsia" w:ascii="宋体" w:hAnsi="宋体" w:eastAsia="宋体" w:cs="宋体"/>
                <w:i w:val="0"/>
                <w:color w:val="000000"/>
                <w:sz w:val="20"/>
                <w:szCs w:val="20"/>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EC4F7">
            <w:pPr>
              <w:keepNext w:val="0"/>
              <w:keepLines w:val="0"/>
              <w:widowControl/>
              <w:suppressLineNumbers w:val="0"/>
              <w:jc w:val="both"/>
              <w:textAlignment w:val="center"/>
              <w:rPr>
                <w:rFonts w:hint="eastAsia" w:ascii="宋体" w:hAnsi="宋体" w:eastAsia="宋体" w:cs="宋体"/>
                <w:i w:val="0"/>
                <w:color w:val="000000"/>
                <w:sz w:val="20"/>
                <w:szCs w:val="20"/>
                <w:u w:val="none"/>
              </w:rPr>
            </w:pPr>
          </w:p>
        </w:tc>
      </w:tr>
      <w:tr w14:paraId="7B08BB96">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79EDC">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3AE9AB">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B011B">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DF2FA">
            <w:pPr>
              <w:keepNext w:val="0"/>
              <w:keepLines w:val="0"/>
              <w:widowControl/>
              <w:suppressLineNumbers w:val="0"/>
              <w:jc w:val="left"/>
              <w:textAlignment w:val="center"/>
              <w:rPr>
                <w:rFonts w:hint="eastAsia" w:ascii="宋体" w:hAnsi="宋体" w:eastAsia="宋体" w:cs="宋体"/>
                <w:i w:val="0"/>
                <w:color w:val="000000"/>
                <w:sz w:val="20"/>
                <w:szCs w:val="20"/>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F41A7">
            <w:pPr>
              <w:keepNext w:val="0"/>
              <w:keepLines w:val="0"/>
              <w:widowControl/>
              <w:suppressLineNumbers w:val="0"/>
              <w:jc w:val="both"/>
              <w:textAlignment w:val="center"/>
              <w:rPr>
                <w:rFonts w:hint="eastAsia" w:ascii="宋体" w:hAnsi="宋体" w:eastAsia="宋体" w:cs="宋体"/>
                <w:i w:val="0"/>
                <w:color w:val="000000"/>
                <w:sz w:val="20"/>
                <w:szCs w:val="20"/>
                <w:u w:val="none"/>
              </w:rPr>
            </w:pPr>
          </w:p>
        </w:tc>
      </w:tr>
      <w:tr w14:paraId="614A50CD">
        <w:tblPrEx>
          <w:tblCellMar>
            <w:top w:w="0" w:type="dxa"/>
            <w:left w:w="0" w:type="dxa"/>
            <w:bottom w:w="0" w:type="dxa"/>
            <w:right w:w="0" w:type="dxa"/>
          </w:tblCellMar>
        </w:tblPrEx>
        <w:trPr>
          <w:trHeight w:val="48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1079E">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3ADFC">
            <w:pPr>
              <w:jc w:val="center"/>
              <w:rPr>
                <w:rFonts w:hint="eastAsia" w:ascii="宋体" w:hAnsi="宋体" w:eastAsia="宋体" w:cs="宋体"/>
                <w:i w:val="0"/>
                <w:color w:val="000000"/>
                <w:sz w:val="20"/>
                <w:szCs w:val="20"/>
                <w:u w:val="none"/>
              </w:rPr>
            </w:pPr>
          </w:p>
        </w:tc>
        <w:tc>
          <w:tcPr>
            <w:tcW w:w="11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883E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FAF6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养老金发放和调待遇标准准确</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7D5AE">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p>
        </w:tc>
      </w:tr>
      <w:tr w14:paraId="322DD919">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F31A1">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239C4">
            <w:pPr>
              <w:jc w:val="center"/>
              <w:rPr>
                <w:rFonts w:hint="eastAsia" w:ascii="宋体" w:hAnsi="宋体" w:eastAsia="宋体" w:cs="宋体"/>
                <w:i w:val="0"/>
                <w:color w:val="000000"/>
                <w:sz w:val="20"/>
                <w:szCs w:val="20"/>
                <w:u w:val="none"/>
              </w:rPr>
            </w:pPr>
          </w:p>
        </w:tc>
        <w:tc>
          <w:tcPr>
            <w:tcW w:w="11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6492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5A69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城乡居民基础养老金补贴</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56B9F">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113元/人/月</w:t>
            </w:r>
          </w:p>
        </w:tc>
      </w:tr>
      <w:tr w14:paraId="6CB9C989">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2D5D3">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FF630">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2915F">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6900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项目完成及时率</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AB6AD">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r>
      <w:tr w14:paraId="3FCD609C">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9FAD3">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805D0">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效果指标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01340">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社会效益</w:t>
            </w:r>
          </w:p>
          <w:p w14:paraId="06F7D8E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5C5D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保障民生，维护社会稳定</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8D3E9">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p>
        </w:tc>
      </w:tr>
      <w:tr w14:paraId="22EEBB26">
        <w:tblPrEx>
          <w:tblCellMar>
            <w:top w:w="0" w:type="dxa"/>
            <w:left w:w="0" w:type="dxa"/>
            <w:bottom w:w="0" w:type="dxa"/>
            <w:right w:w="0" w:type="dxa"/>
          </w:tblCellMar>
        </w:tblPrEx>
        <w:trPr>
          <w:trHeight w:val="54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817A3">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A2015">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8321E">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7DF6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更好地保障广大参保城乡居民的晚年基本生活</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8DC7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74FC85B5">
        <w:tblPrEx>
          <w:tblCellMar>
            <w:top w:w="0" w:type="dxa"/>
            <w:left w:w="0" w:type="dxa"/>
            <w:bottom w:w="0" w:type="dxa"/>
            <w:right w:w="0" w:type="dxa"/>
          </w:tblCellMar>
        </w:tblPrEx>
        <w:trPr>
          <w:trHeight w:val="9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FF865">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89507">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66232">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9B58A">
            <w:pPr>
              <w:keepNext w:val="0"/>
              <w:keepLines w:val="0"/>
              <w:widowControl/>
              <w:suppressLineNumbers w:val="0"/>
              <w:jc w:val="left"/>
              <w:textAlignment w:val="center"/>
              <w:rPr>
                <w:rFonts w:hint="eastAsia" w:ascii="宋体" w:hAnsi="宋体" w:eastAsia="宋体" w:cs="宋体"/>
                <w:i w:val="0"/>
                <w:color w:val="000000"/>
                <w:sz w:val="20"/>
                <w:szCs w:val="20"/>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18746">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14:paraId="1266DAF4">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C08B3">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8CDAD">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91AA6">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B6BCF">
            <w:pPr>
              <w:keepNext w:val="0"/>
              <w:keepLines w:val="0"/>
              <w:widowControl/>
              <w:suppressLineNumbers w:val="0"/>
              <w:jc w:val="left"/>
              <w:textAlignment w:val="center"/>
              <w:rPr>
                <w:rFonts w:hint="eastAsia" w:ascii="宋体" w:hAnsi="宋体" w:eastAsia="宋体" w:cs="宋体"/>
                <w:i w:val="0"/>
                <w:color w:val="000000"/>
                <w:sz w:val="20"/>
                <w:szCs w:val="20"/>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E6D72">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14:paraId="16939CCD">
        <w:tblPrEx>
          <w:tblCellMar>
            <w:top w:w="0" w:type="dxa"/>
            <w:left w:w="0" w:type="dxa"/>
            <w:bottom w:w="0" w:type="dxa"/>
            <w:right w:w="0" w:type="dxa"/>
          </w:tblCellMar>
        </w:tblPrEx>
        <w:trPr>
          <w:trHeight w:val="46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3BC18">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11603">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C1D4CD">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服务对象</w:t>
            </w:r>
          </w:p>
          <w:p w14:paraId="655FC86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40F7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接受机关事业养老待遇领取人员满意度的满意度</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B85D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r>
      <w:tr w14:paraId="7CC5225D">
        <w:tblPrEx>
          <w:tblCellMar>
            <w:top w:w="0" w:type="dxa"/>
            <w:left w:w="0" w:type="dxa"/>
            <w:bottom w:w="0" w:type="dxa"/>
            <w:right w:w="0" w:type="dxa"/>
          </w:tblCellMar>
        </w:tblPrEx>
        <w:trPr>
          <w:trHeight w:val="499"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40913D">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256A1">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97BD5">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A65B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接受居民养老待遇领取人员满意度</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A4A2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r>
      <w:tr w14:paraId="622D55D7">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DD734">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C4773">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4D4F2">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CEDA1">
            <w:pPr>
              <w:keepNext w:val="0"/>
              <w:keepLines w:val="0"/>
              <w:widowControl/>
              <w:suppressLineNumbers w:val="0"/>
              <w:jc w:val="left"/>
              <w:textAlignment w:val="center"/>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接受其他服务群众的满意度</w:t>
            </w: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CBC38">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r>
      <w:tr w14:paraId="36C363F7">
        <w:tblPrEx>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97BD9">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3F60E">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CFAD3">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CC3A8">
            <w:pPr>
              <w:keepNext w:val="0"/>
              <w:keepLines w:val="0"/>
              <w:widowControl/>
              <w:suppressLineNumbers w:val="0"/>
              <w:jc w:val="left"/>
              <w:textAlignment w:val="center"/>
              <w:rPr>
                <w:rFonts w:hint="eastAsia" w:ascii="宋体" w:hAnsi="宋体" w:eastAsia="宋体" w:cs="宋体"/>
                <w:i w:val="0"/>
                <w:color w:val="000000"/>
                <w:sz w:val="20"/>
                <w:szCs w:val="20"/>
                <w:u w:val="none"/>
              </w:rPr>
            </w:pPr>
          </w:p>
        </w:tc>
        <w:tc>
          <w:tcPr>
            <w:tcW w:w="22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74687">
            <w:pPr>
              <w:keepNext w:val="0"/>
              <w:keepLines w:val="0"/>
              <w:widowControl/>
              <w:suppressLineNumbers w:val="0"/>
              <w:jc w:val="both"/>
              <w:textAlignment w:val="center"/>
              <w:rPr>
                <w:rFonts w:hint="eastAsia" w:ascii="宋体" w:hAnsi="宋体" w:eastAsia="宋体" w:cs="宋体"/>
                <w:i w:val="0"/>
                <w:color w:val="000000"/>
                <w:sz w:val="20"/>
                <w:szCs w:val="20"/>
                <w:u w:val="none"/>
              </w:rPr>
            </w:pPr>
          </w:p>
        </w:tc>
      </w:tr>
    </w:tbl>
    <w:p w14:paraId="24BD89A9">
      <w:pPr>
        <w:numPr>
          <w:ilvl w:val="0"/>
          <w:numId w:val="0"/>
        </w:numPr>
        <w:adjustRightInd w:val="0"/>
        <w:ind w:leftChars="150"/>
        <w:rPr>
          <w:rFonts w:hint="eastAsia" w:ascii="仿宋" w:hAnsi="仿宋" w:eastAsia="仿宋" w:cs="仿宋"/>
          <w:sz w:val="32"/>
          <w:szCs w:val="32"/>
        </w:rPr>
      </w:pPr>
    </w:p>
    <w:p w14:paraId="6E8774EE">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14:paraId="4B53080C">
      <w:pPr>
        <w:numPr>
          <w:ilvl w:val="0"/>
          <w:numId w:val="0"/>
        </w:numPr>
        <w:adjustRightInd w:val="0"/>
        <w:ind w:leftChars="150" w:firstLine="320" w:firstLineChars="100"/>
        <w:rPr>
          <w:rFonts w:hint="eastAsia" w:ascii="仿宋" w:hAnsi="仿宋" w:eastAsia="仿宋" w:cs="仿宋"/>
          <w:sz w:val="32"/>
          <w:szCs w:val="32"/>
          <w:lang w:eastAsia="zh-CN"/>
        </w:rPr>
      </w:pPr>
      <w:r>
        <w:rPr>
          <w:rFonts w:hint="eastAsia" w:ascii="仿宋" w:hAnsi="仿宋" w:eastAsia="仿宋" w:cs="仿宋"/>
          <w:sz w:val="32"/>
          <w:szCs w:val="32"/>
          <w:lang w:eastAsia="zh-CN"/>
        </w:rPr>
        <w:t>评价标准依据行业标准和中国残疾人联合会及河北省残疾人联合会下发文件。</w:t>
      </w:r>
    </w:p>
    <w:p w14:paraId="540077D8">
      <w:pPr>
        <w:pStyle w:val="17"/>
        <w:numPr>
          <w:ilvl w:val="0"/>
          <w:numId w:val="0"/>
        </w:numPr>
        <w:ind w:leftChars="200" w:firstLine="320" w:firstLineChars="100"/>
        <w:rPr>
          <w:rFonts w:hint="eastAsia"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p>
    <w:p w14:paraId="7BE03700">
      <w:pPr>
        <w:pStyle w:val="17"/>
        <w:numPr>
          <w:ilvl w:val="0"/>
          <w:numId w:val="0"/>
        </w:numPr>
        <w:ind w:leftChars="200"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圆满完成社保局各项项目任务。</w:t>
      </w:r>
    </w:p>
    <w:p w14:paraId="7065F0B8">
      <w:pPr>
        <w:pStyle w:val="17"/>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44A0DFD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预算编制有待更严格执行。预算编制与实际支出项目有的仍存在细微差异。</w:t>
      </w:r>
    </w:p>
    <w:p w14:paraId="5322AE7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固定资产管理有待加强。部分固定资产折损。未及时进行清理。</w:t>
      </w:r>
    </w:p>
    <w:p w14:paraId="091088AE">
      <w:pPr>
        <w:pStyle w:val="17"/>
        <w:numPr>
          <w:ilvl w:val="0"/>
          <w:numId w:val="0"/>
        </w:numPr>
        <w:ind w:left="709" w:leftChars="0"/>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14:paraId="4340AFE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480" w:firstLineChars="200"/>
        <w:jc w:val="left"/>
        <w:textAlignment w:val="auto"/>
        <w:rPr>
          <w:rFonts w:hint="eastAsia" w:ascii="仿宋" w:hAnsi="仿宋" w:eastAsia="仿宋" w:cs="仿宋"/>
          <w:sz w:val="32"/>
          <w:szCs w:val="32"/>
        </w:rPr>
      </w:pPr>
      <w:r>
        <w:rPr>
          <w:rFonts w:hint="eastAsia"/>
          <w:lang w:eastAsia="zh-CN"/>
        </w:rPr>
        <w:tab/>
      </w: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14:paraId="6F82AAD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p>
    <w:p w14:paraId="45493A4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制度适用本局的固定资产管理制度，从资产采购、使用以及报废各环节规范固定资产的管理，提高固定资产使用效率，减少资金浪费。</w:t>
      </w:r>
    </w:p>
    <w:p w14:paraId="1014ADF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p>
    <w:p w14:paraId="5A3E4FC0">
      <w:pPr>
        <w:tabs>
          <w:tab w:val="left" w:pos="1371"/>
        </w:tabs>
        <w:bidi w:val="0"/>
        <w:jc w:val="left"/>
        <w:rPr>
          <w:rFonts w:hint="eastAsia" w:eastAsiaTheme="minorEastAsia"/>
          <w:sz w:val="32"/>
          <w:szCs w:val="32"/>
          <w:lang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B23636">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250D36EA">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CA942">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61921835">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AAE27E"/>
    <w:multiLevelType w:val="singleLevel"/>
    <w:tmpl w:val="A9AAE27E"/>
    <w:lvl w:ilvl="0" w:tentative="0">
      <w:start w:val="2"/>
      <w:numFmt w:val="chineseCounting"/>
      <w:suff w:val="nothing"/>
      <w:lvlText w:val="（%1）"/>
      <w:lvlJc w:val="left"/>
      <w:pPr>
        <w:ind w:left="480" w:leftChars="0" w:firstLine="0" w:firstLineChars="0"/>
      </w:pPr>
      <w:rPr>
        <w:rFonts w:hint="eastAsia"/>
      </w:rPr>
    </w:lvl>
  </w:abstractNum>
  <w:abstractNum w:abstractNumId="1">
    <w:nsid w:val="B11941B4"/>
    <w:multiLevelType w:val="singleLevel"/>
    <w:tmpl w:val="B11941B4"/>
    <w:lvl w:ilvl="0" w:tentative="0">
      <w:start w:val="1"/>
      <w:numFmt w:val="chineseCounting"/>
      <w:suff w:val="nothing"/>
      <w:lvlText w:val="（%1）"/>
      <w:lvlJc w:val="left"/>
      <w:rPr>
        <w:rFonts w:hint="eastAsia"/>
      </w:rPr>
    </w:lvl>
  </w:abstractNum>
  <w:abstractNum w:abstractNumId="2">
    <w:nsid w:val="2A6ED68B"/>
    <w:multiLevelType w:val="singleLevel"/>
    <w:tmpl w:val="2A6ED68B"/>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wMDFmZjg1NjdmMGY3OWY5YThjOTc1NGIyOGYxMTM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566D"/>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3941E62"/>
    <w:rsid w:val="04223B99"/>
    <w:rsid w:val="05374814"/>
    <w:rsid w:val="06C673A5"/>
    <w:rsid w:val="07CC1ED0"/>
    <w:rsid w:val="08AE4ECB"/>
    <w:rsid w:val="0B69391D"/>
    <w:rsid w:val="0C8F0285"/>
    <w:rsid w:val="0C93150A"/>
    <w:rsid w:val="0DE36DCE"/>
    <w:rsid w:val="0EB105A5"/>
    <w:rsid w:val="0EE303C9"/>
    <w:rsid w:val="0F8F6BFC"/>
    <w:rsid w:val="107166F3"/>
    <w:rsid w:val="10D84485"/>
    <w:rsid w:val="11B63119"/>
    <w:rsid w:val="11FF551A"/>
    <w:rsid w:val="13EB3FA7"/>
    <w:rsid w:val="152C1851"/>
    <w:rsid w:val="159260CB"/>
    <w:rsid w:val="17613B45"/>
    <w:rsid w:val="18493992"/>
    <w:rsid w:val="1974201F"/>
    <w:rsid w:val="1B1E1106"/>
    <w:rsid w:val="1C841DE7"/>
    <w:rsid w:val="1EC10726"/>
    <w:rsid w:val="1F1F369F"/>
    <w:rsid w:val="1F7F25FA"/>
    <w:rsid w:val="207714B1"/>
    <w:rsid w:val="20996958"/>
    <w:rsid w:val="213F1DD6"/>
    <w:rsid w:val="22FA4207"/>
    <w:rsid w:val="234D2500"/>
    <w:rsid w:val="23A14683"/>
    <w:rsid w:val="24503A3D"/>
    <w:rsid w:val="25911F9F"/>
    <w:rsid w:val="277249DA"/>
    <w:rsid w:val="28674000"/>
    <w:rsid w:val="29247407"/>
    <w:rsid w:val="2A0A6177"/>
    <w:rsid w:val="2B572BC5"/>
    <w:rsid w:val="2C6E021C"/>
    <w:rsid w:val="2C986033"/>
    <w:rsid w:val="2DE81100"/>
    <w:rsid w:val="2F8A06C1"/>
    <w:rsid w:val="301461DC"/>
    <w:rsid w:val="30DF358F"/>
    <w:rsid w:val="3199522E"/>
    <w:rsid w:val="326B72B5"/>
    <w:rsid w:val="3522249B"/>
    <w:rsid w:val="35223149"/>
    <w:rsid w:val="378F6E97"/>
    <w:rsid w:val="3791647A"/>
    <w:rsid w:val="37FC2378"/>
    <w:rsid w:val="39765215"/>
    <w:rsid w:val="397C3722"/>
    <w:rsid w:val="3C3C7866"/>
    <w:rsid w:val="3CF1608B"/>
    <w:rsid w:val="3D3954D4"/>
    <w:rsid w:val="3EB26ED5"/>
    <w:rsid w:val="40C45DD4"/>
    <w:rsid w:val="40E65973"/>
    <w:rsid w:val="413861FB"/>
    <w:rsid w:val="424C7A58"/>
    <w:rsid w:val="43D552FD"/>
    <w:rsid w:val="449C4CC6"/>
    <w:rsid w:val="455969D8"/>
    <w:rsid w:val="46A454BF"/>
    <w:rsid w:val="46B6431F"/>
    <w:rsid w:val="46E26581"/>
    <w:rsid w:val="48166B3E"/>
    <w:rsid w:val="48725571"/>
    <w:rsid w:val="4884619D"/>
    <w:rsid w:val="48B26B43"/>
    <w:rsid w:val="48DB6098"/>
    <w:rsid w:val="49391C4F"/>
    <w:rsid w:val="4A5E356C"/>
    <w:rsid w:val="4A965D14"/>
    <w:rsid w:val="4A992497"/>
    <w:rsid w:val="4AC449AD"/>
    <w:rsid w:val="4BDB04ED"/>
    <w:rsid w:val="4C7717F8"/>
    <w:rsid w:val="4CBB7CB4"/>
    <w:rsid w:val="4ECD2494"/>
    <w:rsid w:val="50F70BD7"/>
    <w:rsid w:val="51AC738B"/>
    <w:rsid w:val="526A3656"/>
    <w:rsid w:val="53CD5365"/>
    <w:rsid w:val="57C245EC"/>
    <w:rsid w:val="590B7573"/>
    <w:rsid w:val="5AAB580B"/>
    <w:rsid w:val="5D643D56"/>
    <w:rsid w:val="5F9165FD"/>
    <w:rsid w:val="5FCD1220"/>
    <w:rsid w:val="61216471"/>
    <w:rsid w:val="623A0125"/>
    <w:rsid w:val="63190CCD"/>
    <w:rsid w:val="64283056"/>
    <w:rsid w:val="69BD0A47"/>
    <w:rsid w:val="6A8219B9"/>
    <w:rsid w:val="6E627320"/>
    <w:rsid w:val="6F8571B6"/>
    <w:rsid w:val="71A911C9"/>
    <w:rsid w:val="73802E74"/>
    <w:rsid w:val="73DF02AE"/>
    <w:rsid w:val="74C90910"/>
    <w:rsid w:val="7750356B"/>
    <w:rsid w:val="77667B39"/>
    <w:rsid w:val="7793669D"/>
    <w:rsid w:val="77E954A8"/>
    <w:rsid w:val="78B47A39"/>
    <w:rsid w:val="795E5322"/>
    <w:rsid w:val="79BD3B5D"/>
    <w:rsid w:val="79F71A7C"/>
    <w:rsid w:val="7AD93A26"/>
    <w:rsid w:val="7C9F63FA"/>
    <w:rsid w:val="7CCC213E"/>
    <w:rsid w:val="7D293A10"/>
    <w:rsid w:val="7D6E02A7"/>
    <w:rsid w:val="7DCB55B3"/>
    <w:rsid w:val="7FAC50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6453</Words>
  <Characters>6859</Characters>
  <Lines>40</Lines>
  <Paragraphs>11</Paragraphs>
  <TotalTime>8</TotalTime>
  <ScaleCrop>false</ScaleCrop>
  <LinksUpToDate>false</LinksUpToDate>
  <CharactersWithSpaces>6922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DELL</cp:lastModifiedBy>
  <cp:lastPrinted>2018-11-29T03:23:00Z</cp:lastPrinted>
  <dcterms:modified xsi:type="dcterms:W3CDTF">2025-04-09T07:45:36Z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AFDE09A67EEC43C4BBCC8369DBA68C5A_13</vt:lpwstr>
  </property>
</Properties>
</file>