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D2195E">
      <w:pPr>
        <w:widowControl/>
        <w:spacing w:line="400" w:lineRule="exact"/>
        <w:jc w:val="left"/>
        <w:rPr>
          <w:rFonts w:ascii="仿宋" w:hAnsi="仿宋" w:eastAsia="仿宋" w:cs="仿宋"/>
          <w:kern w:val="0"/>
          <w:sz w:val="32"/>
          <w:szCs w:val="32"/>
          <w:shd w:val="clear" w:color="auto" w:fill="FFFFFF"/>
          <w:lang w:bidi="ar"/>
        </w:rPr>
      </w:pPr>
      <w:bookmarkStart w:id="0" w:name="_GoBack"/>
      <w:bookmarkEnd w:id="0"/>
    </w:p>
    <w:p w14:paraId="37FE7AA3">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10"/>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21FA7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63BEB97">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6DDC776">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46B9A9EA">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28522ADE">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187D7BAB">
            <w:pPr>
              <w:widowControl/>
              <w:spacing w:line="240" w:lineRule="exact"/>
              <w:jc w:val="left"/>
              <w:rPr>
                <w:b/>
              </w:rPr>
            </w:pPr>
            <w:r>
              <w:rPr>
                <w:rFonts w:ascii="仿宋_GB2312" w:hAnsi="新宋体" w:eastAsia="仿宋_GB2312" w:cs="仿宋_GB2312"/>
                <w:b/>
                <w:kern w:val="0"/>
                <w:sz w:val="24"/>
                <w:szCs w:val="24"/>
                <w:lang w:bidi="ar"/>
              </w:rPr>
              <w:t>得分</w:t>
            </w:r>
          </w:p>
        </w:tc>
      </w:tr>
      <w:tr w14:paraId="312DFA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D3C1F96">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B2E10E5">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9750B0C">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513F9F0C">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2489FAFB">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7727975B">
            <w:pPr>
              <w:rPr>
                <w:rFonts w:ascii="宋体"/>
                <w:szCs w:val="21"/>
              </w:rPr>
            </w:pPr>
          </w:p>
        </w:tc>
      </w:tr>
      <w:tr w14:paraId="7C9A6F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DF1AA1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1BE85D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14:paraId="54389BE2">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3E25730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25025AC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4395E28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14:paraId="2FC665C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37ED8AB">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6E0B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5B8E87F">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715EFDE">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3291B69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6763D96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14:paraId="021F78C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75C8F29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14:paraId="22AEDFA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02DBD27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2BDE894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3272372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05FE1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193E3F8">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B029593">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7D17B8F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49445C9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14:paraId="2333152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218287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14:paraId="395077A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198E36F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6DC8A99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0F74CF6E">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48108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9F38A8E">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0D927AC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14:paraId="203BDE6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14:paraId="04660B2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14:paraId="2BB7849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14:paraId="42619ED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14:paraId="2919D12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352A525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14:paraId="31DFFCB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14:paraId="1D1C099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14:paraId="1295FDF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D75B2AE">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3D0C5D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6F055BCD">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2EB77729">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2126CA34">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变动率（2分）</w:t>
            </w:r>
          </w:p>
        </w:tc>
        <w:tc>
          <w:tcPr>
            <w:tcW w:w="3436" w:type="dxa"/>
            <w:tcBorders>
              <w:top w:val="single" w:color="auto" w:sz="4" w:space="0"/>
              <w:left w:val="single" w:color="auto" w:sz="4" w:space="0"/>
              <w:right w:val="single" w:color="auto" w:sz="4" w:space="0"/>
            </w:tcBorders>
            <w:vAlign w:val="center"/>
          </w:tcPr>
          <w:p w14:paraId="2D8524E3">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预算数与上年度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变动率=[（本年度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总额）/上年度</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259AA97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小于或等于-5%的，得满分；</w:t>
            </w:r>
          </w:p>
          <w:p w14:paraId="01B3F21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大于或等于10%的，得0分；</w:t>
            </w:r>
          </w:p>
          <w:p w14:paraId="01F21B6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14:paraId="033FA889">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eastAsia="zh-CN" w:bidi="ar"/>
              </w:rPr>
              <w:t>“三公”经费</w:t>
            </w:r>
            <w:r>
              <w:rPr>
                <w:rFonts w:hint="eastAsia" w:ascii="仿宋_GB2312" w:hAnsi="仿宋_GB2312" w:eastAsia="仿宋_GB2312" w:cs="仿宋_GB2312"/>
                <w:color w:val="000000"/>
                <w:kern w:val="0"/>
                <w:szCs w:val="21"/>
                <w:lang w:bidi="ar"/>
              </w:rPr>
              <w:t>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5E5F6BB8">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1EE82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693B6142">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3511A304">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7C01C28A">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14:paraId="300CE4DD">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7A2A977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14:paraId="55C0503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14:paraId="372F671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14:paraId="1557999D">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E265738">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C04E9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917D6E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81004D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1C7B5FF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605E404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14:paraId="782D4E0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C9DEE7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14:paraId="26E9052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14:paraId="28A2501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14:paraId="64BECED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5696066D">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6CCE2A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660FBC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38D9E64">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0B0286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6DC0D28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14:paraId="03A3DAA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64AB867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14:paraId="2AB5A09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14:paraId="22AEEBD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14:paraId="495E818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C1BEE7B">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137234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CD3D7DB">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3FBD2D0">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7807EB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316F39E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14:paraId="0DDD250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356304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14:paraId="238439E8">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4255C4BF">
            <w:pPr>
              <w:widowControl/>
              <w:spacing w:line="240" w:lineRule="exact"/>
              <w:jc w:val="left"/>
              <w:rPr>
                <w:rFonts w:hint="default" w:eastAsiaTheme="minorEastAsia"/>
                <w:szCs w:val="21"/>
                <w:lang w:val="en-US" w:eastAsia="zh-CN"/>
              </w:rPr>
            </w:pPr>
            <w:r>
              <w:rPr>
                <w:rFonts w:hint="eastAsia"/>
                <w:szCs w:val="21"/>
                <w:lang w:val="en-US" w:eastAsia="zh-CN"/>
              </w:rPr>
              <w:t>3</w:t>
            </w:r>
          </w:p>
        </w:tc>
      </w:tr>
      <w:tr w14:paraId="1F01F4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BEF3A04">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3CF68F9">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88036E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40F8603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14:paraId="62C3F1D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44E230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14:paraId="30E6770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14:paraId="314C87A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14:paraId="2FFDE2C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3959829">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12D7E1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9D793E5">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A7DB34C">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2C9B4D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49E7756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14:paraId="717CB8D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218A817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14:paraId="561141A9">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14:paraId="417DC6F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14:paraId="2D13F92B">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58C1B1DF">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3F4C4E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6EECDC7">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6243757">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8E654F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2FB392F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14:paraId="035AB8B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14:paraId="66E34463">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69668B2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14:paraId="42C42CC6">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14:paraId="33AD0CE2">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14:paraId="3B92CE2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CDF118B">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C6975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15CA52D">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0C1CBD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14:paraId="680C665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23C450D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50E1873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14:paraId="783B74B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1B23D20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14:paraId="3CC48BF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14:paraId="7C7E1EE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14:paraId="09BDDD1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14:paraId="5F2B5C5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14:paraId="0F31C13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14:paraId="305FA08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14:paraId="6DC8C90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3D985B1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14:paraId="0ED574D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14:paraId="6BC5C56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14:paraId="2802B97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14:paraId="7E11C41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07C06C27">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627819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0DDB706">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2E0D16F">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32D2AF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451D080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14:paraId="1EE9FDE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14:paraId="44C92E0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087B8629">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14:paraId="6106167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14:paraId="7007384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29E8277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14:paraId="6DBD2163">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4C74C07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28E155C1">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079BF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925017E">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FE9EBE0">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0FF520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2C88DD5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14:paraId="1E54B97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75D736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14:paraId="17C5AC2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14:paraId="732E705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14:paraId="2A02CDE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600D26D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14:paraId="28DD34D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14:paraId="2A7390A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14:paraId="57572EB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7784F17B">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4CFED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A6AC976">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2CB8A57">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5BD6B0C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6C67132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14:paraId="5AC0B92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33C34D44">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14:paraId="35D66B5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w:t>
            </w:r>
            <w:r>
              <w:rPr>
                <w:rFonts w:hint="eastAsia" w:ascii="仿宋_GB2312" w:hAnsi="仿宋_GB2312" w:eastAsia="仿宋_GB2312" w:cs="仿宋_GB2312"/>
                <w:kern w:val="0"/>
                <w:szCs w:val="21"/>
                <w:lang w:val="en-US" w:eastAsia="zh-CN" w:bidi="ar"/>
              </w:rPr>
              <w:t>账</w:t>
            </w:r>
            <w:r>
              <w:rPr>
                <w:rFonts w:hint="eastAsia" w:ascii="仿宋_GB2312" w:hAnsi="仿宋_GB2312" w:eastAsia="仿宋_GB2312" w:cs="仿宋_GB2312"/>
                <w:kern w:val="0"/>
                <w:szCs w:val="21"/>
                <w:lang w:bidi="ar"/>
              </w:rPr>
              <w:t>实相符；</w:t>
            </w:r>
          </w:p>
          <w:p w14:paraId="6E95274D">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606A1A58">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14:paraId="53ECDE0E">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28EA051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14:paraId="0900BB9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69AC2E1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5EC07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6A643D2">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EE2C1D1">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4E983CB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273B026C">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14:paraId="55020E02">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026195BE">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14:paraId="04A79EB5">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14:paraId="4945A6C1">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14:paraId="083ECE24">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9BE101F">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5E93DD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1153A90">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E000F2A">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0D41D6C6">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0E897A47">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766E2BD3">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11272E1B">
            <w:pPr>
              <w:widowControl/>
              <w:spacing w:line="240" w:lineRule="exact"/>
              <w:jc w:val="left"/>
              <w:rPr>
                <w:rFonts w:hint="eastAsia" w:eastAsiaTheme="minorEastAsia"/>
                <w:szCs w:val="21"/>
                <w:lang w:val="en-US" w:eastAsia="zh-CN"/>
              </w:rPr>
            </w:pPr>
            <w:r>
              <w:rPr>
                <w:rFonts w:hint="eastAsia"/>
                <w:szCs w:val="21"/>
                <w:lang w:val="en-US" w:eastAsia="zh-CN"/>
              </w:rPr>
              <w:t>9</w:t>
            </w:r>
          </w:p>
        </w:tc>
      </w:tr>
      <w:tr w14:paraId="7B01C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0BE57FA">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B20C584">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621ED2A1">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14:paraId="4B53B25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14:paraId="29E8B48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14:paraId="6962B5FF">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3DF2267C">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14:paraId="015DFC4D">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14:paraId="623847FA">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14:paraId="5A121FE7">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67E27EBE">
            <w:pPr>
              <w:widowControl/>
              <w:spacing w:line="240" w:lineRule="exact"/>
              <w:jc w:val="left"/>
              <w:rPr>
                <w:rFonts w:hint="default" w:eastAsiaTheme="minorEastAsia"/>
                <w:szCs w:val="21"/>
                <w:lang w:val="en-US" w:eastAsia="zh-CN"/>
              </w:rPr>
            </w:pPr>
            <w:r>
              <w:rPr>
                <w:rFonts w:hint="eastAsia"/>
                <w:szCs w:val="21"/>
                <w:lang w:val="en-US" w:eastAsia="zh-CN"/>
              </w:rPr>
              <w:t>12</w:t>
            </w:r>
          </w:p>
        </w:tc>
      </w:tr>
      <w:tr w14:paraId="0481A2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E568365">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14:paraId="59350D08">
            <w:pPr>
              <w:widowControl/>
              <w:spacing w:line="240" w:lineRule="exact"/>
              <w:jc w:val="left"/>
              <w:rPr>
                <w:rFonts w:hint="eastAsia" w:ascii="仿宋_GB2312" w:hAnsi="仿宋_GB2312" w:eastAsia="仿宋_GB2312" w:cs="仿宋_GB2312"/>
                <w:kern w:val="0"/>
                <w:szCs w:val="21"/>
                <w:lang w:bidi="ar"/>
              </w:rPr>
            </w:pPr>
          </w:p>
          <w:p w14:paraId="038C19D3">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14:paraId="19C92029">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6E21977B">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47F53915">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14:paraId="3BA405D1">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10168CA3">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0886A08">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A3CA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387B509B">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5D5951A0">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42B0FC03">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727C1DB9">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14:paraId="1A44AD6A">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230A62B9">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25FCC132">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601FA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60319636">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6F66852C">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5B990F8A">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7FA91FC0">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14:paraId="29F27167">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0EF00723">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9165995">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F613E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652CD16">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16B4863B">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12E37FF">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00A75DC0">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3124445F">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6F0BE9A0">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7E0F2C46">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2DF0F746">
      <w:pPr>
        <w:spacing w:line="240" w:lineRule="exact"/>
        <w:rPr>
          <w:rFonts w:ascii="仿宋" w:hAnsi="仿宋" w:eastAsia="仿宋" w:cs="仿宋"/>
          <w:sz w:val="32"/>
          <w:szCs w:val="32"/>
        </w:rPr>
      </w:pPr>
    </w:p>
    <w:p w14:paraId="3EA0FBCA">
      <w:pPr>
        <w:pStyle w:val="2"/>
        <w:ind w:left="0" w:leftChars="0" w:firstLine="600" w:firstLineChars="200"/>
      </w:pPr>
      <w:r>
        <w:rPr>
          <w:rFonts w:hint="eastAsia" w:ascii="仿宋" w:hAnsi="仿宋" w:eastAsia="仿宋"/>
          <w:color w:val="000000"/>
          <w:sz w:val="30"/>
          <w:szCs w:val="24"/>
        </w:rPr>
        <w:t>本次绩效评价，我们根据实际情况，暂定项目绩效总分100分，确定了评分扣减项目，</w:t>
      </w:r>
      <w:r>
        <w:rPr>
          <w:rFonts w:hint="eastAsia" w:ascii="仿宋" w:hAnsi="仿宋" w:eastAsia="仿宋"/>
          <w:color w:val="000000"/>
          <w:sz w:val="30"/>
          <w:szCs w:val="24"/>
          <w:lang w:eastAsia="zh-CN"/>
        </w:rPr>
        <w:t>部门预算项</w:t>
      </w:r>
      <w:r>
        <w:rPr>
          <w:rFonts w:hint="eastAsia" w:ascii="仿宋" w:hAnsi="仿宋" w:eastAsia="仿宋"/>
          <w:color w:val="auto"/>
          <w:sz w:val="30"/>
          <w:szCs w:val="24"/>
          <w:lang w:eastAsia="zh-CN"/>
        </w:rPr>
        <w:t>目</w:t>
      </w:r>
      <w:r>
        <w:rPr>
          <w:rFonts w:hint="eastAsia" w:ascii="仿宋" w:hAnsi="仿宋" w:eastAsia="仿宋"/>
          <w:bCs/>
          <w:color w:val="auto"/>
          <w:sz w:val="30"/>
          <w:szCs w:val="24"/>
        </w:rPr>
        <w:t>综合得分</w:t>
      </w:r>
      <w:r>
        <w:rPr>
          <w:rFonts w:hint="eastAsia" w:ascii="仿宋" w:hAnsi="仿宋" w:eastAsia="仿宋"/>
          <w:bCs/>
          <w:color w:val="auto"/>
          <w:sz w:val="30"/>
          <w:szCs w:val="24"/>
          <w:lang w:val="en-US" w:eastAsia="zh-CN"/>
        </w:rPr>
        <w:t>95</w:t>
      </w:r>
      <w:r>
        <w:rPr>
          <w:rFonts w:hint="eastAsia" w:ascii="仿宋" w:hAnsi="仿宋" w:eastAsia="仿宋"/>
          <w:bCs/>
          <w:color w:val="auto"/>
          <w:sz w:val="30"/>
          <w:szCs w:val="24"/>
        </w:rPr>
        <w:t>分，评价结论为良。</w:t>
      </w:r>
    </w:p>
    <w:p w14:paraId="6675407C">
      <w:pPr>
        <w:spacing w:line="240" w:lineRule="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部门整体支出绩效评价报告主要内容包括：</w:t>
      </w:r>
    </w:p>
    <w:p w14:paraId="7154D81D">
      <w:pPr>
        <w:keepNext w:val="0"/>
        <w:keepLines w:val="0"/>
        <w:pageBreakBefore w:val="0"/>
        <w:widowControl/>
        <w:kinsoku/>
        <w:wordWrap/>
        <w:overflowPunct/>
        <w:topLinePunct w:val="0"/>
        <w:autoSpaceDE/>
        <w:autoSpaceDN/>
        <w:bidi w:val="0"/>
        <w:adjustRightInd/>
        <w:snapToGrid w:val="0"/>
        <w:spacing w:line="360" w:lineRule="auto"/>
        <w:ind w:left="0" w:leftChars="0" w:right="0" w:rightChars="0" w:firstLine="600" w:firstLineChars="200"/>
        <w:jc w:val="both"/>
        <w:textAlignment w:val="auto"/>
        <w:outlineLvl w:val="9"/>
        <w:rPr>
          <w:rFonts w:hint="eastAsia" w:ascii="仿宋" w:hAnsi="仿宋" w:eastAsia="仿宋" w:cs="仿宋"/>
          <w:sz w:val="30"/>
          <w:szCs w:val="30"/>
        </w:rPr>
      </w:pPr>
      <w:r>
        <w:rPr>
          <w:rFonts w:hint="eastAsia" w:ascii="仿宋" w:hAnsi="仿宋" w:eastAsia="仿宋" w:cs="仿宋"/>
          <w:sz w:val="30"/>
          <w:szCs w:val="30"/>
          <w:lang w:val="en-US" w:eastAsia="zh-CN"/>
        </w:rPr>
        <w:t>（一）基本概况。</w:t>
      </w:r>
      <w:r>
        <w:rPr>
          <w:rFonts w:hint="eastAsia" w:ascii="仿宋" w:hAnsi="仿宋" w:eastAsia="仿宋" w:cs="仿宋"/>
          <w:color w:val="000000"/>
          <w:kern w:val="2"/>
          <w:sz w:val="30"/>
          <w:szCs w:val="30"/>
          <w:lang w:val="en-US" w:eastAsia="zh-CN" w:bidi="ar-SA"/>
        </w:rPr>
        <w:t>隆尧县社会保险事业管理局机构规格副科级，主要职能：</w:t>
      </w:r>
      <w:r>
        <w:rPr>
          <w:rFonts w:hint="eastAsia" w:ascii="仿宋" w:hAnsi="仿宋" w:eastAsia="仿宋" w:cs="仿宋"/>
          <w:sz w:val="30"/>
          <w:szCs w:val="30"/>
        </w:rPr>
        <w:t>按照有关法律、法规和政策规定，负责全县机关事业单位、企业、城乡居民养老保险和医疗、工伤、失业、生育等保险的信息管理和经办工作，指导并组织实施全县社会保险社会化管理工作。</w:t>
      </w:r>
    </w:p>
    <w:p w14:paraId="18ECDA59">
      <w:pPr>
        <w:shd w:val="clear" w:color="auto" w:fill="FFFFFF"/>
        <w:bidi w:val="0"/>
        <w:spacing w:before="240" w:after="240"/>
        <w:ind w:firstLine="600" w:firstLineChars="200"/>
        <w:jc w:val="both"/>
        <w:rPr>
          <w:rStyle w:val="11"/>
          <w:rFonts w:hint="eastAsia" w:ascii="仿宋" w:hAnsi="仿宋" w:eastAsia="仿宋" w:cs="仿宋"/>
          <w:sz w:val="30"/>
          <w:szCs w:val="30"/>
          <w:rtl w:val="0"/>
          <w:lang w:eastAsia="zh-CN"/>
        </w:rPr>
      </w:pPr>
      <w:r>
        <w:rPr>
          <w:rFonts w:hint="eastAsia" w:ascii="仿宋" w:hAnsi="仿宋" w:eastAsia="仿宋"/>
          <w:color w:val="000000"/>
          <w:sz w:val="30"/>
          <w:szCs w:val="24"/>
          <w:lang w:val="en-US" w:eastAsia="zh-CN"/>
        </w:rPr>
        <w:t>（二）预算绩效管理开展及整体绩效实现情况。</w:t>
      </w:r>
      <w:r>
        <w:rPr>
          <w:rStyle w:val="11"/>
          <w:rFonts w:hint="eastAsia" w:ascii="仿宋_GB2312" w:hAnsi="仿宋_GB2312" w:eastAsia="仿宋_GB2312" w:cs="仿宋_GB2312"/>
          <w:sz w:val="33"/>
          <w:szCs w:val="33"/>
          <w:rtl w:val="0"/>
          <w:lang w:val="en-US" w:eastAsia="zh-CN"/>
        </w:rPr>
        <w:t xml:space="preserve"> </w:t>
      </w:r>
      <w:r>
        <w:rPr>
          <w:rStyle w:val="11"/>
          <w:rFonts w:hint="eastAsia" w:ascii="仿宋" w:hAnsi="仿宋" w:eastAsia="仿宋" w:cs="仿宋"/>
          <w:sz w:val="30"/>
          <w:szCs w:val="30"/>
          <w:rtl w:val="0"/>
          <w:lang w:val="en-US" w:eastAsia="zh-CN"/>
        </w:rPr>
        <w:t xml:space="preserve"> </w:t>
      </w:r>
      <w:r>
        <w:rPr>
          <w:rStyle w:val="11"/>
          <w:rFonts w:hint="eastAsia" w:ascii="仿宋" w:hAnsi="仿宋" w:eastAsia="仿宋" w:cs="仿宋"/>
          <w:sz w:val="30"/>
          <w:szCs w:val="30"/>
          <w:rtl w:val="0"/>
        </w:rPr>
        <w:t>2019 年度财政拨款支出14,891.50万元，主要用于以下方面：社会保障和就业（类）支出14,875.24万元，占99.89%；卫生健康（类）支出6.37万元，占0.04%；住房保障（类）支出9.89万元，占0.07%</w:t>
      </w:r>
      <w:r>
        <w:rPr>
          <w:rStyle w:val="11"/>
          <w:rFonts w:hint="eastAsia" w:ascii="仿宋" w:hAnsi="仿宋" w:eastAsia="仿宋" w:cs="仿宋"/>
          <w:sz w:val="30"/>
          <w:szCs w:val="30"/>
          <w:rtl w:val="0"/>
          <w:lang w:eastAsia="zh-CN"/>
        </w:rPr>
        <w:t>。</w:t>
      </w:r>
    </w:p>
    <w:p w14:paraId="1B572EE2">
      <w:pPr>
        <w:shd w:val="clear" w:color="auto" w:fill="FFFFFF"/>
        <w:bidi w:val="0"/>
        <w:spacing w:before="240" w:after="240"/>
        <w:ind w:firstLine="640" w:firstLineChars="200"/>
        <w:jc w:val="both"/>
        <w:rPr>
          <w:rFonts w:hint="eastAsia" w:ascii="仿宋" w:hAnsi="仿宋" w:eastAsia="仿宋"/>
          <w:color w:val="000000"/>
          <w:sz w:val="30"/>
          <w:szCs w:val="24"/>
        </w:rPr>
      </w:pPr>
      <w:r>
        <w:rPr>
          <w:rFonts w:hint="eastAsia" w:ascii="仿宋" w:hAnsi="仿宋" w:eastAsia="仿宋" w:cs="仿宋"/>
          <w:sz w:val="32"/>
          <w:szCs w:val="32"/>
          <w:lang w:val="en-US" w:eastAsia="zh-CN"/>
        </w:rPr>
        <w:t>（三）绩效评价的组织实施情况。</w:t>
      </w:r>
      <w:r>
        <w:rPr>
          <w:rFonts w:hint="eastAsia" w:ascii="仿宋" w:hAnsi="仿宋" w:eastAsia="仿宋"/>
          <w:color w:val="000000"/>
          <w:sz w:val="30"/>
          <w:szCs w:val="24"/>
        </w:rPr>
        <w:t>隆尧县</w:t>
      </w:r>
      <w:r>
        <w:rPr>
          <w:rFonts w:hint="eastAsia" w:ascii="仿宋" w:hAnsi="仿宋" w:eastAsia="仿宋"/>
          <w:color w:val="000000"/>
          <w:sz w:val="30"/>
          <w:szCs w:val="24"/>
          <w:lang w:val="en-US" w:eastAsia="zh-CN"/>
        </w:rPr>
        <w:t>人力资源和社会保障局</w:t>
      </w:r>
      <w:r>
        <w:rPr>
          <w:rFonts w:hint="eastAsia" w:ascii="仿宋" w:hAnsi="仿宋" w:eastAsia="仿宋"/>
          <w:color w:val="000000"/>
          <w:sz w:val="30"/>
          <w:szCs w:val="24"/>
        </w:rPr>
        <w:t>根据项目情况设置绩效目标评价标准：</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%以下为“差”）和违法占地清理工作的覆盖率(%)（评价标准：9：</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%以下为“差”）；设定</w:t>
      </w:r>
      <w:r>
        <w:rPr>
          <w:rFonts w:hint="eastAsia" w:ascii="仿宋" w:hAnsi="仿宋" w:eastAsia="仿宋"/>
          <w:color w:val="000000"/>
          <w:sz w:val="30"/>
          <w:szCs w:val="24"/>
          <w:lang w:val="en-US" w:eastAsia="zh-CN"/>
        </w:rPr>
        <w:t>1</w:t>
      </w:r>
      <w:r>
        <w:rPr>
          <w:rFonts w:hint="eastAsia" w:ascii="仿宋" w:hAnsi="仿宋" w:eastAsia="仿宋"/>
          <w:color w:val="000000"/>
          <w:sz w:val="30"/>
          <w:szCs w:val="24"/>
        </w:rPr>
        <w:t>个效果指标：土地是否得到保障(%)（评价标准：9：</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%以下为“差”）绩效目标指向不明确</w:t>
      </w:r>
      <w:r>
        <w:rPr>
          <w:rFonts w:hint="eastAsia" w:ascii="仿宋" w:hAnsi="仿宋" w:eastAsia="仿宋"/>
          <w:bCs/>
          <w:sz w:val="30"/>
          <w:szCs w:val="24"/>
        </w:rPr>
        <w:t>、</w:t>
      </w:r>
      <w:r>
        <w:rPr>
          <w:rFonts w:hint="eastAsia" w:ascii="仿宋" w:hAnsi="仿宋" w:eastAsia="仿宋"/>
          <w:color w:val="000000"/>
          <w:sz w:val="30"/>
          <w:szCs w:val="24"/>
        </w:rPr>
        <w:t>细化不充分，项目执行过程有效约束不够，绩效指标体系设计有待完善。</w:t>
      </w:r>
    </w:p>
    <w:p w14:paraId="1CC86673">
      <w:pPr>
        <w:numPr>
          <w:ilvl w:val="0"/>
          <w:numId w:val="0"/>
        </w:numPr>
        <w:spacing w:line="24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（四）各项绩效目标的实现程度及差异性原因分析。</w:t>
      </w:r>
    </w:p>
    <w:p w14:paraId="3BFD6A86">
      <w:pPr>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存在问题、采取的纠偏措施及改进绩效管理建议。</w:t>
      </w:r>
      <w:r>
        <w:rPr>
          <w:rFonts w:hint="eastAsia" w:ascii="仿宋" w:hAnsi="仿宋" w:eastAsia="仿宋"/>
          <w:color w:val="000000"/>
          <w:sz w:val="30"/>
          <w:szCs w:val="24"/>
        </w:rPr>
        <w:t>本次绩效评价工作实施中发现，</w:t>
      </w:r>
      <w:r>
        <w:rPr>
          <w:rFonts w:hint="eastAsia" w:ascii="仿宋" w:hAnsi="仿宋" w:eastAsia="仿宋"/>
          <w:color w:val="000000"/>
          <w:sz w:val="30"/>
          <w:szCs w:val="24"/>
          <w:lang w:eastAsia="zh-CN"/>
        </w:rPr>
        <w:t>部门各类</w:t>
      </w:r>
      <w:r>
        <w:rPr>
          <w:rFonts w:hint="eastAsia" w:ascii="仿宋" w:hAnsi="仿宋" w:eastAsia="仿宋"/>
          <w:color w:val="000000"/>
          <w:sz w:val="30"/>
          <w:szCs w:val="24"/>
        </w:rPr>
        <w:t>项目符合规定，</w:t>
      </w:r>
      <w:r>
        <w:rPr>
          <w:rFonts w:hint="eastAsia" w:ascii="仿宋" w:hAnsi="仿宋" w:eastAsia="仿宋"/>
          <w:color w:val="000000"/>
          <w:sz w:val="30"/>
          <w:szCs w:val="24"/>
          <w:lang w:eastAsia="zh-CN"/>
        </w:rPr>
        <w:t>各类</w:t>
      </w:r>
      <w:r>
        <w:rPr>
          <w:rFonts w:hint="eastAsia" w:ascii="仿宋" w:hAnsi="仿宋" w:eastAsia="仿宋"/>
          <w:color w:val="000000"/>
          <w:sz w:val="30"/>
          <w:szCs w:val="24"/>
        </w:rPr>
        <w:t>项目资金的支付，掌握真实准确的基础数据，编制了项目绩效评价报告，但存在绩效指标体系有待完善，绩效目标不明确、目标细化程度不足，项目预算执行率不高等现象。</w:t>
      </w:r>
    </w:p>
    <w:p w14:paraId="5CC45815">
      <w:pPr>
        <w:numPr>
          <w:ilvl w:val="0"/>
          <w:numId w:val="0"/>
        </w:numPr>
        <w:spacing w:line="240" w:lineRule="auto"/>
        <w:rPr>
          <w:rFonts w:hint="eastAsia" w:ascii="仿宋" w:hAnsi="仿宋" w:eastAsia="仿宋" w:cs="仿宋"/>
          <w:sz w:val="32"/>
          <w:szCs w:val="32"/>
          <w:lang w:val="en-US" w:eastAsia="zh-CN"/>
        </w:rPr>
      </w:pPr>
    </w:p>
    <w:p w14:paraId="69219630">
      <w:pPr>
        <w:numPr>
          <w:ilvl w:val="0"/>
          <w:numId w:val="0"/>
        </w:numPr>
        <w:spacing w:line="240" w:lineRule="auto"/>
        <w:rPr>
          <w:rFonts w:hint="eastAsia" w:ascii="仿宋" w:hAnsi="仿宋" w:eastAsia="仿宋" w:cs="仿宋"/>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97D1C9">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6</w:t>
    </w:r>
    <w:r>
      <w:rPr>
        <w:rStyle w:val="13"/>
        <w:rFonts w:ascii="宋体" w:hAnsi="宋体" w:eastAsia="宋体"/>
        <w:sz w:val="28"/>
        <w:szCs w:val="28"/>
      </w:rPr>
      <w:fldChar w:fldCharType="end"/>
    </w:r>
    <w:r>
      <w:rPr>
        <w:rStyle w:val="13"/>
        <w:rFonts w:hint="eastAsia" w:ascii="宋体" w:hAnsi="宋体" w:eastAsia="宋体"/>
        <w:sz w:val="28"/>
        <w:szCs w:val="28"/>
      </w:rPr>
      <w:t>-</w:t>
    </w:r>
  </w:p>
  <w:p w14:paraId="56F7DB71">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5FBCD">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14:paraId="2D929394">
    <w:pPr>
      <w:pStyle w:val="7"/>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wMDFmZjg1NjdmMGY3OWY5YThjOTc1NGIyOGYxMTM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2F302FF"/>
    <w:rsid w:val="05374814"/>
    <w:rsid w:val="076D4E71"/>
    <w:rsid w:val="07ED23E6"/>
    <w:rsid w:val="0F8F6BFC"/>
    <w:rsid w:val="222E3C91"/>
    <w:rsid w:val="27D9543C"/>
    <w:rsid w:val="3791647A"/>
    <w:rsid w:val="3F684104"/>
    <w:rsid w:val="455969D8"/>
    <w:rsid w:val="4DA10224"/>
    <w:rsid w:val="4E36691A"/>
    <w:rsid w:val="50CC3C6D"/>
    <w:rsid w:val="516225FB"/>
    <w:rsid w:val="526A3656"/>
    <w:rsid w:val="5D643D56"/>
    <w:rsid w:val="649211F4"/>
    <w:rsid w:val="69BD0A47"/>
    <w:rsid w:val="6D5F6CFB"/>
    <w:rsid w:val="6E1E010F"/>
    <w:rsid w:val="71A911C9"/>
    <w:rsid w:val="751A5A1E"/>
    <w:rsid w:val="77A86A4F"/>
    <w:rsid w:val="7CCC213E"/>
    <w:rsid w:val="7F5658F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qFormat/>
    <w:uiPriority w:val="0"/>
    <w:rPr>
      <w:rFonts w:ascii="宋体" w:hAnsi="Courier New" w:eastAsia="宋体" w:cs="Courier New"/>
      <w:szCs w:val="21"/>
    </w:rPr>
  </w:style>
  <w:style w:type="paragraph" w:styleId="7">
    <w:name w:val="footer"/>
    <w:basedOn w:val="1"/>
    <w:link w:val="15"/>
    <w:unhideWhenUsed/>
    <w:qFormat/>
    <w:uiPriority w:val="99"/>
    <w:pPr>
      <w:tabs>
        <w:tab w:val="center" w:pos="4153"/>
        <w:tab w:val="right" w:pos="8306"/>
      </w:tabs>
      <w:snapToGrid w:val="0"/>
      <w:jc w:val="left"/>
    </w:pPr>
    <w:rPr>
      <w:sz w:val="18"/>
      <w:szCs w:val="18"/>
    </w:rPr>
  </w:style>
  <w:style w:type="paragraph" w:styleId="8">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bCs/>
    </w:rPr>
  </w:style>
  <w:style w:type="character" w:styleId="13">
    <w:name w:val="page number"/>
    <w:basedOn w:val="11"/>
    <w:semiHidden/>
    <w:unhideWhenUsed/>
    <w:qFormat/>
    <w:uiPriority w:val="99"/>
  </w:style>
  <w:style w:type="character" w:customStyle="1" w:styleId="14">
    <w:name w:val="页眉 Char"/>
    <w:basedOn w:val="11"/>
    <w:link w:val="8"/>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5371</Words>
  <Characters>5783</Characters>
  <Lines>37</Lines>
  <Paragraphs>10</Paragraphs>
  <TotalTime>2</TotalTime>
  <ScaleCrop>false</ScaleCrop>
  <LinksUpToDate>false</LinksUpToDate>
  <CharactersWithSpaces>5820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DELL</cp:lastModifiedBy>
  <cp:lastPrinted>2018-11-29T03:23:00Z</cp:lastPrinted>
  <dcterms:modified xsi:type="dcterms:W3CDTF">2025-04-09T07:36:42Z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E31992D8060F40DC84783A505F483B1F_13</vt:lpwstr>
  </property>
</Properties>
</file>