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8FA13B">
      <w:pPr>
        <w:widowControl/>
        <w:spacing w:line="400" w:lineRule="exact"/>
        <w:jc w:val="left"/>
        <w:rPr>
          <w:rFonts w:ascii="仿宋" w:hAnsi="仿宋" w:eastAsia="仿宋" w:cs="仿宋"/>
          <w:kern w:val="0"/>
          <w:sz w:val="32"/>
          <w:szCs w:val="32"/>
          <w:shd w:val="clear" w:color="auto" w:fill="FFFFFF"/>
          <w:lang w:bidi="ar"/>
        </w:rPr>
      </w:pPr>
    </w:p>
    <w:p w14:paraId="2C39F7D4">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10"/>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673A80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51AE0BE">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7A1931D2">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47F32E77">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7E4BBC51">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1299B2FD">
            <w:pPr>
              <w:widowControl/>
              <w:spacing w:line="240" w:lineRule="exact"/>
              <w:jc w:val="left"/>
              <w:rPr>
                <w:b/>
              </w:rPr>
            </w:pPr>
            <w:r>
              <w:rPr>
                <w:rFonts w:ascii="仿宋_GB2312" w:hAnsi="新宋体" w:eastAsia="仿宋_GB2312" w:cs="仿宋_GB2312"/>
                <w:b/>
                <w:kern w:val="0"/>
                <w:sz w:val="24"/>
                <w:szCs w:val="24"/>
                <w:lang w:bidi="ar"/>
              </w:rPr>
              <w:t>得分</w:t>
            </w:r>
          </w:p>
        </w:tc>
      </w:tr>
      <w:tr w14:paraId="7FB152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3C950DA">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787FFE9">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B21ECDD">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2463E3C9">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2A13D113">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1C980DBD">
            <w:pPr>
              <w:rPr>
                <w:rFonts w:ascii="宋体"/>
                <w:szCs w:val="21"/>
              </w:rPr>
            </w:pPr>
          </w:p>
        </w:tc>
      </w:tr>
      <w:tr w14:paraId="7D5789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0B86FC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153106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14:paraId="0251A45A">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60A4EA4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57E2059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78E6FAD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14:paraId="1F3F4C8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117123A3">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305983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C10C28B">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7EE2A0B">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774DDD4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73095FB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14:paraId="1DF7786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68249B5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14:paraId="3BFB367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74C6A3B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4E855DA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4E4744BF">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E85E9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26E84B1">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D85D257">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300085C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223C2DC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14:paraId="2B196EF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37BB99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14:paraId="7F86327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03E6756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127EA58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1E5890C1">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0421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0774BB2">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1BA1ECF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14:paraId="7633BEF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14:paraId="7CFCA4F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14:paraId="6AD5FBC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14:paraId="41D8486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14:paraId="0192100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73C5658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14:paraId="5314DD9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14:paraId="57C87FF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14:paraId="6FE291A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2FF11AF8">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520AE8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46AA9309">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62EE9B7A">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3F0B2BA3">
            <w:pPr>
              <w:widowControl/>
              <w:spacing w:line="240" w:lineRule="exact"/>
              <w:jc w:val="left"/>
              <w:textAlignment w:val="center"/>
              <w:rPr>
                <w:rFonts w:hint="eastAsia" w:ascii="仿宋_GB2312" w:hAnsi="仿宋_GB2312" w:eastAsia="仿宋_GB2312" w:cs="仿宋_GB2312"/>
                <w:kern w:val="0"/>
                <w:szCs w:val="21"/>
                <w:lang w:bidi="ar"/>
              </w:rPr>
            </w:pPr>
            <w:bookmarkStart w:id="0" w:name="_GoBack"/>
            <w:bookmarkEnd w:id="0"/>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变动率（2分）</w:t>
            </w:r>
          </w:p>
        </w:tc>
        <w:tc>
          <w:tcPr>
            <w:tcW w:w="3436" w:type="dxa"/>
            <w:tcBorders>
              <w:top w:val="single" w:color="auto" w:sz="4" w:space="0"/>
              <w:left w:val="single" w:color="auto" w:sz="4" w:space="0"/>
              <w:right w:val="single" w:color="auto" w:sz="4" w:space="0"/>
            </w:tcBorders>
            <w:vAlign w:val="center"/>
          </w:tcPr>
          <w:p w14:paraId="5E6E3853">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预算数与上年度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15916F5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小于或等于-5%的，得满分；</w:t>
            </w:r>
          </w:p>
          <w:p w14:paraId="77AF6E0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大于或等于10%的，得0分；</w:t>
            </w:r>
          </w:p>
          <w:p w14:paraId="202194A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14:paraId="0C6401FD">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69B9F4EC">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7CE79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2B0125F0">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7432B151">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41D06AC0">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14:paraId="1305B64C">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429F334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14:paraId="72EB1AD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14:paraId="5FF78E4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14:paraId="368BD7C3">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683B9C73">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761FB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FD4235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F7DA12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5E17D73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1BF8C28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14:paraId="13F8F1F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2A25F10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14:paraId="2EFC01A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14:paraId="21DB23C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14:paraId="48155E4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4CD22EBF">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F48BD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AFBC09E">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90AD4FE">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B0E28B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3E597A7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14:paraId="3F6BCD3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4903841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14:paraId="72FA509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14:paraId="013C833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14:paraId="5F86B4F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C54E2FD">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60EED8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B22D165">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A77CA0C">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21EE83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1544AB9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14:paraId="67D2D59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7901249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14:paraId="34EE579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41D1EE48">
            <w:pPr>
              <w:widowControl/>
              <w:spacing w:line="240" w:lineRule="exact"/>
              <w:jc w:val="left"/>
              <w:rPr>
                <w:rFonts w:hint="default" w:eastAsiaTheme="minorEastAsia"/>
                <w:szCs w:val="21"/>
                <w:lang w:val="en-US" w:eastAsia="zh-CN"/>
              </w:rPr>
            </w:pPr>
            <w:r>
              <w:rPr>
                <w:rFonts w:hint="eastAsia"/>
                <w:szCs w:val="21"/>
                <w:lang w:val="en-US" w:eastAsia="zh-CN"/>
              </w:rPr>
              <w:t>3</w:t>
            </w:r>
          </w:p>
        </w:tc>
      </w:tr>
      <w:tr w14:paraId="069986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C7DCB06">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5C3CD4F">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05CB4B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03C8856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14:paraId="45127F8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21B470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14:paraId="44F0AA0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14:paraId="104A552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14:paraId="36BADE6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161823F">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1DD93D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AF34191">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149DC5C">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3F375C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0A1E689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14:paraId="0167BDB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1CD5D56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14:paraId="2D5FC64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14:paraId="1261593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14:paraId="1A103AE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15A5952A">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03D89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C0C0DAC">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E99782D">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B9BB2C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69ED8C4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14:paraId="2DBD085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14:paraId="075E730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6D3C989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14:paraId="30169EA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14:paraId="0A064CB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14:paraId="1D158B4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6B76BEE">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708C0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CEBA165">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C6C928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14:paraId="60D2080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315C9D9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2945EE5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14:paraId="02D5156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4D693F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14:paraId="0B05741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14:paraId="4C7E119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14:paraId="5F8F65B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14:paraId="6CCCD6A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14:paraId="14D6443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14:paraId="30B262A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14:paraId="6A29F22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21BD1EB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14:paraId="4661B83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14:paraId="33EFC76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14:paraId="0B43BB5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14:paraId="5AE23C2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2F9137C5">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5CAC3E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F36DF88">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DE8984A">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83CE4C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7DEF5A8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14:paraId="02B679F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14:paraId="067AA29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51DA779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14:paraId="43F0CB8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14:paraId="53D4F4B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725A0F3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14:paraId="020D7D1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035213C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2F4C4979">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34359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F05B834">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9F5D9A2">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B39D03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4E1B77C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14:paraId="5913383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51DCAC8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14:paraId="007F526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14:paraId="638F79E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14:paraId="6D18635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76869F1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14:paraId="7D93785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14:paraId="7DB7A32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14:paraId="3A32A25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4018ACD3">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149C0B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18B0C58">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EBC36A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6A7CC05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2FD45F7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14:paraId="49A1224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1EF3EE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14:paraId="183CA47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w:t>
            </w:r>
            <w:r>
              <w:rPr>
                <w:rFonts w:hint="eastAsia" w:ascii="仿宋_GB2312" w:hAnsi="仿宋_GB2312" w:eastAsia="仿宋_GB2312" w:cs="仿宋_GB2312"/>
                <w:kern w:val="0"/>
                <w:szCs w:val="21"/>
                <w:lang w:val="en-US" w:eastAsia="zh-CN" w:bidi="ar"/>
              </w:rPr>
              <w:t>账</w:t>
            </w:r>
            <w:r>
              <w:rPr>
                <w:rFonts w:hint="eastAsia" w:ascii="仿宋_GB2312" w:hAnsi="仿宋_GB2312" w:eastAsia="仿宋_GB2312" w:cs="仿宋_GB2312"/>
                <w:kern w:val="0"/>
                <w:szCs w:val="21"/>
                <w:lang w:bidi="ar"/>
              </w:rPr>
              <w:t>实相符；</w:t>
            </w:r>
          </w:p>
          <w:p w14:paraId="493FDBB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0235FE6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14:paraId="32C9E91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7D7FBDA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14:paraId="5EDD13E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300BEEAF">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065E8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3B29B74">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1EEF9D1">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1A3B188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6924935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14:paraId="66E7985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755F97D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14:paraId="2E12FA2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14:paraId="411766E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14:paraId="23A4864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78928C3">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519ABE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4FB0CBB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6F8E1A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6637D91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7F8724CF">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6C305232">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4177E838">
            <w:pPr>
              <w:widowControl/>
              <w:spacing w:line="240" w:lineRule="exact"/>
              <w:jc w:val="left"/>
              <w:rPr>
                <w:rFonts w:hint="eastAsia" w:eastAsiaTheme="minorEastAsia"/>
                <w:szCs w:val="21"/>
                <w:lang w:val="en-US" w:eastAsia="zh-CN"/>
              </w:rPr>
            </w:pPr>
            <w:r>
              <w:rPr>
                <w:rFonts w:hint="eastAsia"/>
                <w:szCs w:val="21"/>
                <w:lang w:val="en-US" w:eastAsia="zh-CN"/>
              </w:rPr>
              <w:t>9</w:t>
            </w:r>
          </w:p>
        </w:tc>
      </w:tr>
      <w:tr w14:paraId="74F911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D5EFAA9">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105BD0A">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51EA23D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14:paraId="26B1526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14:paraId="2522B4B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14:paraId="30E30D7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749B052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14:paraId="3678E3F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14:paraId="32CA180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14:paraId="557ABC6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5B2DFAF4">
            <w:pPr>
              <w:widowControl/>
              <w:spacing w:line="240" w:lineRule="exact"/>
              <w:jc w:val="left"/>
              <w:rPr>
                <w:rFonts w:hint="default" w:eastAsiaTheme="minorEastAsia"/>
                <w:szCs w:val="21"/>
                <w:lang w:val="en-US" w:eastAsia="zh-CN"/>
              </w:rPr>
            </w:pPr>
            <w:r>
              <w:rPr>
                <w:rFonts w:hint="eastAsia"/>
                <w:szCs w:val="21"/>
                <w:lang w:val="en-US" w:eastAsia="zh-CN"/>
              </w:rPr>
              <w:t>12</w:t>
            </w:r>
          </w:p>
        </w:tc>
      </w:tr>
      <w:tr w14:paraId="5B8FB0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337103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14:paraId="6356DDA2">
            <w:pPr>
              <w:widowControl/>
              <w:spacing w:line="240" w:lineRule="exact"/>
              <w:jc w:val="left"/>
              <w:rPr>
                <w:rFonts w:hint="eastAsia" w:ascii="仿宋_GB2312" w:hAnsi="仿宋_GB2312" w:eastAsia="仿宋_GB2312" w:cs="仿宋_GB2312"/>
                <w:kern w:val="0"/>
                <w:szCs w:val="21"/>
                <w:lang w:bidi="ar"/>
              </w:rPr>
            </w:pPr>
          </w:p>
          <w:p w14:paraId="259A8C9F">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14:paraId="57602792">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6370311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3972F40E">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14:paraId="312863D1">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5405B53D">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0FD6C7DA">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661E0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71FA1CED">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35AA1F7E">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68D2407">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4F658DE4">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14:paraId="2CD5F6F5">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3C3FE8D1">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13969F40">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D48CA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419D8885">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076FC9C1">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BA1B614">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1136AD0C">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14:paraId="34879B64">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57ED1813">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2D06E1AC">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58F7F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BAB7E41">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5BA02D4C">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C07599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231E2EC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7FF767A0">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6413F99F">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27E11183">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59479D84">
      <w:pPr>
        <w:spacing w:line="240" w:lineRule="exact"/>
        <w:rPr>
          <w:rFonts w:ascii="仿宋" w:hAnsi="仿宋" w:eastAsia="仿宋" w:cs="仿宋"/>
          <w:sz w:val="32"/>
          <w:szCs w:val="32"/>
        </w:rPr>
      </w:pPr>
    </w:p>
    <w:p w14:paraId="188F65EB">
      <w:pPr>
        <w:pStyle w:val="2"/>
        <w:ind w:left="0" w:leftChars="0" w:firstLine="600" w:firstLineChars="200"/>
      </w:pPr>
      <w:r>
        <w:rPr>
          <w:rFonts w:hint="eastAsia" w:ascii="仿宋" w:hAnsi="仿宋" w:eastAsia="仿宋"/>
          <w:color w:val="000000"/>
          <w:sz w:val="30"/>
          <w:szCs w:val="24"/>
        </w:rPr>
        <w:t>本次绩效评价，我们根据实际情况，暂定项目绩效总分100分，确定了评分扣减项目，</w:t>
      </w:r>
      <w:r>
        <w:rPr>
          <w:rFonts w:hint="eastAsia" w:ascii="仿宋" w:hAnsi="仿宋" w:eastAsia="仿宋"/>
          <w:color w:val="000000"/>
          <w:sz w:val="30"/>
          <w:szCs w:val="24"/>
          <w:lang w:eastAsia="zh-CN"/>
        </w:rPr>
        <w:t>部门预算项</w:t>
      </w:r>
      <w:r>
        <w:rPr>
          <w:rFonts w:hint="eastAsia" w:ascii="仿宋" w:hAnsi="仿宋" w:eastAsia="仿宋"/>
          <w:color w:val="auto"/>
          <w:sz w:val="30"/>
          <w:szCs w:val="24"/>
          <w:lang w:eastAsia="zh-CN"/>
        </w:rPr>
        <w:t>目</w:t>
      </w:r>
      <w:r>
        <w:rPr>
          <w:rFonts w:hint="eastAsia" w:ascii="仿宋" w:hAnsi="仿宋" w:eastAsia="仿宋"/>
          <w:bCs/>
          <w:color w:val="auto"/>
          <w:sz w:val="30"/>
          <w:szCs w:val="24"/>
        </w:rPr>
        <w:t>综合得分</w:t>
      </w:r>
      <w:r>
        <w:rPr>
          <w:rFonts w:hint="eastAsia" w:ascii="仿宋" w:hAnsi="仿宋" w:eastAsia="仿宋"/>
          <w:bCs/>
          <w:color w:val="auto"/>
          <w:sz w:val="30"/>
          <w:szCs w:val="24"/>
          <w:lang w:val="en-US" w:eastAsia="zh-CN"/>
        </w:rPr>
        <w:t>95</w:t>
      </w:r>
      <w:r>
        <w:rPr>
          <w:rFonts w:hint="eastAsia" w:ascii="仿宋" w:hAnsi="仿宋" w:eastAsia="仿宋"/>
          <w:bCs/>
          <w:color w:val="auto"/>
          <w:sz w:val="30"/>
          <w:szCs w:val="24"/>
        </w:rPr>
        <w:t>分，评价结论为良。</w:t>
      </w:r>
    </w:p>
    <w:p w14:paraId="75B7867B">
      <w:pPr>
        <w:spacing w:line="240" w:lineRule="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部门整体支出绩效评价报告主要内容包括：</w:t>
      </w:r>
    </w:p>
    <w:p w14:paraId="4754132E">
      <w:pPr>
        <w:keepNext w:val="0"/>
        <w:keepLines w:val="0"/>
        <w:pageBreakBefore w:val="0"/>
        <w:widowControl w:val="0"/>
        <w:numPr>
          <w:ilvl w:val="0"/>
          <w:numId w:val="1"/>
        </w:numPr>
        <w:kinsoku/>
        <w:wordWrap/>
        <w:overflowPunct/>
        <w:topLinePunct w:val="0"/>
        <w:autoSpaceDE/>
        <w:autoSpaceDN/>
        <w:bidi w:val="0"/>
        <w:adjustRightInd/>
        <w:snapToGrid/>
        <w:ind w:firstLine="640" w:firstLineChars="200"/>
        <w:textAlignment w:val="auto"/>
        <w:rPr>
          <w:rFonts w:hint="eastAsia" w:ascii="仿宋" w:hAnsi="仿宋" w:eastAsia="仿宋" w:cstheme="minorBidi"/>
          <w:color w:val="000000"/>
          <w:kern w:val="2"/>
          <w:sz w:val="30"/>
          <w:szCs w:val="24"/>
          <w:lang w:val="en-US" w:eastAsia="zh-CN" w:bidi="ar-SA"/>
        </w:rPr>
      </w:pPr>
      <w:r>
        <w:rPr>
          <w:rFonts w:hint="eastAsia" w:ascii="仿宋" w:hAnsi="仿宋" w:eastAsia="仿宋" w:cs="仿宋"/>
          <w:sz w:val="32"/>
          <w:szCs w:val="32"/>
          <w:lang w:val="en-US" w:eastAsia="zh-CN"/>
        </w:rPr>
        <w:t>基本概况。</w:t>
      </w:r>
      <w:r>
        <w:rPr>
          <w:rFonts w:hint="eastAsia" w:ascii="仿宋" w:hAnsi="仿宋" w:eastAsia="仿宋" w:cstheme="minorBidi"/>
          <w:color w:val="000000"/>
          <w:kern w:val="2"/>
          <w:sz w:val="30"/>
          <w:szCs w:val="24"/>
          <w:lang w:val="en-US" w:eastAsia="zh-CN" w:bidi="ar-SA"/>
        </w:rPr>
        <w:t>隆尧县人力资源和社会保障局机构规格正科级，位于隆尧县象城街272号，主要职能：按照有关法律、法规和政策规定，负责全县人才队伍建设、工资政策制定及管理、劳动关系管理、就业创业工作、人事人才工作、医疗保障信息管理和经办工作，指导并组织实施全县人事和劳动管理工作。</w:t>
      </w:r>
    </w:p>
    <w:p w14:paraId="66129A76">
      <w:pPr>
        <w:pStyle w:val="2"/>
        <w:ind w:left="0" w:leftChars="0" w:firstLine="600" w:firstLineChars="200"/>
        <w:rPr>
          <w:rFonts w:hint="eastAsia" w:ascii="仿宋" w:hAnsi="仿宋" w:eastAsia="仿宋"/>
          <w:color w:val="000000"/>
          <w:sz w:val="30"/>
          <w:szCs w:val="24"/>
          <w:lang w:val="en-US" w:eastAsia="zh-CN"/>
        </w:rPr>
      </w:pPr>
      <w:r>
        <w:rPr>
          <w:rFonts w:hint="eastAsia" w:ascii="仿宋" w:hAnsi="仿宋" w:eastAsia="仿宋"/>
          <w:color w:val="000000"/>
          <w:sz w:val="30"/>
          <w:szCs w:val="24"/>
          <w:lang w:val="en-US" w:eastAsia="zh-CN"/>
        </w:rPr>
        <w:t>（二）预算绩效管理开展及整体绩效实现情况。本年支出合计17492.14万元，其中:社会保障与就业支出2285.22万元，占总支出13.06%；医疗卫生与计划生育支出14806.30万元，占总支出84.65%；城乡社区支出303.66万元，占总支出1.73%，农林水支出67.51万元，占总支出0.39%，住房保障支出29.45万元，占总支出0.17%。</w:t>
      </w:r>
    </w:p>
    <w:p w14:paraId="07A924E2">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400" w:lineRule="exact"/>
        <w:ind w:left="0" w:right="0" w:firstLine="480" w:firstLineChars="200"/>
        <w:jc w:val="both"/>
        <w:textAlignment w:val="auto"/>
        <w:rPr>
          <w:rFonts w:hint="eastAsia" w:ascii="宋体" w:hAnsi="宋体" w:eastAsia="宋体" w:cs="宋体"/>
          <w:kern w:val="2"/>
          <w:sz w:val="24"/>
          <w:szCs w:val="24"/>
          <w:lang w:val="en-US" w:eastAsia="zh-CN" w:bidi="ar"/>
        </w:rPr>
      </w:pPr>
    </w:p>
    <w:p w14:paraId="2D8AF5B5">
      <w:pPr>
        <w:pStyle w:val="5"/>
        <w:keepNext w:val="0"/>
        <w:keepLines w:val="0"/>
        <w:pageBreakBefore w:val="0"/>
        <w:widowControl w:val="0"/>
        <w:kinsoku/>
        <w:wordWrap/>
        <w:overflowPunct/>
        <w:topLinePunct w:val="0"/>
        <w:autoSpaceDE w:val="0"/>
        <w:autoSpaceDN w:val="0"/>
        <w:bidi w:val="0"/>
        <w:adjustRightInd w:val="0"/>
        <w:snapToGrid w:val="0"/>
        <w:spacing w:after="0" w:line="360" w:lineRule="auto"/>
        <w:ind w:firstLine="600" w:firstLineChars="200"/>
        <w:textAlignment w:val="auto"/>
        <w:rPr>
          <w:rFonts w:hint="eastAsia" w:ascii="仿宋" w:hAnsi="仿宋" w:eastAsia="仿宋" w:cstheme="minorBidi"/>
          <w:color w:val="000000"/>
          <w:spacing w:val="0"/>
          <w:kern w:val="2"/>
          <w:sz w:val="30"/>
          <w:szCs w:val="24"/>
          <w:lang w:val="en-US" w:eastAsia="zh-CN" w:bidi="ar-SA"/>
        </w:rPr>
      </w:pPr>
    </w:p>
    <w:p w14:paraId="0363555F">
      <w:pPr>
        <w:spacing w:line="560" w:lineRule="exact"/>
        <w:ind w:firstLine="640" w:firstLineChars="200"/>
        <w:rPr>
          <w:rFonts w:hint="eastAsia" w:ascii="仿宋" w:hAnsi="仿宋" w:eastAsia="仿宋"/>
          <w:color w:val="000000"/>
          <w:sz w:val="30"/>
          <w:szCs w:val="24"/>
        </w:rPr>
      </w:pPr>
      <w:r>
        <w:rPr>
          <w:rFonts w:hint="eastAsia" w:ascii="仿宋" w:hAnsi="仿宋" w:eastAsia="仿宋" w:cs="仿宋"/>
          <w:sz w:val="32"/>
          <w:szCs w:val="32"/>
          <w:lang w:val="en-US" w:eastAsia="zh-CN"/>
        </w:rPr>
        <w:t>（三）绩效评价的组织实施情况。</w:t>
      </w:r>
      <w:r>
        <w:rPr>
          <w:rFonts w:hint="eastAsia" w:ascii="仿宋" w:hAnsi="仿宋" w:eastAsia="仿宋"/>
          <w:color w:val="000000"/>
          <w:sz w:val="30"/>
          <w:szCs w:val="24"/>
        </w:rPr>
        <w:t>隆尧县</w:t>
      </w:r>
      <w:r>
        <w:rPr>
          <w:rFonts w:hint="eastAsia" w:ascii="仿宋" w:hAnsi="仿宋" w:eastAsia="仿宋"/>
          <w:color w:val="000000"/>
          <w:sz w:val="30"/>
          <w:szCs w:val="24"/>
          <w:lang w:val="en-US" w:eastAsia="zh-CN"/>
        </w:rPr>
        <w:t>人力资源和社会保障局</w:t>
      </w:r>
      <w:r>
        <w:rPr>
          <w:rFonts w:hint="eastAsia" w:ascii="仿宋" w:hAnsi="仿宋" w:eastAsia="仿宋"/>
          <w:color w:val="000000"/>
          <w:sz w:val="30"/>
          <w:szCs w:val="24"/>
        </w:rPr>
        <w:t>根据项目情况设置绩效目标评价标准：</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%以下为“差”）和违法占地清理工作的覆盖率(%)（评价标准：9：</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%以下为“差”）；设定</w:t>
      </w:r>
      <w:r>
        <w:rPr>
          <w:rFonts w:hint="eastAsia" w:ascii="仿宋" w:hAnsi="仿宋" w:eastAsia="仿宋"/>
          <w:color w:val="000000"/>
          <w:sz w:val="30"/>
          <w:szCs w:val="24"/>
          <w:lang w:val="en-US" w:eastAsia="zh-CN"/>
        </w:rPr>
        <w:t>1</w:t>
      </w:r>
      <w:r>
        <w:rPr>
          <w:rFonts w:hint="eastAsia" w:ascii="仿宋" w:hAnsi="仿宋" w:eastAsia="仿宋"/>
          <w:color w:val="000000"/>
          <w:sz w:val="30"/>
          <w:szCs w:val="24"/>
        </w:rPr>
        <w:t>个效果指标：土地是否得到保障(%)（评价标准：9：</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%以下为“差”）绩效目标指向不明确</w:t>
      </w:r>
      <w:r>
        <w:rPr>
          <w:rFonts w:hint="eastAsia" w:ascii="仿宋" w:hAnsi="仿宋" w:eastAsia="仿宋"/>
          <w:bCs/>
          <w:sz w:val="30"/>
          <w:szCs w:val="24"/>
        </w:rPr>
        <w:t>、</w:t>
      </w:r>
      <w:r>
        <w:rPr>
          <w:rFonts w:hint="eastAsia" w:ascii="仿宋" w:hAnsi="仿宋" w:eastAsia="仿宋"/>
          <w:color w:val="000000"/>
          <w:sz w:val="30"/>
          <w:szCs w:val="24"/>
        </w:rPr>
        <w:t>细化不充分，项目执行过程有效约束不够，绩效指标体系设计有待完善。</w:t>
      </w:r>
    </w:p>
    <w:p w14:paraId="3586265C">
      <w:pPr>
        <w:numPr>
          <w:ilvl w:val="0"/>
          <w:numId w:val="0"/>
        </w:numPr>
        <w:spacing w:line="24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（四）各项绩效目标的实现程度及差异性原因分析。</w:t>
      </w:r>
    </w:p>
    <w:p w14:paraId="6D0E876C">
      <w:pPr>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存在问题、采取的纠偏措施及改进绩效管理建议。</w:t>
      </w:r>
      <w:r>
        <w:rPr>
          <w:rFonts w:hint="eastAsia" w:ascii="仿宋" w:hAnsi="仿宋" w:eastAsia="仿宋"/>
          <w:color w:val="000000"/>
          <w:sz w:val="30"/>
          <w:szCs w:val="24"/>
        </w:rPr>
        <w:t>本次绩效评价工作实施中发现，</w:t>
      </w:r>
      <w:r>
        <w:rPr>
          <w:rFonts w:hint="eastAsia" w:ascii="仿宋" w:hAnsi="仿宋" w:eastAsia="仿宋"/>
          <w:color w:val="000000"/>
          <w:sz w:val="30"/>
          <w:szCs w:val="24"/>
          <w:lang w:eastAsia="zh-CN"/>
        </w:rPr>
        <w:t>部门各类</w:t>
      </w:r>
      <w:r>
        <w:rPr>
          <w:rFonts w:hint="eastAsia" w:ascii="仿宋" w:hAnsi="仿宋" w:eastAsia="仿宋"/>
          <w:color w:val="000000"/>
          <w:sz w:val="30"/>
          <w:szCs w:val="24"/>
        </w:rPr>
        <w:t>项目符合规定，</w:t>
      </w:r>
      <w:r>
        <w:rPr>
          <w:rFonts w:hint="eastAsia" w:ascii="仿宋" w:hAnsi="仿宋" w:eastAsia="仿宋"/>
          <w:color w:val="000000"/>
          <w:sz w:val="30"/>
          <w:szCs w:val="24"/>
          <w:lang w:eastAsia="zh-CN"/>
        </w:rPr>
        <w:t>各类</w:t>
      </w:r>
      <w:r>
        <w:rPr>
          <w:rFonts w:hint="eastAsia" w:ascii="仿宋" w:hAnsi="仿宋" w:eastAsia="仿宋"/>
          <w:color w:val="000000"/>
          <w:sz w:val="30"/>
          <w:szCs w:val="24"/>
        </w:rPr>
        <w:t>项目资金的支付，掌握真实准确的基础数据，编制了项目绩效评价报告，但存在绩效指标体系有待完善，绩效目标不明确、目标细化程度不足，项目预算执行率不高等现象。</w:t>
      </w:r>
    </w:p>
    <w:p w14:paraId="5B88E3F3">
      <w:pPr>
        <w:numPr>
          <w:ilvl w:val="0"/>
          <w:numId w:val="0"/>
        </w:numPr>
        <w:spacing w:line="240" w:lineRule="auto"/>
        <w:rPr>
          <w:rFonts w:hint="eastAsia" w:ascii="仿宋" w:hAnsi="仿宋" w:eastAsia="仿宋" w:cs="仿宋"/>
          <w:sz w:val="32"/>
          <w:szCs w:val="32"/>
          <w:lang w:val="en-US" w:eastAsia="zh-CN"/>
        </w:rPr>
      </w:pPr>
    </w:p>
    <w:p w14:paraId="410393F8">
      <w:pPr>
        <w:numPr>
          <w:ilvl w:val="0"/>
          <w:numId w:val="0"/>
        </w:numPr>
        <w:spacing w:line="240" w:lineRule="auto"/>
        <w:rPr>
          <w:rFonts w:hint="eastAsia" w:ascii="仿宋" w:hAnsi="仿宋" w:eastAsia="仿宋" w:cs="仿宋"/>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E45150">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6</w:t>
    </w:r>
    <w:r>
      <w:rPr>
        <w:rStyle w:val="13"/>
        <w:rFonts w:ascii="宋体" w:hAnsi="宋体" w:eastAsia="宋体"/>
        <w:sz w:val="28"/>
        <w:szCs w:val="28"/>
      </w:rPr>
      <w:fldChar w:fldCharType="end"/>
    </w:r>
    <w:r>
      <w:rPr>
        <w:rStyle w:val="13"/>
        <w:rFonts w:hint="eastAsia" w:ascii="宋体" w:hAnsi="宋体" w:eastAsia="宋体"/>
        <w:sz w:val="28"/>
        <w:szCs w:val="28"/>
      </w:rPr>
      <w:t>-</w:t>
    </w:r>
  </w:p>
  <w:p w14:paraId="7B5ABD97">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1E2B82">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14:paraId="361E887F">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D3288B"/>
    <w:multiLevelType w:val="singleLevel"/>
    <w:tmpl w:val="6CD3288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wMDFmZjg1NjdmMGY3OWY5YThjOTc1NGIyOGYxMTM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743C4"/>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5374814"/>
    <w:rsid w:val="0F8F6BFC"/>
    <w:rsid w:val="27D9543C"/>
    <w:rsid w:val="28890D11"/>
    <w:rsid w:val="2F5006CF"/>
    <w:rsid w:val="3791647A"/>
    <w:rsid w:val="3F684104"/>
    <w:rsid w:val="455969D8"/>
    <w:rsid w:val="526A3656"/>
    <w:rsid w:val="5D643D56"/>
    <w:rsid w:val="649211F4"/>
    <w:rsid w:val="69BD0A47"/>
    <w:rsid w:val="71A911C9"/>
    <w:rsid w:val="751A5A1E"/>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7"/>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line="600" w:lineRule="exact"/>
      <w:ind w:firstLine="560" w:firstLineChars="200"/>
      <w:textAlignment w:val="center"/>
    </w:pPr>
    <w:rPr>
      <w:rFonts w:ascii="宋体" w:hAnsi="宋体"/>
      <w:color w:val="FF0000"/>
      <w:sz w:val="28"/>
      <w:szCs w:val="28"/>
    </w:rPr>
  </w:style>
  <w:style w:type="paragraph" w:styleId="5">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link w:val="16"/>
    <w:qFormat/>
    <w:uiPriority w:val="0"/>
    <w:rPr>
      <w:rFonts w:ascii="宋体" w:hAnsi="Courier New" w:eastAsia="宋体" w:cs="Courier New"/>
      <w:szCs w:val="21"/>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22"/>
    <w:rPr>
      <w:b/>
      <w:bCs/>
    </w:rPr>
  </w:style>
  <w:style w:type="character" w:styleId="13">
    <w:name w:val="page number"/>
    <w:basedOn w:val="11"/>
    <w:semiHidden/>
    <w:unhideWhenUsed/>
    <w:qFormat/>
    <w:uiPriority w:val="99"/>
  </w:style>
  <w:style w:type="character" w:customStyle="1" w:styleId="14">
    <w:name w:val="页眉 Char"/>
    <w:basedOn w:val="11"/>
    <w:link w:val="8"/>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纯文本 Char"/>
    <w:basedOn w:val="11"/>
    <w:link w:val="6"/>
    <w:qFormat/>
    <w:uiPriority w:val="0"/>
    <w:rPr>
      <w:rFonts w:ascii="宋体" w:hAnsi="Courier New" w:eastAsia="宋体" w:cs="Courier New"/>
      <w:szCs w:val="21"/>
    </w:rPr>
  </w:style>
  <w:style w:type="character" w:customStyle="1" w:styleId="17">
    <w:name w:val="标题 1 Char"/>
    <w:basedOn w:val="11"/>
    <w:link w:val="4"/>
    <w:qFormat/>
    <w:uiPriority w:val="9"/>
    <w:rPr>
      <w:rFonts w:ascii="宋体" w:hAnsi="宋体" w:eastAsia="宋体" w:cs="宋体"/>
      <w:b/>
      <w:kern w:val="44"/>
      <w:sz w:val="48"/>
      <w:szCs w:val="48"/>
    </w:rPr>
  </w:style>
  <w:style w:type="character" w:customStyle="1" w:styleId="18">
    <w:name w:val="font31"/>
    <w:basedOn w:val="11"/>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5413</Words>
  <Characters>5844</Characters>
  <Lines>37</Lines>
  <Paragraphs>10</Paragraphs>
  <TotalTime>6</TotalTime>
  <ScaleCrop>false</ScaleCrop>
  <LinksUpToDate>false</LinksUpToDate>
  <CharactersWithSpaces>5878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DELL</cp:lastModifiedBy>
  <cp:lastPrinted>2018-11-29T03:23:00Z</cp:lastPrinted>
  <dcterms:modified xsi:type="dcterms:W3CDTF">2025-04-09T07:22:43Z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53E3CF4EB6F74A8CAAA3CAD49DF985BD_13</vt:lpwstr>
  </property>
</Properties>
</file>