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95AA3B8">
      <w:pPr>
        <w:keepNext w:val="0"/>
        <w:keepLines w:val="0"/>
        <w:pageBreakBefore w:val="0"/>
        <w:widowControl w:val="0"/>
        <w:kinsoku/>
        <w:wordWrap/>
        <w:overflowPunct/>
        <w:topLinePunct w:val="0"/>
        <w:autoSpaceDE/>
        <w:autoSpaceDN/>
        <w:bidi w:val="0"/>
        <w:adjustRightInd/>
        <w:snapToGrid/>
        <w:spacing w:line="620" w:lineRule="exact"/>
        <w:ind w:firstLine="883" w:firstLineChars="200"/>
        <w:jc w:val="center"/>
        <w:textAlignment w:val="auto"/>
        <w:rPr>
          <w:rStyle w:val="14"/>
          <w:rFonts w:hint="eastAsia" w:ascii="黑体" w:hAnsi="黑体" w:eastAsia="黑体" w:cs="黑体"/>
          <w:i w:val="0"/>
          <w:caps w:val="0"/>
          <w:smallCaps w:val="0"/>
          <w:color w:val="444444"/>
          <w:spacing w:val="0"/>
          <w:sz w:val="44"/>
          <w:szCs w:val="44"/>
          <w:shd w:val="clear" w:color="auto" w:fill="FFFFFF"/>
        </w:rPr>
      </w:pPr>
      <w:r>
        <w:rPr>
          <w:rStyle w:val="14"/>
          <w:rFonts w:hint="eastAsia" w:ascii="黑体" w:hAnsi="黑体" w:eastAsia="黑体" w:cs="黑体"/>
          <w:i w:val="0"/>
          <w:caps w:val="0"/>
          <w:smallCaps w:val="0"/>
          <w:color w:val="444444"/>
          <w:spacing w:val="0"/>
          <w:sz w:val="44"/>
          <w:szCs w:val="44"/>
          <w:shd w:val="clear" w:color="auto" w:fill="FFFFFF"/>
        </w:rPr>
        <w:t>201</w:t>
      </w:r>
      <w:r>
        <w:rPr>
          <w:rStyle w:val="14"/>
          <w:rFonts w:hint="eastAsia" w:ascii="黑体" w:hAnsi="黑体" w:eastAsia="黑体" w:cs="黑体"/>
          <w:i w:val="0"/>
          <w:caps w:val="0"/>
          <w:smallCaps w:val="0"/>
          <w:color w:val="444444"/>
          <w:spacing w:val="0"/>
          <w:sz w:val="44"/>
          <w:szCs w:val="44"/>
          <w:shd w:val="clear" w:color="auto" w:fill="FFFFFF"/>
          <w:lang w:val="en-US" w:eastAsia="zh-CN"/>
        </w:rPr>
        <w:t>9</w:t>
      </w:r>
      <w:r>
        <w:rPr>
          <w:rStyle w:val="14"/>
          <w:rFonts w:hint="eastAsia" w:ascii="黑体" w:hAnsi="黑体" w:eastAsia="黑体" w:cs="黑体"/>
          <w:i w:val="0"/>
          <w:caps w:val="0"/>
          <w:smallCaps w:val="0"/>
          <w:color w:val="444444"/>
          <w:spacing w:val="0"/>
          <w:sz w:val="44"/>
          <w:szCs w:val="44"/>
          <w:shd w:val="clear" w:color="auto" w:fill="FFFFFF"/>
        </w:rPr>
        <w:t>年</w:t>
      </w:r>
      <w:r>
        <w:rPr>
          <w:rStyle w:val="14"/>
          <w:rFonts w:hint="eastAsia" w:ascii="黑体" w:hAnsi="黑体" w:eastAsia="黑体" w:cs="黑体"/>
          <w:i w:val="0"/>
          <w:caps w:val="0"/>
          <w:smallCaps w:val="0"/>
          <w:color w:val="444444"/>
          <w:spacing w:val="0"/>
          <w:sz w:val="44"/>
          <w:szCs w:val="44"/>
          <w:shd w:val="clear" w:color="auto" w:fill="FFFFFF"/>
          <w:lang w:eastAsia="zh-CN"/>
        </w:rPr>
        <w:t>魏家庄</w:t>
      </w:r>
      <w:r>
        <w:rPr>
          <w:rStyle w:val="14"/>
          <w:rFonts w:hint="eastAsia" w:ascii="黑体" w:hAnsi="黑体" w:eastAsia="黑体" w:cs="黑体"/>
          <w:i w:val="0"/>
          <w:caps w:val="0"/>
          <w:smallCaps w:val="0"/>
          <w:color w:val="444444"/>
          <w:spacing w:val="0"/>
          <w:sz w:val="44"/>
          <w:szCs w:val="44"/>
          <w:shd w:val="clear" w:color="auto" w:fill="FFFFFF"/>
        </w:rPr>
        <w:t>镇人民政府整体</w:t>
      </w:r>
    </w:p>
    <w:p w14:paraId="6CB24787">
      <w:pPr>
        <w:keepNext w:val="0"/>
        <w:keepLines w:val="0"/>
        <w:pageBreakBefore w:val="0"/>
        <w:widowControl w:val="0"/>
        <w:kinsoku/>
        <w:wordWrap/>
        <w:overflowPunct/>
        <w:topLinePunct w:val="0"/>
        <w:autoSpaceDE/>
        <w:autoSpaceDN/>
        <w:bidi w:val="0"/>
        <w:adjustRightInd/>
        <w:snapToGrid/>
        <w:spacing w:line="620" w:lineRule="exact"/>
        <w:ind w:firstLine="883" w:firstLineChars="200"/>
        <w:jc w:val="center"/>
        <w:textAlignment w:val="auto"/>
        <w:rPr>
          <w:rStyle w:val="14"/>
          <w:rFonts w:hint="eastAsia" w:ascii="黑体" w:hAnsi="黑体" w:eastAsia="黑体" w:cs="黑体"/>
          <w:i w:val="0"/>
          <w:caps w:val="0"/>
          <w:smallCaps w:val="0"/>
          <w:color w:val="444444"/>
          <w:spacing w:val="0"/>
          <w:sz w:val="44"/>
          <w:szCs w:val="44"/>
          <w:shd w:val="clear" w:color="auto" w:fill="FFFFFF"/>
        </w:rPr>
      </w:pPr>
      <w:r>
        <w:rPr>
          <w:rStyle w:val="14"/>
          <w:rFonts w:hint="eastAsia" w:ascii="黑体" w:hAnsi="黑体" w:eastAsia="黑体" w:cs="黑体"/>
          <w:i w:val="0"/>
          <w:caps w:val="0"/>
          <w:smallCaps w:val="0"/>
          <w:color w:val="444444"/>
          <w:spacing w:val="0"/>
          <w:sz w:val="44"/>
          <w:szCs w:val="44"/>
          <w:shd w:val="clear" w:color="auto" w:fill="FFFFFF"/>
        </w:rPr>
        <w:t>支出绩效自评报告</w:t>
      </w:r>
    </w:p>
    <w:p w14:paraId="051E03E5">
      <w:pPr>
        <w:keepNext w:val="0"/>
        <w:keepLines w:val="0"/>
        <w:pageBreakBefore w:val="0"/>
        <w:widowControl w:val="0"/>
        <w:kinsoku/>
        <w:wordWrap/>
        <w:overflowPunct/>
        <w:topLinePunct w:val="0"/>
        <w:autoSpaceDE/>
        <w:autoSpaceDN/>
        <w:bidi w:val="0"/>
        <w:adjustRightInd/>
        <w:snapToGrid/>
        <w:spacing w:line="620" w:lineRule="exact"/>
        <w:ind w:firstLine="723" w:firstLineChars="200"/>
        <w:jc w:val="center"/>
        <w:textAlignment w:val="auto"/>
        <w:rPr>
          <w:rStyle w:val="14"/>
          <w:rFonts w:hint="eastAsia" w:ascii="黑体" w:hAnsi="黑体" w:eastAsia="黑体" w:cs="黑体"/>
          <w:i w:val="0"/>
          <w:caps w:val="0"/>
          <w:smallCaps w:val="0"/>
          <w:color w:val="444444"/>
          <w:spacing w:val="0"/>
          <w:sz w:val="36"/>
          <w:szCs w:val="36"/>
          <w:shd w:val="clear" w:color="auto" w:fill="FFFFFF"/>
          <w:lang w:eastAsia="zh-CN"/>
        </w:rPr>
      </w:pPr>
    </w:p>
    <w:p w14:paraId="5EC27FE8">
      <w:pPr>
        <w:keepNext w:val="0"/>
        <w:keepLines w:val="0"/>
        <w:pageBreakBefore w:val="0"/>
        <w:widowControl w:val="0"/>
        <w:kinsoku/>
        <w:wordWrap/>
        <w:overflowPunct/>
        <w:topLinePunct w:val="0"/>
        <w:autoSpaceDE/>
        <w:autoSpaceDN/>
        <w:bidi w:val="0"/>
        <w:adjustRightInd/>
        <w:snapToGrid/>
        <w:spacing w:line="62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lang w:eastAsia="zh-CN"/>
        </w:rPr>
        <w:t>根据县财政局的要求，我单位对2019年部门整体支出进行了认真的自评，现将自评情况报告如下：</w:t>
      </w:r>
    </w:p>
    <w:p w14:paraId="5297EEE0">
      <w:pPr>
        <w:keepNext w:val="0"/>
        <w:keepLines w:val="0"/>
        <w:pageBreakBefore w:val="0"/>
        <w:widowControl w:val="0"/>
        <w:kinsoku/>
        <w:wordWrap/>
        <w:overflowPunct/>
        <w:topLinePunct w:val="0"/>
        <w:autoSpaceDE/>
        <w:autoSpaceDN/>
        <w:bidi w:val="0"/>
        <w:adjustRightInd/>
        <w:snapToGrid/>
        <w:spacing w:line="620" w:lineRule="exact"/>
        <w:textAlignment w:val="auto"/>
        <w:rPr>
          <w:rFonts w:hint="eastAsia" w:ascii="仿宋" w:hAnsi="仿宋" w:eastAsia="仿宋" w:cs="仿宋"/>
          <w:b/>
          <w:bCs/>
          <w:sz w:val="32"/>
          <w:szCs w:val="32"/>
        </w:rPr>
      </w:pPr>
      <w:r>
        <w:rPr>
          <w:rFonts w:hint="eastAsia" w:ascii="仿宋" w:hAnsi="仿宋" w:eastAsia="仿宋" w:cs="仿宋"/>
          <w:b/>
          <w:bCs/>
          <w:sz w:val="32"/>
          <w:szCs w:val="32"/>
        </w:rPr>
        <w:t>一、绩效自评得分情况及绩效等级</w:t>
      </w:r>
      <w:bookmarkStart w:id="0" w:name="_GoBack"/>
      <w:bookmarkEnd w:id="0"/>
    </w:p>
    <w:p w14:paraId="42B2764D">
      <w:pPr>
        <w:keepNext w:val="0"/>
        <w:keepLines w:val="0"/>
        <w:pageBreakBefore w:val="0"/>
        <w:widowControl w:val="0"/>
        <w:kinsoku/>
        <w:wordWrap/>
        <w:overflowPunct/>
        <w:topLinePunct w:val="0"/>
        <w:autoSpaceDE/>
        <w:autoSpaceDN/>
        <w:bidi w:val="0"/>
        <w:adjustRightInd/>
        <w:snapToGrid/>
        <w:spacing w:line="62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综合自评分95分，绩效等级为合格。</w:t>
      </w:r>
    </w:p>
    <w:p w14:paraId="7B714454">
      <w:pPr>
        <w:keepNext w:val="0"/>
        <w:keepLines w:val="0"/>
        <w:pageBreakBefore w:val="0"/>
        <w:widowControl w:val="0"/>
        <w:kinsoku/>
        <w:wordWrap/>
        <w:overflowPunct/>
        <w:topLinePunct w:val="0"/>
        <w:autoSpaceDE/>
        <w:autoSpaceDN/>
        <w:bidi w:val="0"/>
        <w:adjustRightInd/>
        <w:snapToGrid/>
        <w:spacing w:line="620" w:lineRule="exact"/>
        <w:textAlignment w:val="auto"/>
        <w:rPr>
          <w:rFonts w:hint="eastAsia" w:ascii="仿宋" w:hAnsi="仿宋" w:eastAsia="仿宋" w:cs="仿宋"/>
          <w:b/>
          <w:bCs/>
          <w:sz w:val="32"/>
          <w:szCs w:val="32"/>
        </w:rPr>
      </w:pPr>
      <w:r>
        <w:rPr>
          <w:rFonts w:hint="eastAsia" w:ascii="仿宋" w:hAnsi="仿宋" w:eastAsia="仿宋" w:cs="仿宋"/>
          <w:b/>
          <w:bCs/>
          <w:sz w:val="32"/>
          <w:szCs w:val="32"/>
        </w:rPr>
        <w:t>二、部门基本情况</w:t>
      </w:r>
    </w:p>
    <w:p w14:paraId="41E02CDF">
      <w:pPr>
        <w:keepNext w:val="0"/>
        <w:keepLines w:val="0"/>
        <w:pageBreakBefore w:val="0"/>
        <w:widowControl w:val="0"/>
        <w:kinsoku/>
        <w:wordWrap/>
        <w:overflowPunct/>
        <w:topLinePunct w:val="0"/>
        <w:autoSpaceDE/>
        <w:autoSpaceDN/>
        <w:bidi w:val="0"/>
        <w:adjustRightInd/>
        <w:snapToGrid/>
        <w:spacing w:line="620" w:lineRule="exact"/>
        <w:textAlignment w:val="auto"/>
        <w:rPr>
          <w:rFonts w:hint="eastAsia" w:ascii="仿宋" w:hAnsi="仿宋" w:eastAsia="仿宋" w:cs="仿宋"/>
          <w:b/>
          <w:bCs/>
          <w:sz w:val="32"/>
          <w:szCs w:val="32"/>
        </w:rPr>
      </w:pPr>
      <w:r>
        <w:rPr>
          <w:rFonts w:hint="eastAsia" w:ascii="仿宋" w:hAnsi="仿宋" w:eastAsia="仿宋" w:cs="仿宋"/>
          <w:b/>
          <w:bCs/>
          <w:sz w:val="32"/>
          <w:szCs w:val="32"/>
        </w:rPr>
        <w:t>（一）部门概况</w:t>
      </w:r>
    </w:p>
    <w:p w14:paraId="7DE816D2">
      <w:pPr>
        <w:keepNext w:val="0"/>
        <w:keepLines w:val="0"/>
        <w:pageBreakBefore w:val="0"/>
        <w:widowControl w:val="0"/>
        <w:kinsoku/>
        <w:wordWrap/>
        <w:overflowPunct/>
        <w:topLinePunct w:val="0"/>
        <w:autoSpaceDE/>
        <w:autoSpaceDN/>
        <w:bidi w:val="0"/>
        <w:adjustRightInd/>
        <w:snapToGrid/>
        <w:spacing w:line="62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我镇为一级预算单位，无下属单位，部门决算中包括镇政府和镇卫计办决算。行政编制24名，事业编制23名，其中，镇政府工作人员45名，人口和计划生育服务中心2名，经费开支形式为财政性资金基本保证经费。   </w:t>
      </w:r>
    </w:p>
    <w:p w14:paraId="50B1CBAA">
      <w:pPr>
        <w:keepNext w:val="0"/>
        <w:keepLines w:val="0"/>
        <w:pageBreakBefore w:val="0"/>
        <w:widowControl w:val="0"/>
        <w:kinsoku/>
        <w:wordWrap/>
        <w:overflowPunct/>
        <w:topLinePunct w:val="0"/>
        <w:autoSpaceDE/>
        <w:autoSpaceDN/>
        <w:bidi w:val="0"/>
        <w:adjustRightInd/>
        <w:snapToGrid/>
        <w:spacing w:line="620" w:lineRule="exact"/>
        <w:textAlignment w:val="auto"/>
        <w:rPr>
          <w:rFonts w:hint="eastAsia" w:ascii="仿宋" w:hAnsi="仿宋" w:eastAsia="仿宋" w:cs="仿宋"/>
          <w:b/>
          <w:bCs/>
          <w:sz w:val="32"/>
          <w:szCs w:val="32"/>
        </w:rPr>
      </w:pPr>
      <w:r>
        <w:rPr>
          <w:rFonts w:hint="eastAsia" w:ascii="仿宋" w:hAnsi="仿宋" w:eastAsia="仿宋" w:cs="仿宋"/>
          <w:b/>
          <w:bCs/>
          <w:sz w:val="32"/>
          <w:szCs w:val="32"/>
        </w:rPr>
        <w:t>（二）主要职能：</w:t>
      </w:r>
    </w:p>
    <w:p w14:paraId="504D213A">
      <w:pPr>
        <w:keepNext w:val="0"/>
        <w:keepLines w:val="0"/>
        <w:pageBreakBefore w:val="0"/>
        <w:widowControl w:val="0"/>
        <w:kinsoku/>
        <w:wordWrap/>
        <w:overflowPunct/>
        <w:topLinePunct w:val="0"/>
        <w:autoSpaceDE/>
        <w:autoSpaceDN/>
        <w:bidi w:val="0"/>
        <w:adjustRightInd/>
        <w:snapToGrid/>
        <w:spacing w:line="62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执行本级人民代表大会决议和上级国家行政机关的决定和命令，发布决定和命令；落实国家政策，严格依法行政。2、执行本乡镇区域内的经济和社会发展计划、预算，管理本乡镇区域内的经济、教育、科学、文化、体育事业和财政、民政、公安、司法行政、计划生育等行政工作；发展乡村经济、文化和社会事业，提供公共服务。3、保护社会主义全民所有制的财产和劳动群众集体所有制的财产，保护公民私人所有的合法财产，维护社会稳定，保障公民的人身权利、民主权利和其他权利。4、保护各种经济组织的合法权益。5、保障少数民族的合法权利和尊重少数民族的风俗习惯。6、保障宪法和法律赋予妇女的男女平等、同工同酬和婚姻自由等各项权利。7、办理上级人民政府交办的其他事项。</w:t>
      </w:r>
    </w:p>
    <w:p w14:paraId="0AC5DE8A">
      <w:pPr>
        <w:pStyle w:val="2"/>
        <w:ind w:left="0" w:firstLine="0" w:firstLineChars="0"/>
      </w:pPr>
    </w:p>
    <w:p w14:paraId="65FBEA15">
      <w:pPr>
        <w:spacing w:line="240" w:lineRule="auto"/>
        <w:ind w:firstLine="301" w:firstLineChars="100"/>
        <w:rPr>
          <w:rFonts w:hint="eastAsia" w:ascii="仿宋" w:hAnsi="仿宋" w:eastAsia="仿宋" w:cs="仿宋"/>
          <w:b/>
          <w:bCs/>
          <w:sz w:val="30"/>
          <w:szCs w:val="30"/>
          <w:lang w:val="en-US" w:eastAsia="zh-CN"/>
        </w:rPr>
      </w:pPr>
      <w:r>
        <w:rPr>
          <w:rFonts w:hint="eastAsia" w:ascii="仿宋" w:hAnsi="仿宋" w:eastAsia="仿宋" w:cs="仿宋"/>
          <w:b/>
          <w:bCs/>
          <w:sz w:val="30"/>
          <w:szCs w:val="30"/>
          <w:lang w:val="en-US" w:eastAsia="zh-CN"/>
        </w:rPr>
        <w:t>三、部门整体支出绩效评价报告主要内容包括：</w:t>
      </w:r>
    </w:p>
    <w:p w14:paraId="036B6944">
      <w:pPr>
        <w:spacing w:line="560" w:lineRule="exact"/>
        <w:ind w:firstLine="640" w:firstLineChars="200"/>
        <w:rPr>
          <w:rFonts w:ascii="仿宋" w:hAnsi="仿宋" w:eastAsia="仿宋" w:cs="仿宋"/>
          <w:sz w:val="32"/>
          <w:szCs w:val="32"/>
          <w:lang w:val="en-US" w:eastAsia="zh-CN"/>
        </w:rPr>
      </w:pPr>
      <w:r>
        <w:rPr>
          <w:rFonts w:hint="eastAsia" w:ascii="仿宋" w:hAnsi="仿宋" w:eastAsia="仿宋" w:cs="仿宋"/>
          <w:sz w:val="32"/>
          <w:szCs w:val="32"/>
          <w:lang w:val="en-US" w:eastAsia="zh-CN"/>
        </w:rPr>
        <w:t>（一）预算绩效管理开展及整体绩效实现情况。</w:t>
      </w:r>
      <w:r>
        <w:rPr>
          <w:rFonts w:hint="eastAsia" w:ascii="仿宋" w:hAnsi="仿宋" w:eastAsia="仿宋"/>
          <w:color w:val="000000"/>
          <w:sz w:val="30"/>
          <w:szCs w:val="24"/>
          <w:lang w:eastAsia="zh-CN"/>
        </w:rPr>
        <w:t>魏家庄镇共有</w:t>
      </w:r>
      <w:r>
        <w:rPr>
          <w:rFonts w:hint="eastAsia" w:ascii="仿宋" w:hAnsi="仿宋" w:eastAsia="仿宋"/>
          <w:color w:val="000000"/>
          <w:sz w:val="30"/>
          <w:szCs w:val="24"/>
          <w:lang w:val="en-US" w:eastAsia="zh-CN"/>
        </w:rPr>
        <w:t>25个行政村</w:t>
      </w:r>
      <w:r>
        <w:rPr>
          <w:rFonts w:hint="eastAsia" w:ascii="仿宋" w:hAnsi="仿宋" w:eastAsia="仿宋" w:cs="仿宋"/>
          <w:color w:val="000000"/>
          <w:sz w:val="30"/>
          <w:szCs w:val="30"/>
        </w:rPr>
        <w:t>，</w:t>
      </w:r>
      <w:r>
        <w:rPr>
          <w:rFonts w:hint="eastAsia" w:ascii="仿宋" w:hAnsi="仿宋" w:eastAsia="仿宋" w:cs="仿宋"/>
          <w:color w:val="000000"/>
          <w:sz w:val="30"/>
          <w:szCs w:val="30"/>
          <w:lang w:val="en-US" w:eastAsia="zh-CN"/>
        </w:rPr>
        <w:t>2019年我镇总体</w:t>
      </w:r>
      <w:r>
        <w:rPr>
          <w:rFonts w:hint="eastAsia" w:ascii="仿宋" w:hAnsi="仿宋" w:eastAsia="仿宋" w:cs="仿宋"/>
          <w:sz w:val="30"/>
          <w:szCs w:val="30"/>
        </w:rPr>
        <w:t>预期目标是：全镇生产总值年均递增</w:t>
      </w:r>
      <w:r>
        <w:rPr>
          <w:rFonts w:hint="eastAsia" w:ascii="仿宋" w:hAnsi="仿宋" w:eastAsia="仿宋" w:cs="仿宋"/>
          <w:sz w:val="30"/>
          <w:szCs w:val="30"/>
          <w:lang w:val="en-US" w:eastAsia="zh-CN"/>
        </w:rPr>
        <w:t>6</w:t>
      </w:r>
      <w:r>
        <w:rPr>
          <w:rFonts w:hint="eastAsia" w:ascii="仿宋" w:hAnsi="仿宋" w:eastAsia="仿宋" w:cs="仿宋"/>
          <w:sz w:val="30"/>
          <w:szCs w:val="30"/>
        </w:rPr>
        <w:t>%以上，财政总收入年均递增</w:t>
      </w:r>
      <w:r>
        <w:rPr>
          <w:rFonts w:hint="eastAsia" w:ascii="仿宋" w:hAnsi="仿宋" w:eastAsia="仿宋" w:cs="仿宋"/>
          <w:sz w:val="30"/>
          <w:szCs w:val="30"/>
          <w:lang w:val="en-US" w:eastAsia="zh-CN"/>
        </w:rPr>
        <w:t>8</w:t>
      </w:r>
      <w:r>
        <w:rPr>
          <w:rFonts w:hint="eastAsia" w:ascii="仿宋" w:hAnsi="仿宋" w:eastAsia="仿宋" w:cs="仿宋"/>
          <w:sz w:val="30"/>
          <w:szCs w:val="30"/>
        </w:rPr>
        <w:t>%以上，全</w:t>
      </w:r>
      <w:r>
        <w:rPr>
          <w:rFonts w:hint="eastAsia" w:ascii="仿宋" w:hAnsi="仿宋" w:eastAsia="仿宋" w:cs="仿宋"/>
          <w:sz w:val="30"/>
          <w:szCs w:val="30"/>
          <w:lang w:eastAsia="zh-CN"/>
        </w:rPr>
        <w:t>镇</w:t>
      </w:r>
      <w:r>
        <w:rPr>
          <w:rFonts w:hint="eastAsia" w:ascii="仿宋" w:hAnsi="仿宋" w:eastAsia="仿宋" w:cs="仿宋"/>
          <w:sz w:val="30"/>
          <w:szCs w:val="30"/>
        </w:rPr>
        <w:t>固定资产投资年均递增</w:t>
      </w:r>
      <w:r>
        <w:rPr>
          <w:rFonts w:hint="eastAsia" w:ascii="仿宋" w:hAnsi="仿宋" w:eastAsia="仿宋" w:cs="仿宋"/>
          <w:sz w:val="30"/>
          <w:szCs w:val="30"/>
          <w:lang w:val="en-US" w:eastAsia="zh-CN"/>
        </w:rPr>
        <w:t>8</w:t>
      </w:r>
      <w:r>
        <w:rPr>
          <w:rFonts w:hint="eastAsia" w:ascii="仿宋" w:hAnsi="仿宋" w:eastAsia="仿宋" w:cs="仿宋"/>
          <w:sz w:val="30"/>
          <w:szCs w:val="30"/>
        </w:rPr>
        <w:t>%以上。全镇综合经济实力进一步增强，社会事业全面进步，人民生活水平明显提高，环境质量进一步优化。</w:t>
      </w:r>
      <w:r>
        <w:rPr>
          <w:rFonts w:hint="eastAsia" w:ascii="仿宋" w:hAnsi="仿宋" w:eastAsia="仿宋" w:cs="仿宋"/>
          <w:sz w:val="30"/>
          <w:szCs w:val="30"/>
          <w:lang w:eastAsia="zh-CN"/>
        </w:rPr>
        <w:t>对</w:t>
      </w:r>
      <w:r>
        <w:rPr>
          <w:rFonts w:hint="eastAsia" w:ascii="仿宋" w:hAnsi="仿宋" w:eastAsia="仿宋" w:cs="仿宋"/>
          <w:sz w:val="30"/>
          <w:szCs w:val="30"/>
          <w:lang w:val="en-US" w:eastAsia="zh-CN"/>
        </w:rPr>
        <w:t>2019年魏家庄镇预算项目的经济性、效率性和效益性进行客观、公正的评价，提高财政资金使用效益，增强预算绩效管理观念。</w:t>
      </w:r>
    </w:p>
    <w:p w14:paraId="63555C0A">
      <w:pPr>
        <w:spacing w:line="560" w:lineRule="exact"/>
        <w:ind w:firstLine="640" w:firstLineChars="200"/>
        <w:rPr>
          <w:rFonts w:hint="eastAsia" w:ascii="仿宋" w:hAnsi="仿宋" w:eastAsia="仿宋"/>
          <w:color w:val="000000"/>
          <w:sz w:val="30"/>
          <w:szCs w:val="24"/>
        </w:rPr>
      </w:pPr>
      <w:r>
        <w:rPr>
          <w:rFonts w:hint="eastAsia" w:ascii="仿宋" w:hAnsi="仿宋" w:eastAsia="仿宋" w:cs="仿宋"/>
          <w:sz w:val="32"/>
          <w:szCs w:val="32"/>
          <w:lang w:val="en-US" w:eastAsia="zh-CN"/>
        </w:rPr>
        <w:t>（二）绩效评价的组织实施情况。。</w:t>
      </w:r>
      <w:r>
        <w:rPr>
          <w:rFonts w:hint="eastAsia" w:ascii="仿宋" w:hAnsi="仿宋" w:eastAsia="仿宋"/>
          <w:color w:val="000000"/>
          <w:sz w:val="30"/>
          <w:szCs w:val="24"/>
        </w:rPr>
        <w:t>隆尧县</w:t>
      </w:r>
      <w:r>
        <w:rPr>
          <w:rFonts w:hint="eastAsia" w:ascii="仿宋" w:hAnsi="仿宋" w:eastAsia="仿宋"/>
          <w:color w:val="000000"/>
          <w:sz w:val="30"/>
          <w:szCs w:val="24"/>
          <w:lang w:eastAsia="zh-CN"/>
        </w:rPr>
        <w:t>魏家庄镇人民政府</w:t>
      </w:r>
      <w:r>
        <w:rPr>
          <w:rFonts w:hint="eastAsia" w:ascii="仿宋" w:hAnsi="仿宋" w:eastAsia="仿宋"/>
          <w:color w:val="000000"/>
          <w:sz w:val="30"/>
          <w:szCs w:val="24"/>
        </w:rPr>
        <w:t>根据项目情况设置绩效目标评价标准：</w:t>
      </w:r>
      <w:r>
        <w:rPr>
          <w:rFonts w:hint="eastAsia" w:ascii="仿宋" w:hAnsi="仿宋" w:eastAsia="仿宋"/>
          <w:color w:val="000000"/>
          <w:sz w:val="30"/>
          <w:szCs w:val="24"/>
          <w:lang w:val="en-US" w:eastAsia="zh-CN"/>
        </w:rPr>
        <w:t>100</w:t>
      </w:r>
      <w:r>
        <w:rPr>
          <w:rFonts w:hint="eastAsia" w:ascii="仿宋" w:hAnsi="仿宋" w:eastAsia="仿宋"/>
          <w:color w:val="000000"/>
          <w:sz w:val="30"/>
          <w:szCs w:val="24"/>
        </w:rPr>
        <w:t>%以上为“优”、</w:t>
      </w:r>
      <w:r>
        <w:rPr>
          <w:rFonts w:hint="eastAsia" w:ascii="仿宋" w:hAnsi="仿宋" w:eastAsia="仿宋"/>
          <w:color w:val="000000"/>
          <w:sz w:val="30"/>
          <w:szCs w:val="24"/>
          <w:lang w:val="en-US" w:eastAsia="zh-CN"/>
        </w:rPr>
        <w:t>90%-99</w:t>
      </w:r>
      <w:r>
        <w:rPr>
          <w:rFonts w:hint="eastAsia" w:ascii="仿宋" w:hAnsi="仿宋" w:eastAsia="仿宋"/>
          <w:color w:val="000000"/>
          <w:sz w:val="30"/>
          <w:szCs w:val="24"/>
        </w:rPr>
        <w:t>%以上为“良”、</w:t>
      </w:r>
      <w:r>
        <w:rPr>
          <w:rFonts w:hint="eastAsia" w:ascii="仿宋" w:hAnsi="仿宋" w:eastAsia="仿宋"/>
          <w:color w:val="000000"/>
          <w:sz w:val="30"/>
          <w:szCs w:val="24"/>
          <w:lang w:val="en-US" w:eastAsia="zh-CN"/>
        </w:rPr>
        <w:t>80%-89</w:t>
      </w:r>
      <w:r>
        <w:rPr>
          <w:rFonts w:hint="eastAsia" w:ascii="仿宋" w:hAnsi="仿宋" w:eastAsia="仿宋"/>
          <w:color w:val="000000"/>
          <w:sz w:val="30"/>
          <w:szCs w:val="24"/>
        </w:rPr>
        <w:t>%以上为“中”、</w:t>
      </w:r>
      <w:r>
        <w:rPr>
          <w:rFonts w:hint="eastAsia" w:ascii="仿宋" w:hAnsi="仿宋" w:eastAsia="仿宋"/>
          <w:color w:val="000000"/>
          <w:sz w:val="30"/>
          <w:szCs w:val="24"/>
          <w:lang w:val="en-US" w:eastAsia="zh-CN"/>
        </w:rPr>
        <w:t>80</w:t>
      </w:r>
      <w:r>
        <w:rPr>
          <w:rFonts w:hint="eastAsia" w:ascii="仿宋" w:hAnsi="仿宋" w:eastAsia="仿宋"/>
          <w:color w:val="000000"/>
          <w:sz w:val="30"/>
          <w:szCs w:val="24"/>
        </w:rPr>
        <w:t>%以下为“差”）和违法占地清理工作的覆盖率(%)（评价标准：9：</w:t>
      </w:r>
      <w:r>
        <w:rPr>
          <w:rFonts w:hint="eastAsia" w:ascii="仿宋" w:hAnsi="仿宋" w:eastAsia="仿宋"/>
          <w:color w:val="000000"/>
          <w:sz w:val="30"/>
          <w:szCs w:val="24"/>
          <w:lang w:val="en-US" w:eastAsia="zh-CN"/>
        </w:rPr>
        <w:t>100</w:t>
      </w:r>
      <w:r>
        <w:rPr>
          <w:rFonts w:hint="eastAsia" w:ascii="仿宋" w:hAnsi="仿宋" w:eastAsia="仿宋"/>
          <w:color w:val="000000"/>
          <w:sz w:val="30"/>
          <w:szCs w:val="24"/>
        </w:rPr>
        <w:t>%以上为“优”、</w:t>
      </w:r>
      <w:r>
        <w:rPr>
          <w:rFonts w:hint="eastAsia" w:ascii="仿宋" w:hAnsi="仿宋" w:eastAsia="仿宋"/>
          <w:color w:val="000000"/>
          <w:sz w:val="30"/>
          <w:szCs w:val="24"/>
          <w:lang w:val="en-US" w:eastAsia="zh-CN"/>
        </w:rPr>
        <w:t>90%-99</w:t>
      </w:r>
      <w:r>
        <w:rPr>
          <w:rFonts w:hint="eastAsia" w:ascii="仿宋" w:hAnsi="仿宋" w:eastAsia="仿宋"/>
          <w:color w:val="000000"/>
          <w:sz w:val="30"/>
          <w:szCs w:val="24"/>
        </w:rPr>
        <w:t>%以上为“良”、</w:t>
      </w:r>
      <w:r>
        <w:rPr>
          <w:rFonts w:hint="eastAsia" w:ascii="仿宋" w:hAnsi="仿宋" w:eastAsia="仿宋"/>
          <w:color w:val="000000"/>
          <w:sz w:val="30"/>
          <w:szCs w:val="24"/>
          <w:lang w:val="en-US" w:eastAsia="zh-CN"/>
        </w:rPr>
        <w:t>80%-89</w:t>
      </w:r>
      <w:r>
        <w:rPr>
          <w:rFonts w:hint="eastAsia" w:ascii="仿宋" w:hAnsi="仿宋" w:eastAsia="仿宋"/>
          <w:color w:val="000000"/>
          <w:sz w:val="30"/>
          <w:szCs w:val="24"/>
        </w:rPr>
        <w:t>%以上为“中”、</w:t>
      </w:r>
      <w:r>
        <w:rPr>
          <w:rFonts w:hint="eastAsia" w:ascii="仿宋" w:hAnsi="仿宋" w:eastAsia="仿宋"/>
          <w:color w:val="000000"/>
          <w:sz w:val="30"/>
          <w:szCs w:val="24"/>
          <w:lang w:val="en-US" w:eastAsia="zh-CN"/>
        </w:rPr>
        <w:t>80</w:t>
      </w:r>
      <w:r>
        <w:rPr>
          <w:rFonts w:hint="eastAsia" w:ascii="仿宋" w:hAnsi="仿宋" w:eastAsia="仿宋"/>
          <w:color w:val="000000"/>
          <w:sz w:val="30"/>
          <w:szCs w:val="24"/>
        </w:rPr>
        <w:t>%以下为“差”）；设定</w:t>
      </w:r>
      <w:r>
        <w:rPr>
          <w:rFonts w:hint="eastAsia" w:ascii="仿宋" w:hAnsi="仿宋" w:eastAsia="仿宋"/>
          <w:color w:val="000000"/>
          <w:sz w:val="30"/>
          <w:szCs w:val="24"/>
          <w:lang w:val="en-US" w:eastAsia="zh-CN"/>
        </w:rPr>
        <w:t>1</w:t>
      </w:r>
      <w:r>
        <w:rPr>
          <w:rFonts w:hint="eastAsia" w:ascii="仿宋" w:hAnsi="仿宋" w:eastAsia="仿宋"/>
          <w:color w:val="000000"/>
          <w:sz w:val="30"/>
          <w:szCs w:val="24"/>
        </w:rPr>
        <w:t>个效果指标：土地是否得到保障(%)（评价标准：9：</w:t>
      </w:r>
      <w:r>
        <w:rPr>
          <w:rFonts w:hint="eastAsia" w:ascii="仿宋" w:hAnsi="仿宋" w:eastAsia="仿宋"/>
          <w:color w:val="000000"/>
          <w:sz w:val="30"/>
          <w:szCs w:val="24"/>
          <w:lang w:val="en-US" w:eastAsia="zh-CN"/>
        </w:rPr>
        <w:t>100</w:t>
      </w:r>
      <w:r>
        <w:rPr>
          <w:rFonts w:hint="eastAsia" w:ascii="仿宋" w:hAnsi="仿宋" w:eastAsia="仿宋"/>
          <w:color w:val="000000"/>
          <w:sz w:val="30"/>
          <w:szCs w:val="24"/>
        </w:rPr>
        <w:t>%以上为“优”、</w:t>
      </w:r>
      <w:r>
        <w:rPr>
          <w:rFonts w:hint="eastAsia" w:ascii="仿宋" w:hAnsi="仿宋" w:eastAsia="仿宋"/>
          <w:color w:val="000000"/>
          <w:sz w:val="30"/>
          <w:szCs w:val="24"/>
          <w:lang w:val="en-US" w:eastAsia="zh-CN"/>
        </w:rPr>
        <w:t>90%-99</w:t>
      </w:r>
      <w:r>
        <w:rPr>
          <w:rFonts w:hint="eastAsia" w:ascii="仿宋" w:hAnsi="仿宋" w:eastAsia="仿宋"/>
          <w:color w:val="000000"/>
          <w:sz w:val="30"/>
          <w:szCs w:val="24"/>
        </w:rPr>
        <w:t>%以上为“良”、</w:t>
      </w:r>
      <w:r>
        <w:rPr>
          <w:rFonts w:hint="eastAsia" w:ascii="仿宋" w:hAnsi="仿宋" w:eastAsia="仿宋"/>
          <w:color w:val="000000"/>
          <w:sz w:val="30"/>
          <w:szCs w:val="24"/>
          <w:lang w:val="en-US" w:eastAsia="zh-CN"/>
        </w:rPr>
        <w:t>80%-89</w:t>
      </w:r>
      <w:r>
        <w:rPr>
          <w:rFonts w:hint="eastAsia" w:ascii="仿宋" w:hAnsi="仿宋" w:eastAsia="仿宋"/>
          <w:color w:val="000000"/>
          <w:sz w:val="30"/>
          <w:szCs w:val="24"/>
        </w:rPr>
        <w:t>%以上为“中”、</w:t>
      </w:r>
      <w:r>
        <w:rPr>
          <w:rFonts w:hint="eastAsia" w:ascii="仿宋" w:hAnsi="仿宋" w:eastAsia="仿宋"/>
          <w:color w:val="000000"/>
          <w:sz w:val="30"/>
          <w:szCs w:val="24"/>
          <w:lang w:val="en-US" w:eastAsia="zh-CN"/>
        </w:rPr>
        <w:t>80</w:t>
      </w:r>
      <w:r>
        <w:rPr>
          <w:rFonts w:hint="eastAsia" w:ascii="仿宋" w:hAnsi="仿宋" w:eastAsia="仿宋"/>
          <w:color w:val="000000"/>
          <w:sz w:val="30"/>
          <w:szCs w:val="24"/>
        </w:rPr>
        <w:t>%以下为“差”）绩效目标指向不明确</w:t>
      </w:r>
      <w:r>
        <w:rPr>
          <w:rFonts w:hint="eastAsia" w:ascii="仿宋" w:hAnsi="仿宋" w:eastAsia="仿宋"/>
          <w:bCs/>
          <w:sz w:val="30"/>
          <w:szCs w:val="24"/>
        </w:rPr>
        <w:t>、</w:t>
      </w:r>
      <w:r>
        <w:rPr>
          <w:rFonts w:hint="eastAsia" w:ascii="仿宋" w:hAnsi="仿宋" w:eastAsia="仿宋"/>
          <w:color w:val="000000"/>
          <w:sz w:val="30"/>
          <w:szCs w:val="24"/>
        </w:rPr>
        <w:t>细化不充分，项目执行过程有效约束不够，绩效指标体系设计有待完善。</w:t>
      </w:r>
    </w:p>
    <w:p w14:paraId="25682358">
      <w:pPr>
        <w:spacing w:line="240" w:lineRule="auto"/>
        <w:ind w:left="0"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（三）各项绩效目标的实现程度及差异性原因分析。</w:t>
      </w:r>
    </w:p>
    <w:p w14:paraId="3954999E">
      <w:pPr>
        <w:spacing w:line="560" w:lineRule="exact"/>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存在问题、采取的纠偏措施及改进绩效管理建议。</w:t>
      </w:r>
      <w:r>
        <w:rPr>
          <w:rFonts w:hint="eastAsia" w:ascii="仿宋" w:hAnsi="仿宋" w:eastAsia="仿宋"/>
          <w:color w:val="000000"/>
          <w:sz w:val="30"/>
          <w:szCs w:val="24"/>
        </w:rPr>
        <w:t>本次绩效评价工作实施中发现，</w:t>
      </w:r>
      <w:r>
        <w:rPr>
          <w:rFonts w:hint="eastAsia" w:ascii="仿宋" w:hAnsi="仿宋" w:eastAsia="仿宋"/>
          <w:color w:val="000000"/>
          <w:sz w:val="30"/>
          <w:szCs w:val="24"/>
          <w:lang w:eastAsia="zh-CN"/>
        </w:rPr>
        <w:t>部门各类</w:t>
      </w:r>
      <w:r>
        <w:rPr>
          <w:rFonts w:hint="eastAsia" w:ascii="仿宋" w:hAnsi="仿宋" w:eastAsia="仿宋"/>
          <w:color w:val="000000"/>
          <w:sz w:val="30"/>
          <w:szCs w:val="24"/>
        </w:rPr>
        <w:t>项目基本符合规定，</w:t>
      </w:r>
      <w:r>
        <w:rPr>
          <w:rFonts w:hint="eastAsia" w:ascii="仿宋" w:hAnsi="仿宋" w:eastAsia="仿宋"/>
          <w:color w:val="000000"/>
          <w:sz w:val="30"/>
          <w:szCs w:val="24"/>
          <w:lang w:eastAsia="zh-CN"/>
        </w:rPr>
        <w:t>各类</w:t>
      </w:r>
      <w:r>
        <w:rPr>
          <w:rFonts w:hint="eastAsia" w:ascii="仿宋" w:hAnsi="仿宋" w:eastAsia="仿宋"/>
          <w:color w:val="000000"/>
          <w:sz w:val="30"/>
          <w:szCs w:val="24"/>
        </w:rPr>
        <w:t>项目资金的支付，在调查全</w:t>
      </w:r>
      <w:r>
        <w:rPr>
          <w:rFonts w:hint="eastAsia" w:ascii="仿宋" w:hAnsi="仿宋" w:eastAsia="仿宋"/>
          <w:color w:val="000000"/>
          <w:sz w:val="30"/>
          <w:szCs w:val="24"/>
          <w:lang w:eastAsia="zh-CN"/>
        </w:rPr>
        <w:t>镇</w:t>
      </w:r>
      <w:r>
        <w:rPr>
          <w:rFonts w:hint="eastAsia" w:ascii="仿宋" w:hAnsi="仿宋" w:eastAsia="仿宋"/>
          <w:color w:val="000000"/>
          <w:sz w:val="30"/>
          <w:szCs w:val="24"/>
        </w:rPr>
        <w:t>状况</w:t>
      </w:r>
      <w:r>
        <w:rPr>
          <w:rFonts w:hint="eastAsia" w:ascii="仿宋" w:hAnsi="仿宋" w:eastAsia="仿宋"/>
          <w:color w:val="000000"/>
          <w:sz w:val="30"/>
          <w:szCs w:val="24"/>
          <w:lang w:eastAsia="zh-CN"/>
        </w:rPr>
        <w:t>后</w:t>
      </w:r>
      <w:r>
        <w:rPr>
          <w:rFonts w:hint="eastAsia" w:ascii="仿宋" w:hAnsi="仿宋" w:eastAsia="仿宋"/>
          <w:color w:val="000000"/>
          <w:sz w:val="30"/>
          <w:szCs w:val="24"/>
        </w:rPr>
        <w:t>，掌握真实准确的基础数据，完善</w:t>
      </w:r>
      <w:r>
        <w:rPr>
          <w:rFonts w:hint="eastAsia" w:ascii="仿宋" w:hAnsi="仿宋" w:eastAsia="仿宋"/>
          <w:color w:val="000000"/>
          <w:sz w:val="30"/>
          <w:szCs w:val="24"/>
          <w:lang w:eastAsia="zh-CN"/>
        </w:rPr>
        <w:t>镇内</w:t>
      </w:r>
      <w:r>
        <w:rPr>
          <w:rFonts w:hint="eastAsia" w:ascii="仿宋" w:hAnsi="仿宋" w:eastAsia="仿宋"/>
          <w:color w:val="000000"/>
          <w:sz w:val="30"/>
          <w:szCs w:val="24"/>
        </w:rPr>
        <w:t>调查、监测和统计制度等方面发挥了作用，隆尧县</w:t>
      </w:r>
      <w:r>
        <w:rPr>
          <w:rFonts w:hint="eastAsia" w:ascii="仿宋" w:hAnsi="仿宋" w:eastAsia="仿宋"/>
          <w:color w:val="000000"/>
          <w:sz w:val="30"/>
          <w:szCs w:val="24"/>
          <w:lang w:eastAsia="zh-CN"/>
        </w:rPr>
        <w:t>魏家庄镇人民政府</w:t>
      </w:r>
      <w:r>
        <w:rPr>
          <w:rFonts w:hint="eastAsia" w:ascii="仿宋" w:hAnsi="仿宋" w:eastAsia="仿宋"/>
          <w:color w:val="000000"/>
          <w:sz w:val="30"/>
          <w:szCs w:val="24"/>
        </w:rPr>
        <w:t>编制了项目绩效评价报告，但存在绩效指标体系有待完善，绩效目标不明确、目标细化程度不足，项目预算执行率不高等现象。</w:t>
      </w:r>
    </w:p>
    <w:p w14:paraId="14131ED6">
      <w:pPr>
        <w:widowControl/>
        <w:spacing w:line="480" w:lineRule="exact"/>
        <w:jc w:val="left"/>
        <w:rPr>
          <w:rFonts w:ascii="宋体" w:hAnsi="宋体" w:eastAsia="宋体" w:cs="宋体"/>
          <w:b/>
          <w:color w:val="000000"/>
          <w:kern w:val="0"/>
          <w:sz w:val="44"/>
          <w:szCs w:val="44"/>
          <w:shd w:val="clear" w:color="auto" w:fill="FFFFFF"/>
        </w:rPr>
      </w:pPr>
      <w:r>
        <w:rPr>
          <w:rFonts w:hint="eastAsia" w:ascii="仿宋" w:hAnsi="仿宋" w:eastAsia="仿宋" w:cs="仿宋"/>
          <w:kern w:val="0"/>
          <w:sz w:val="32"/>
          <w:szCs w:val="32"/>
          <w:shd w:val="clear" w:color="auto" w:fill="FFFFFF"/>
        </w:rPr>
        <w:t>附件7：</w:t>
      </w:r>
    </w:p>
    <w:p w14:paraId="03E4BEF8">
      <w:pPr>
        <w:spacing w:line="480" w:lineRule="exact"/>
        <w:jc w:val="center"/>
        <w:rPr>
          <w:rFonts w:ascii="仿宋" w:hAnsi="仿宋" w:eastAsia="仿宋" w:cs="仿宋"/>
          <w:sz w:val="32"/>
          <w:szCs w:val="32"/>
        </w:rPr>
      </w:pPr>
      <w:r>
        <w:rPr>
          <w:rFonts w:hint="eastAsia" w:ascii="宋体" w:hAnsi="宋体"/>
          <w:b/>
          <w:sz w:val="44"/>
          <w:szCs w:val="44"/>
        </w:rPr>
        <w:t>部门整体支出绩效评价</w:t>
      </w:r>
      <w:r>
        <w:rPr>
          <w:rFonts w:hint="eastAsia" w:ascii="宋体" w:hAnsi="宋体" w:eastAsia="宋体" w:cs="宋体"/>
          <w:b/>
          <w:color w:val="000000"/>
          <w:kern w:val="0"/>
          <w:sz w:val="44"/>
          <w:szCs w:val="44"/>
          <w:shd w:val="clear" w:color="auto" w:fill="FFFFFF"/>
        </w:rPr>
        <w:t>指标体系评分表</w:t>
      </w:r>
    </w:p>
    <w:tbl>
      <w:tblPr>
        <w:tblStyle w:val="12"/>
        <w:tblW w:w="937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79"/>
        <w:gridCol w:w="743"/>
        <w:gridCol w:w="1275"/>
        <w:gridCol w:w="3436"/>
        <w:gridCol w:w="2373"/>
        <w:gridCol w:w="764"/>
      </w:tblGrid>
      <w:tr w14:paraId="6BC96CD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9"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14:paraId="33C42679">
            <w:pPr>
              <w:widowControl/>
              <w:spacing w:line="240" w:lineRule="exact"/>
              <w:jc w:val="center"/>
              <w:rPr>
                <w:b/>
              </w:rPr>
            </w:pPr>
            <w:r>
              <w:rPr>
                <w:rFonts w:ascii="仿宋_GB2312" w:hAnsi="新宋体" w:eastAsia="仿宋_GB2312" w:cs="仿宋_GB2312"/>
                <w:b/>
                <w:kern w:val="0"/>
                <w:sz w:val="24"/>
                <w:szCs w:val="24"/>
              </w:rPr>
              <w:t>一级指标</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615BE571">
            <w:pPr>
              <w:widowControl/>
              <w:spacing w:line="240" w:lineRule="exact"/>
              <w:jc w:val="center"/>
              <w:rPr>
                <w:b/>
              </w:rPr>
            </w:pPr>
            <w:r>
              <w:rPr>
                <w:rFonts w:ascii="仿宋_GB2312" w:hAnsi="新宋体" w:eastAsia="仿宋_GB2312" w:cs="仿宋_GB2312"/>
                <w:b/>
                <w:kern w:val="0"/>
                <w:sz w:val="24"/>
                <w:szCs w:val="24"/>
              </w:rPr>
              <w:t>二级指标</w:t>
            </w:r>
          </w:p>
        </w:tc>
        <w:tc>
          <w:tcPr>
            <w:tcW w:w="4711" w:type="dxa"/>
            <w:gridSpan w:val="2"/>
            <w:tcBorders>
              <w:top w:val="single" w:color="000000" w:sz="4" w:space="0"/>
              <w:left w:val="single" w:color="000000" w:sz="4" w:space="0"/>
              <w:bottom w:val="single" w:color="000000" w:sz="4" w:space="0"/>
              <w:right w:val="single" w:color="auto" w:sz="4" w:space="0"/>
            </w:tcBorders>
            <w:vAlign w:val="center"/>
          </w:tcPr>
          <w:p w14:paraId="5727B526">
            <w:pPr>
              <w:widowControl/>
              <w:spacing w:line="240" w:lineRule="exact"/>
              <w:jc w:val="center"/>
              <w:rPr>
                <w:b/>
              </w:rPr>
            </w:pPr>
            <w:r>
              <w:rPr>
                <w:rFonts w:ascii="仿宋_GB2312" w:hAnsi="新宋体" w:eastAsia="仿宋_GB2312" w:cs="仿宋_GB2312"/>
                <w:b/>
                <w:kern w:val="0"/>
                <w:sz w:val="24"/>
                <w:szCs w:val="24"/>
              </w:rPr>
              <w:t>三级指标</w:t>
            </w:r>
          </w:p>
        </w:tc>
        <w:tc>
          <w:tcPr>
            <w:tcW w:w="2373" w:type="dxa"/>
            <w:vMerge w:val="restart"/>
            <w:tcBorders>
              <w:top w:val="single" w:color="000000" w:sz="4" w:space="0"/>
              <w:left w:val="single" w:color="auto" w:sz="4" w:space="0"/>
              <w:bottom w:val="single" w:color="000000" w:sz="4" w:space="0"/>
              <w:right w:val="single" w:color="auto" w:sz="4" w:space="0"/>
            </w:tcBorders>
            <w:vAlign w:val="center"/>
          </w:tcPr>
          <w:p w14:paraId="31EBD2FD">
            <w:pPr>
              <w:widowControl/>
              <w:spacing w:line="240" w:lineRule="exact"/>
              <w:jc w:val="center"/>
              <w:rPr>
                <w:b/>
              </w:rPr>
            </w:pPr>
            <w:r>
              <w:rPr>
                <w:rFonts w:ascii="仿宋_GB2312" w:hAnsi="新宋体" w:eastAsia="仿宋_GB2312" w:cs="仿宋_GB2312"/>
                <w:b/>
                <w:kern w:val="0"/>
                <w:sz w:val="24"/>
                <w:szCs w:val="24"/>
              </w:rPr>
              <w:t>评分标准</w:t>
            </w:r>
          </w:p>
        </w:tc>
        <w:tc>
          <w:tcPr>
            <w:tcW w:w="764" w:type="dxa"/>
            <w:vMerge w:val="restart"/>
            <w:tcBorders>
              <w:top w:val="single" w:color="000000" w:sz="4" w:space="0"/>
              <w:left w:val="single" w:color="auto" w:sz="4" w:space="0"/>
              <w:bottom w:val="single" w:color="000000" w:sz="4" w:space="0"/>
              <w:right w:val="single" w:color="auto" w:sz="4" w:space="0"/>
            </w:tcBorders>
            <w:vAlign w:val="center"/>
          </w:tcPr>
          <w:p w14:paraId="0ED50421">
            <w:pPr>
              <w:widowControl/>
              <w:spacing w:line="240" w:lineRule="exact"/>
              <w:jc w:val="left"/>
              <w:rPr>
                <w:b/>
              </w:rPr>
            </w:pPr>
            <w:r>
              <w:rPr>
                <w:rFonts w:ascii="仿宋_GB2312" w:hAnsi="新宋体" w:eastAsia="仿宋_GB2312" w:cs="仿宋_GB2312"/>
                <w:b/>
                <w:kern w:val="0"/>
                <w:sz w:val="24"/>
                <w:szCs w:val="24"/>
              </w:rPr>
              <w:t>得分</w:t>
            </w:r>
          </w:p>
        </w:tc>
      </w:tr>
      <w:tr w14:paraId="0AFAB26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3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1F3F8776"/>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5CAC8930"/>
        </w:tc>
        <w:tc>
          <w:tcPr>
            <w:tcW w:w="1275" w:type="dxa"/>
            <w:tcBorders>
              <w:top w:val="single" w:color="000000" w:sz="4" w:space="0"/>
              <w:left w:val="single" w:color="000000" w:sz="4" w:space="0"/>
              <w:bottom w:val="single" w:color="000000" w:sz="4" w:space="0"/>
              <w:right w:val="single" w:color="auto" w:sz="4" w:space="0"/>
            </w:tcBorders>
            <w:vAlign w:val="center"/>
          </w:tcPr>
          <w:p w14:paraId="50C45E41">
            <w:pPr>
              <w:widowControl/>
              <w:spacing w:line="240" w:lineRule="exact"/>
              <w:jc w:val="center"/>
              <w:rPr>
                <w:b/>
              </w:rPr>
            </w:pPr>
            <w:r>
              <w:rPr>
                <w:rFonts w:ascii="仿宋_GB2312" w:hAnsi="新宋体" w:eastAsia="仿宋_GB2312" w:cs="仿宋_GB2312"/>
                <w:b/>
                <w:kern w:val="0"/>
                <w:sz w:val="24"/>
                <w:szCs w:val="24"/>
              </w:rPr>
              <w:t>指标名称</w:t>
            </w:r>
          </w:p>
        </w:tc>
        <w:tc>
          <w:tcPr>
            <w:tcW w:w="3436" w:type="dxa"/>
            <w:tcBorders>
              <w:top w:val="single" w:color="000000" w:sz="4" w:space="0"/>
              <w:left w:val="single" w:color="auto" w:sz="4" w:space="0"/>
              <w:bottom w:val="single" w:color="000000" w:sz="4" w:space="0"/>
              <w:right w:val="single" w:color="auto" w:sz="4" w:space="0"/>
            </w:tcBorders>
            <w:vAlign w:val="center"/>
          </w:tcPr>
          <w:p w14:paraId="551D1BC9">
            <w:pPr>
              <w:widowControl/>
              <w:spacing w:line="240" w:lineRule="exact"/>
              <w:jc w:val="center"/>
              <w:rPr>
                <w:b/>
              </w:rPr>
            </w:pPr>
            <w:r>
              <w:rPr>
                <w:rFonts w:ascii="仿宋_GB2312" w:hAnsi="新宋体" w:eastAsia="仿宋_GB2312" w:cs="仿宋_GB2312"/>
                <w:b/>
                <w:kern w:val="0"/>
                <w:sz w:val="24"/>
                <w:szCs w:val="24"/>
              </w:rPr>
              <w:t>指标解释说明</w:t>
            </w:r>
          </w:p>
        </w:tc>
        <w:tc>
          <w:tcPr>
            <w:tcW w:w="2373" w:type="dxa"/>
            <w:vMerge w:val="continue"/>
            <w:tcBorders>
              <w:top w:val="single" w:color="000000" w:sz="4" w:space="0"/>
              <w:left w:val="single" w:color="auto" w:sz="4" w:space="0"/>
              <w:bottom w:val="single" w:color="000000" w:sz="4" w:space="0"/>
              <w:right w:val="single" w:color="auto" w:sz="4" w:space="0"/>
            </w:tcBorders>
            <w:vAlign w:val="center"/>
          </w:tcPr>
          <w:p w14:paraId="59A8CF1E"/>
        </w:tc>
        <w:tc>
          <w:tcPr>
            <w:tcW w:w="764" w:type="dxa"/>
            <w:vMerge w:val="continue"/>
            <w:tcBorders>
              <w:top w:val="single" w:color="000000" w:sz="4" w:space="0"/>
              <w:left w:val="single" w:color="auto" w:sz="4" w:space="0"/>
              <w:bottom w:val="single" w:color="000000" w:sz="4" w:space="0"/>
              <w:right w:val="single" w:color="auto" w:sz="4" w:space="0"/>
            </w:tcBorders>
            <w:vAlign w:val="center"/>
          </w:tcPr>
          <w:p w14:paraId="797BEED5"/>
        </w:tc>
      </w:tr>
      <w:tr w14:paraId="2A712FB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14:paraId="2C056E79">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投入（10）</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59A2B2FB">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绩效目标设定情况</w:t>
            </w:r>
          </w:p>
          <w:p w14:paraId="7426A10F">
            <w:pPr>
              <w:widowControl/>
              <w:spacing w:line="240" w:lineRule="exact"/>
              <w:jc w:val="left"/>
              <w:rPr>
                <w:rFonts w:hint="eastAsia" w:ascii="仿宋_GB2312" w:hAnsi="仿宋_GB2312" w:eastAsia="仿宋_GB2312" w:cs="仿宋_GB2312"/>
                <w:color w:val="FF0000"/>
                <w:szCs w:val="21"/>
              </w:rPr>
            </w:pPr>
            <w:r>
              <w:rPr>
                <w:rFonts w:hint="eastAsia" w:ascii="仿宋_GB2312" w:hAnsi="仿宋_GB2312" w:eastAsia="仿宋_GB2312" w:cs="仿宋_GB2312"/>
                <w:kern w:val="0"/>
                <w:szCs w:val="21"/>
              </w:rPr>
              <w:t>（5分）</w:t>
            </w:r>
          </w:p>
        </w:tc>
        <w:tc>
          <w:tcPr>
            <w:tcW w:w="1275" w:type="dxa"/>
            <w:tcBorders>
              <w:top w:val="single" w:color="000000" w:sz="4" w:space="0"/>
              <w:left w:val="single" w:color="000000" w:sz="4" w:space="0"/>
              <w:bottom w:val="single" w:color="auto" w:sz="4" w:space="0"/>
              <w:right w:val="single" w:color="auto" w:sz="4" w:space="0"/>
            </w:tcBorders>
            <w:vAlign w:val="center"/>
          </w:tcPr>
          <w:p w14:paraId="5AD8BFCB">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职责明确 （1分）</w:t>
            </w:r>
          </w:p>
        </w:tc>
        <w:tc>
          <w:tcPr>
            <w:tcW w:w="3436" w:type="dxa"/>
            <w:tcBorders>
              <w:top w:val="single" w:color="000000" w:sz="4" w:space="0"/>
              <w:left w:val="single" w:color="auto" w:sz="4" w:space="0"/>
              <w:bottom w:val="single" w:color="auto" w:sz="4" w:space="0"/>
              <w:right w:val="single" w:color="auto" w:sz="4" w:space="0"/>
            </w:tcBorders>
            <w:vAlign w:val="center"/>
          </w:tcPr>
          <w:p w14:paraId="31002D35">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部门的职责设定是否符合“三定”方案中所赋予的职责，用以反映和评价部门工作的目的性与计划性。</w:t>
            </w:r>
          </w:p>
        </w:tc>
        <w:tc>
          <w:tcPr>
            <w:tcW w:w="2373" w:type="dxa"/>
            <w:tcBorders>
              <w:top w:val="single" w:color="000000" w:sz="4" w:space="0"/>
              <w:left w:val="single" w:color="auto" w:sz="4" w:space="0"/>
              <w:bottom w:val="single" w:color="auto" w:sz="4" w:space="0"/>
              <w:right w:val="single" w:color="auto" w:sz="4" w:space="0"/>
            </w:tcBorders>
            <w:vAlign w:val="center"/>
          </w:tcPr>
          <w:p w14:paraId="0BBFA57D">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符合（1）；</w:t>
            </w:r>
          </w:p>
          <w:p w14:paraId="0728A97E">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不符合（0）。</w:t>
            </w:r>
          </w:p>
        </w:tc>
        <w:tc>
          <w:tcPr>
            <w:tcW w:w="764" w:type="dxa"/>
            <w:tcBorders>
              <w:top w:val="single" w:color="000000" w:sz="4" w:space="0"/>
              <w:left w:val="single" w:color="auto" w:sz="4" w:space="0"/>
              <w:bottom w:val="single" w:color="auto" w:sz="4" w:space="0"/>
              <w:right w:val="single" w:color="000000" w:sz="4" w:space="0"/>
            </w:tcBorders>
            <w:vAlign w:val="center"/>
          </w:tcPr>
          <w:p w14:paraId="3DDEF3B2">
            <w:pPr>
              <w:widowControl/>
              <w:spacing w:line="240" w:lineRule="exact"/>
              <w:jc w:val="left"/>
              <w:rPr>
                <w:rFonts w:hint="eastAsia" w:eastAsia="宋体"/>
                <w:szCs w:val="21"/>
                <w:lang w:val="en-US" w:eastAsia="zh-CN"/>
              </w:rPr>
            </w:pPr>
            <w:r>
              <w:rPr>
                <w:rFonts w:hint="eastAsia"/>
                <w:szCs w:val="21"/>
                <w:lang w:val="en-US" w:eastAsia="zh-CN"/>
              </w:rPr>
              <w:t>1</w:t>
            </w:r>
          </w:p>
        </w:tc>
      </w:tr>
      <w:tr w14:paraId="203938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3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19086E0A"/>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54D061FB"/>
        </w:tc>
        <w:tc>
          <w:tcPr>
            <w:tcW w:w="1275" w:type="dxa"/>
            <w:tcBorders>
              <w:top w:val="single" w:color="000000" w:sz="4" w:space="0"/>
              <w:left w:val="single" w:color="000000" w:sz="4" w:space="0"/>
              <w:bottom w:val="single" w:color="auto" w:sz="4" w:space="0"/>
              <w:right w:val="single" w:color="auto" w:sz="4" w:space="0"/>
            </w:tcBorders>
            <w:vAlign w:val="center"/>
          </w:tcPr>
          <w:p w14:paraId="105AA11B">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活动合规性（2分）</w:t>
            </w:r>
          </w:p>
        </w:tc>
        <w:tc>
          <w:tcPr>
            <w:tcW w:w="3436" w:type="dxa"/>
            <w:tcBorders>
              <w:top w:val="single" w:color="000000" w:sz="4" w:space="0"/>
              <w:left w:val="single" w:color="auto" w:sz="4" w:space="0"/>
              <w:bottom w:val="single" w:color="auto" w:sz="4" w:space="0"/>
              <w:right w:val="single" w:color="auto" w:sz="4" w:space="0"/>
            </w:tcBorders>
            <w:vAlign w:val="center"/>
          </w:tcPr>
          <w:p w14:paraId="653DA9D2">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部门的活动是否在职责范围之内并符合部门中长期规划，用以反映和评价部门活动目标与部门履职、年度工作任务的相符性情况。</w:t>
            </w:r>
          </w:p>
          <w:p w14:paraId="3506EA9E">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评价要点：</w:t>
            </w:r>
          </w:p>
          <w:p w14:paraId="3B349F2C">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1.部门活动的设定在部门所确定的职责范围之内；</w:t>
            </w:r>
          </w:p>
          <w:p w14:paraId="4640E767">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2.部门活动符合市委、市政府的发展规划及本部门的年度工作安排与发展规划。</w:t>
            </w:r>
          </w:p>
        </w:tc>
        <w:tc>
          <w:tcPr>
            <w:tcW w:w="2373" w:type="dxa"/>
            <w:tcBorders>
              <w:top w:val="single" w:color="000000" w:sz="4" w:space="0"/>
              <w:left w:val="single" w:color="auto" w:sz="4" w:space="0"/>
              <w:bottom w:val="single" w:color="auto" w:sz="4" w:space="0"/>
              <w:right w:val="single" w:color="auto" w:sz="4" w:space="0"/>
            </w:tcBorders>
            <w:vAlign w:val="center"/>
          </w:tcPr>
          <w:p w14:paraId="55F6BCDA">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全部符合（2）；</w:t>
            </w:r>
          </w:p>
          <w:p w14:paraId="18869799">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其中一项不符合（0）。</w:t>
            </w:r>
          </w:p>
        </w:tc>
        <w:tc>
          <w:tcPr>
            <w:tcW w:w="764" w:type="dxa"/>
            <w:tcBorders>
              <w:top w:val="single" w:color="000000" w:sz="4" w:space="0"/>
              <w:left w:val="single" w:color="auto" w:sz="4" w:space="0"/>
              <w:bottom w:val="single" w:color="auto" w:sz="4" w:space="0"/>
              <w:right w:val="single" w:color="000000" w:sz="4" w:space="0"/>
            </w:tcBorders>
            <w:vAlign w:val="center"/>
          </w:tcPr>
          <w:p w14:paraId="34455C43">
            <w:pPr>
              <w:widowControl/>
              <w:spacing w:line="240" w:lineRule="exact"/>
              <w:jc w:val="left"/>
              <w:rPr>
                <w:rFonts w:hint="eastAsia" w:eastAsia="宋体"/>
                <w:szCs w:val="21"/>
                <w:lang w:val="en-US" w:eastAsia="zh-CN"/>
              </w:rPr>
            </w:pPr>
            <w:r>
              <w:rPr>
                <w:rFonts w:hint="eastAsia"/>
                <w:szCs w:val="21"/>
                <w:lang w:val="en-US" w:eastAsia="zh-CN"/>
              </w:rPr>
              <w:t>2</w:t>
            </w:r>
          </w:p>
        </w:tc>
      </w:tr>
      <w:tr w14:paraId="7F7C72D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7441DC42"/>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03FEC292"/>
        </w:tc>
        <w:tc>
          <w:tcPr>
            <w:tcW w:w="1275" w:type="dxa"/>
            <w:tcBorders>
              <w:top w:val="single" w:color="000000" w:sz="4" w:space="0"/>
              <w:left w:val="single" w:color="000000" w:sz="4" w:space="0"/>
              <w:bottom w:val="single" w:color="auto" w:sz="4" w:space="0"/>
              <w:right w:val="single" w:color="auto" w:sz="4" w:space="0"/>
            </w:tcBorders>
            <w:vAlign w:val="center"/>
          </w:tcPr>
          <w:p w14:paraId="08919C3B">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活动合理性（2分）</w:t>
            </w:r>
          </w:p>
        </w:tc>
        <w:tc>
          <w:tcPr>
            <w:tcW w:w="3436" w:type="dxa"/>
            <w:tcBorders>
              <w:top w:val="single" w:color="000000" w:sz="4" w:space="0"/>
              <w:left w:val="single" w:color="auto" w:sz="4" w:space="0"/>
              <w:bottom w:val="single" w:color="auto" w:sz="4" w:space="0"/>
              <w:right w:val="single" w:color="auto" w:sz="4" w:space="0"/>
            </w:tcBorders>
            <w:vAlign w:val="center"/>
          </w:tcPr>
          <w:p w14:paraId="3434E944">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部门所设立的活动是否明确合理、活动的关键性指标设置是否可衡量，用以反映和评价部门活动目标设定的合理性。</w:t>
            </w:r>
          </w:p>
          <w:p w14:paraId="4D43D1B2">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评价要点：</w:t>
            </w:r>
          </w:p>
          <w:p w14:paraId="5C6EB6C7">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1.活动目标的设定是可量化的，可通过清晰、可衡量的关键指标值予以体现；</w:t>
            </w:r>
          </w:p>
          <w:p w14:paraId="3984B6CA">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2.在活动目标设定时，将关键指标明细分解为具体的达成目标与工作任务。</w:t>
            </w:r>
          </w:p>
        </w:tc>
        <w:tc>
          <w:tcPr>
            <w:tcW w:w="2373" w:type="dxa"/>
            <w:tcBorders>
              <w:top w:val="single" w:color="000000" w:sz="4" w:space="0"/>
              <w:left w:val="single" w:color="auto" w:sz="4" w:space="0"/>
              <w:bottom w:val="single" w:color="auto" w:sz="4" w:space="0"/>
              <w:right w:val="single" w:color="auto" w:sz="4" w:space="0"/>
            </w:tcBorders>
            <w:vAlign w:val="center"/>
          </w:tcPr>
          <w:p w14:paraId="142BE33A">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全部符合（2）；</w:t>
            </w:r>
          </w:p>
          <w:p w14:paraId="75D983B3">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其中一项不符合（0）。</w:t>
            </w:r>
          </w:p>
        </w:tc>
        <w:tc>
          <w:tcPr>
            <w:tcW w:w="764" w:type="dxa"/>
            <w:tcBorders>
              <w:top w:val="single" w:color="000000" w:sz="4" w:space="0"/>
              <w:left w:val="single" w:color="auto" w:sz="4" w:space="0"/>
              <w:bottom w:val="single" w:color="auto" w:sz="4" w:space="0"/>
              <w:right w:val="single" w:color="000000" w:sz="4" w:space="0"/>
            </w:tcBorders>
            <w:vAlign w:val="center"/>
          </w:tcPr>
          <w:p w14:paraId="2B085955">
            <w:pPr>
              <w:widowControl/>
              <w:spacing w:line="240" w:lineRule="exact"/>
              <w:jc w:val="left"/>
              <w:rPr>
                <w:rFonts w:hint="eastAsia" w:eastAsia="宋体"/>
                <w:szCs w:val="21"/>
                <w:lang w:val="en-US" w:eastAsia="zh-CN"/>
              </w:rPr>
            </w:pPr>
            <w:r>
              <w:rPr>
                <w:rFonts w:hint="eastAsia"/>
                <w:szCs w:val="21"/>
                <w:lang w:val="en-US" w:eastAsia="zh-CN"/>
              </w:rPr>
              <w:t>2</w:t>
            </w:r>
          </w:p>
        </w:tc>
      </w:tr>
      <w:tr w14:paraId="565326B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582F0AE0"/>
        </w:tc>
        <w:tc>
          <w:tcPr>
            <w:tcW w:w="743" w:type="dxa"/>
            <w:vMerge w:val="restart"/>
            <w:tcBorders>
              <w:top w:val="single" w:color="000000" w:sz="4" w:space="0"/>
              <w:left w:val="single" w:color="000000" w:sz="4" w:space="0"/>
              <w:right w:val="single" w:color="000000" w:sz="4" w:space="0"/>
            </w:tcBorders>
            <w:vAlign w:val="center"/>
          </w:tcPr>
          <w:p w14:paraId="090CDE1B">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预算配置情况(5分)</w:t>
            </w:r>
          </w:p>
        </w:tc>
        <w:tc>
          <w:tcPr>
            <w:tcW w:w="1275" w:type="dxa"/>
            <w:tcBorders>
              <w:top w:val="single" w:color="auto" w:sz="4" w:space="0"/>
              <w:left w:val="single" w:color="000000" w:sz="4" w:space="0"/>
              <w:right w:val="single" w:color="auto" w:sz="4" w:space="0"/>
            </w:tcBorders>
            <w:vAlign w:val="center"/>
          </w:tcPr>
          <w:p w14:paraId="53693522">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在职人员控制率（1分）</w:t>
            </w:r>
          </w:p>
        </w:tc>
        <w:tc>
          <w:tcPr>
            <w:tcW w:w="3436" w:type="dxa"/>
            <w:tcBorders>
              <w:top w:val="single" w:color="auto" w:sz="4" w:space="0"/>
              <w:left w:val="single" w:color="auto" w:sz="4" w:space="0"/>
              <w:right w:val="single" w:color="auto" w:sz="4" w:space="0"/>
            </w:tcBorders>
            <w:vAlign w:val="center"/>
          </w:tcPr>
          <w:p w14:paraId="2B9CFC17">
            <w:pPr>
              <w:widowControl/>
              <w:pBdr>
                <w:top w:val="none" w:color="auto" w:sz="0" w:space="0"/>
                <w:left w:val="none" w:color="auto" w:sz="0" w:space="0"/>
                <w:bottom w:val="none" w:color="auto" w:sz="0" w:space="0"/>
                <w:right w:val="none" w:color="auto"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部门本年度实际在职人员数与编制数的比率，用以反映和评价部门对人员成本的控制程度。</w:t>
            </w:r>
          </w:p>
          <w:p w14:paraId="36EBF5F0">
            <w:pPr>
              <w:widowControl/>
              <w:pBdr>
                <w:top w:val="none" w:color="auto" w:sz="0" w:space="0"/>
                <w:left w:val="none" w:color="auto" w:sz="0" w:space="0"/>
                <w:bottom w:val="none" w:color="auto" w:sz="0" w:space="0"/>
                <w:right w:val="none" w:color="auto"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在职人员控制率=（在职人员数/编制数）×100%。</w:t>
            </w:r>
          </w:p>
          <w:p w14:paraId="43076057">
            <w:pPr>
              <w:widowControl/>
              <w:pBdr>
                <w:top w:val="none" w:color="auto" w:sz="0" w:space="0"/>
                <w:left w:val="none" w:color="auto" w:sz="0" w:space="0"/>
                <w:bottom w:val="none" w:color="auto" w:sz="0" w:space="0"/>
                <w:right w:val="none" w:color="auto"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在职人员数：部门实际在职人数，以财政部确定的部门决算编制口径为准，由编制部门和人劳部门批复同意的临聘人员除外。</w:t>
            </w:r>
          </w:p>
          <w:p w14:paraId="68FDA974">
            <w:pPr>
              <w:widowControl/>
              <w:pBdr>
                <w:top w:val="none" w:color="auto" w:sz="0" w:space="0"/>
                <w:left w:val="none" w:color="auto" w:sz="0" w:space="0"/>
                <w:bottom w:val="none" w:color="auto" w:sz="0" w:space="0"/>
                <w:right w:val="none" w:color="auto"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编制数：机构编制部门核定批复的部门人员编制数。</w:t>
            </w:r>
          </w:p>
        </w:tc>
        <w:tc>
          <w:tcPr>
            <w:tcW w:w="2373" w:type="dxa"/>
            <w:tcBorders>
              <w:top w:val="single" w:color="auto" w:sz="4" w:space="0"/>
              <w:left w:val="single" w:color="auto" w:sz="4" w:space="0"/>
              <w:right w:val="single" w:color="auto" w:sz="4" w:space="0"/>
            </w:tcBorders>
            <w:vAlign w:val="center"/>
          </w:tcPr>
          <w:p w14:paraId="3284E126">
            <w:pPr>
              <w:widowControl/>
              <w:pBdr>
                <w:top w:val="none" w:color="auto" w:sz="0" w:space="0"/>
                <w:left w:val="none" w:color="auto" w:sz="0" w:space="0"/>
                <w:bottom w:val="none" w:color="auto" w:sz="0" w:space="0"/>
                <w:right w:val="none" w:color="auto"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1.在职人员控制率小于或等于100%的，得满分；</w:t>
            </w:r>
          </w:p>
          <w:p w14:paraId="3787296C">
            <w:pPr>
              <w:widowControl/>
              <w:pBdr>
                <w:top w:val="none" w:color="auto" w:sz="0" w:space="0"/>
                <w:left w:val="none" w:color="auto" w:sz="0" w:space="0"/>
                <w:bottom w:val="none" w:color="auto" w:sz="0" w:space="0"/>
                <w:right w:val="none" w:color="auto"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2.在职人员控制率大于或等于115%的，得0分；</w:t>
            </w:r>
          </w:p>
          <w:p w14:paraId="7198677B">
            <w:pPr>
              <w:widowControl/>
              <w:pBdr>
                <w:top w:val="none" w:color="auto" w:sz="0" w:space="0"/>
                <w:left w:val="none" w:color="auto" w:sz="0" w:space="0"/>
                <w:bottom w:val="none" w:color="auto" w:sz="0" w:space="0"/>
                <w:right w:val="none" w:color="auto"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3.在职人员控制率在100%-115%之间的，在0分和满分之间计算确定：</w:t>
            </w:r>
          </w:p>
          <w:p w14:paraId="1575B8F5">
            <w:pPr>
              <w:widowControl/>
              <w:pBdr>
                <w:top w:val="none" w:color="auto" w:sz="0" w:space="0"/>
                <w:left w:val="none" w:color="auto" w:sz="0" w:space="0"/>
                <w:bottom w:val="none" w:color="auto" w:sz="0" w:space="0"/>
                <w:right w:val="none" w:color="auto"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得分=[max（在职人员控制率）－某部门在职人员控制率]/[max（在职人员控制率）－min（在职人员控制率）]×该指标分值。</w:t>
            </w:r>
          </w:p>
        </w:tc>
        <w:tc>
          <w:tcPr>
            <w:tcW w:w="764" w:type="dxa"/>
            <w:tcBorders>
              <w:top w:val="single" w:color="auto" w:sz="4" w:space="0"/>
              <w:left w:val="single" w:color="auto" w:sz="4" w:space="0"/>
              <w:bottom w:val="single" w:color="000000" w:sz="4" w:space="0"/>
              <w:right w:val="single" w:color="000000" w:sz="4" w:space="0"/>
            </w:tcBorders>
            <w:vAlign w:val="center"/>
          </w:tcPr>
          <w:p w14:paraId="61909906">
            <w:pPr>
              <w:widowControl/>
              <w:spacing w:line="240" w:lineRule="exact"/>
              <w:jc w:val="left"/>
              <w:rPr>
                <w:rFonts w:hint="eastAsia" w:eastAsia="宋体"/>
                <w:szCs w:val="21"/>
                <w:lang w:val="en-US" w:eastAsia="zh-CN"/>
              </w:rPr>
            </w:pPr>
            <w:r>
              <w:rPr>
                <w:rFonts w:hint="eastAsia"/>
                <w:szCs w:val="21"/>
                <w:lang w:val="en-US" w:eastAsia="zh-CN"/>
              </w:rPr>
              <w:t>1</w:t>
            </w:r>
          </w:p>
        </w:tc>
      </w:tr>
      <w:tr w14:paraId="2DA8162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restart"/>
            <w:tcBorders>
              <w:top w:val="single" w:color="000000" w:sz="4" w:space="0"/>
              <w:left w:val="single" w:color="000000" w:sz="4" w:space="0"/>
              <w:right w:val="single" w:color="000000" w:sz="4" w:space="0"/>
            </w:tcBorders>
            <w:vAlign w:val="center"/>
          </w:tcPr>
          <w:p w14:paraId="39F51906">
            <w:pPr>
              <w:spacing w:line="240" w:lineRule="exact"/>
              <w:rPr>
                <w:rFonts w:hint="eastAsia" w:ascii="仿宋_GB2312" w:hAnsi="仿宋_GB2312" w:eastAsia="仿宋_GB2312" w:cs="仿宋_GB2312"/>
                <w:szCs w:val="21"/>
              </w:rPr>
            </w:pPr>
          </w:p>
        </w:tc>
        <w:tc>
          <w:tcPr>
            <w:tcW w:w="743" w:type="dxa"/>
            <w:vMerge w:val="continue"/>
            <w:tcBorders>
              <w:left w:val="single" w:color="000000" w:sz="4" w:space="0"/>
              <w:right w:val="single" w:color="000000" w:sz="4" w:space="0"/>
            </w:tcBorders>
            <w:vAlign w:val="center"/>
          </w:tcPr>
          <w:p w14:paraId="5302A1D9"/>
        </w:tc>
        <w:tc>
          <w:tcPr>
            <w:tcW w:w="1275" w:type="dxa"/>
            <w:tcBorders>
              <w:top w:val="single" w:color="auto" w:sz="4" w:space="0"/>
              <w:left w:val="single" w:color="000000" w:sz="4" w:space="0"/>
              <w:right w:val="single" w:color="auto" w:sz="4" w:space="0"/>
            </w:tcBorders>
            <w:vAlign w:val="center"/>
          </w:tcPr>
          <w:p w14:paraId="0EC8447E">
            <w:pPr>
              <w:widowControl/>
              <w:spacing w:line="240" w:lineRule="exact"/>
              <w:jc w:val="left"/>
              <w:textAlignment w:val="center"/>
              <w:rPr>
                <w:rFonts w:hint="eastAsia" w:ascii="仿宋_GB2312" w:hAnsi="仿宋_GB2312" w:eastAsia="仿宋_GB2312" w:cs="仿宋_GB2312"/>
                <w:kern w:val="0"/>
                <w:szCs w:val="21"/>
              </w:rPr>
            </w:pP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变动率（2分）</w:t>
            </w:r>
          </w:p>
        </w:tc>
        <w:tc>
          <w:tcPr>
            <w:tcW w:w="3436" w:type="dxa"/>
            <w:tcBorders>
              <w:top w:val="single" w:color="auto" w:sz="4" w:space="0"/>
              <w:left w:val="single" w:color="auto" w:sz="4" w:space="0"/>
              <w:right w:val="single" w:color="auto" w:sz="4" w:space="0"/>
            </w:tcBorders>
            <w:vAlign w:val="center"/>
          </w:tcPr>
          <w:p w14:paraId="3F6222A5">
            <w:pPr>
              <w:widowControl/>
              <w:spacing w:line="240" w:lineRule="exact"/>
              <w:jc w:val="left"/>
              <w:textAlignment w:val="center"/>
              <w:rPr>
                <w:rFonts w:hint="eastAsia" w:ascii="仿宋_GB2312" w:hAnsi="仿宋_GB2312" w:eastAsia="仿宋_GB2312" w:cs="仿宋_GB2312"/>
                <w:kern w:val="0"/>
                <w:szCs w:val="21"/>
              </w:rPr>
            </w:pPr>
            <w:r>
              <w:rPr>
                <w:rFonts w:hint="eastAsia" w:ascii="仿宋_GB2312" w:hAnsi="仿宋_GB2312" w:eastAsia="仿宋_GB2312" w:cs="仿宋_GB2312"/>
                <w:color w:val="000000"/>
                <w:kern w:val="0"/>
                <w:szCs w:val="21"/>
              </w:rPr>
              <w:t>部门本年度</w:t>
            </w: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预算数与上年度</w:t>
            </w: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预算数的变动比率，用以反映和考核部门对控制重点行政成本的努力程度。</w:t>
            </w: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变动率=[（本年度</w:t>
            </w: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总额-上年度</w:t>
            </w: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总额）/上年度</w:t>
            </w: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总额]×100%。</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：年度预算安排的因公出国（境）费、公务车辆购置及运行费和公务招待费。</w:t>
            </w:r>
          </w:p>
        </w:tc>
        <w:tc>
          <w:tcPr>
            <w:tcW w:w="2373" w:type="dxa"/>
            <w:tcBorders>
              <w:top w:val="single" w:color="auto" w:sz="4" w:space="0"/>
              <w:left w:val="single" w:color="auto" w:sz="4" w:space="0"/>
              <w:right w:val="single" w:color="auto" w:sz="4" w:space="0"/>
            </w:tcBorders>
            <w:vAlign w:val="center"/>
          </w:tcPr>
          <w:p w14:paraId="381B1410">
            <w:pPr>
              <w:widowControl/>
              <w:pBdr>
                <w:top w:val="none" w:color="auto" w:sz="0" w:space="0"/>
                <w:left w:val="none" w:color="auto" w:sz="0" w:space="0"/>
                <w:bottom w:val="none" w:color="auto" w:sz="0" w:space="0"/>
                <w:right w:val="none" w:color="auto"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1.</w:t>
            </w: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变动率</w:t>
            </w:r>
            <w:r>
              <w:rPr>
                <w:rFonts w:hint="eastAsia" w:ascii="仿宋_GB2312" w:hAnsi="仿宋_GB2312" w:eastAsia="仿宋_GB2312" w:cs="仿宋_GB2312"/>
                <w:kern w:val="0"/>
                <w:szCs w:val="21"/>
              </w:rPr>
              <w:t>小于或等于-5%的，得满分；</w:t>
            </w:r>
          </w:p>
          <w:p w14:paraId="70E855A1">
            <w:pPr>
              <w:widowControl/>
              <w:pBdr>
                <w:top w:val="none" w:color="auto" w:sz="0" w:space="0"/>
                <w:left w:val="none" w:color="auto" w:sz="0" w:space="0"/>
                <w:bottom w:val="none" w:color="auto" w:sz="0" w:space="0"/>
                <w:right w:val="none" w:color="auto"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2.</w:t>
            </w: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变动率</w:t>
            </w:r>
            <w:r>
              <w:rPr>
                <w:rFonts w:hint="eastAsia" w:ascii="仿宋_GB2312" w:hAnsi="仿宋_GB2312" w:eastAsia="仿宋_GB2312" w:cs="仿宋_GB2312"/>
                <w:kern w:val="0"/>
                <w:szCs w:val="21"/>
              </w:rPr>
              <w:t>大于或等于10%的，得0分；</w:t>
            </w:r>
          </w:p>
          <w:p w14:paraId="67A54553">
            <w:pPr>
              <w:widowControl/>
              <w:pBdr>
                <w:top w:val="none" w:color="auto" w:sz="0" w:space="0"/>
                <w:left w:val="none" w:color="auto" w:sz="0" w:space="0"/>
                <w:bottom w:val="none" w:color="auto" w:sz="0" w:space="0"/>
                <w:right w:val="none" w:color="auto"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3.在职人员控制率在-5%-10%之间的，在0分和满分之间计算确定：</w:t>
            </w:r>
          </w:p>
          <w:p w14:paraId="4E6643D8">
            <w:pPr>
              <w:widowControl/>
              <w:spacing w:line="240" w:lineRule="exact"/>
              <w:jc w:val="left"/>
              <w:textAlignment w:val="center"/>
              <w:rPr>
                <w:rFonts w:hint="eastAsia" w:ascii="仿宋_GB2312" w:hAnsi="仿宋_GB2312" w:eastAsia="仿宋_GB2312" w:cs="仿宋_GB2312"/>
                <w:kern w:val="0"/>
                <w:szCs w:val="21"/>
              </w:rPr>
            </w:pPr>
            <w:r>
              <w:rPr>
                <w:rFonts w:hint="eastAsia" w:ascii="仿宋_GB2312" w:hAnsi="仿宋_GB2312" w:eastAsia="仿宋_GB2312" w:cs="仿宋_GB2312"/>
                <w:kern w:val="0"/>
                <w:szCs w:val="21"/>
              </w:rPr>
              <w:t>得分=[max（</w:t>
            </w: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变动率</w:t>
            </w:r>
            <w:r>
              <w:rPr>
                <w:rFonts w:hint="eastAsia" w:ascii="仿宋_GB2312" w:hAnsi="仿宋_GB2312" w:eastAsia="仿宋_GB2312" w:cs="仿宋_GB2312"/>
                <w:kern w:val="0"/>
                <w:szCs w:val="21"/>
              </w:rPr>
              <w:t>）－</w:t>
            </w: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变动率</w:t>
            </w:r>
            <w:r>
              <w:rPr>
                <w:rFonts w:hint="eastAsia" w:ascii="仿宋_GB2312" w:hAnsi="仿宋_GB2312" w:eastAsia="仿宋_GB2312" w:cs="仿宋_GB2312"/>
                <w:kern w:val="0"/>
                <w:szCs w:val="21"/>
              </w:rPr>
              <w:t>]/[max（</w:t>
            </w: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变动率</w:t>
            </w:r>
            <w:r>
              <w:rPr>
                <w:rFonts w:hint="eastAsia" w:ascii="仿宋_GB2312" w:hAnsi="仿宋_GB2312" w:eastAsia="仿宋_GB2312" w:cs="仿宋_GB2312"/>
                <w:kern w:val="0"/>
                <w:szCs w:val="21"/>
              </w:rPr>
              <w:t>）－min（</w:t>
            </w: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变动率</w:t>
            </w:r>
            <w:r>
              <w:rPr>
                <w:rFonts w:hint="eastAsia" w:ascii="仿宋_GB2312" w:hAnsi="仿宋_GB2312" w:eastAsia="仿宋_GB2312" w:cs="仿宋_GB2312"/>
                <w:kern w:val="0"/>
                <w:szCs w:val="21"/>
              </w:rPr>
              <w:t>）]×该指标分值。</w:t>
            </w:r>
          </w:p>
        </w:tc>
        <w:tc>
          <w:tcPr>
            <w:tcW w:w="764" w:type="dxa"/>
            <w:tcBorders>
              <w:top w:val="single" w:color="auto" w:sz="4" w:space="0"/>
              <w:left w:val="single" w:color="auto" w:sz="4" w:space="0"/>
              <w:bottom w:val="single" w:color="000000" w:sz="4" w:space="0"/>
              <w:right w:val="single" w:color="000000" w:sz="4" w:space="0"/>
            </w:tcBorders>
            <w:vAlign w:val="center"/>
          </w:tcPr>
          <w:p w14:paraId="6A41498E">
            <w:pPr>
              <w:widowControl/>
              <w:spacing w:line="240" w:lineRule="exact"/>
              <w:jc w:val="left"/>
              <w:rPr>
                <w:rFonts w:hint="eastAsia" w:eastAsia="宋体"/>
                <w:szCs w:val="21"/>
                <w:lang w:val="en-US" w:eastAsia="zh-CN"/>
              </w:rPr>
            </w:pPr>
            <w:r>
              <w:rPr>
                <w:rFonts w:hint="eastAsia"/>
                <w:szCs w:val="21"/>
                <w:lang w:val="en-US" w:eastAsia="zh-CN"/>
              </w:rPr>
              <w:t>2</w:t>
            </w:r>
          </w:p>
        </w:tc>
      </w:tr>
      <w:tr w14:paraId="45150D9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continue"/>
            <w:tcBorders>
              <w:left w:val="single" w:color="000000" w:sz="4" w:space="0"/>
              <w:bottom w:val="single" w:color="000000" w:sz="4" w:space="0"/>
              <w:right w:val="single" w:color="000000" w:sz="4" w:space="0"/>
            </w:tcBorders>
            <w:vAlign w:val="center"/>
          </w:tcPr>
          <w:p w14:paraId="0AB03E61"/>
        </w:tc>
        <w:tc>
          <w:tcPr>
            <w:tcW w:w="743" w:type="dxa"/>
            <w:vMerge w:val="continue"/>
            <w:tcBorders>
              <w:left w:val="single" w:color="000000" w:sz="4" w:space="0"/>
              <w:bottom w:val="single" w:color="000000" w:sz="4" w:space="0"/>
              <w:right w:val="single" w:color="000000" w:sz="4" w:space="0"/>
            </w:tcBorders>
            <w:vAlign w:val="center"/>
          </w:tcPr>
          <w:p w14:paraId="31D5E335"/>
        </w:tc>
        <w:tc>
          <w:tcPr>
            <w:tcW w:w="1275" w:type="dxa"/>
            <w:tcBorders>
              <w:top w:val="single" w:color="auto" w:sz="4" w:space="0"/>
              <w:left w:val="single" w:color="000000" w:sz="4" w:space="0"/>
              <w:right w:val="single" w:color="auto" w:sz="4" w:space="0"/>
            </w:tcBorders>
            <w:vAlign w:val="center"/>
          </w:tcPr>
          <w:p w14:paraId="2B186C78">
            <w:pPr>
              <w:widowControl/>
              <w:spacing w:line="240" w:lineRule="exact"/>
              <w:jc w:val="left"/>
              <w:textAlignment w:val="center"/>
              <w:rPr>
                <w:rFonts w:hint="eastAsia" w:ascii="仿宋_GB2312" w:hAnsi="仿宋_GB2312" w:eastAsia="仿宋_GB2312" w:cs="仿宋_GB2312"/>
                <w:kern w:val="0"/>
                <w:szCs w:val="21"/>
              </w:rPr>
            </w:pPr>
            <w:r>
              <w:rPr>
                <w:rFonts w:hint="eastAsia" w:ascii="仿宋_GB2312" w:hAnsi="仿宋_GB2312" w:eastAsia="仿宋_GB2312" w:cs="仿宋_GB2312"/>
                <w:color w:val="000000"/>
                <w:kern w:val="0"/>
                <w:szCs w:val="21"/>
              </w:rPr>
              <w:t>重点支出安排率（2分）</w:t>
            </w:r>
          </w:p>
        </w:tc>
        <w:tc>
          <w:tcPr>
            <w:tcW w:w="3436" w:type="dxa"/>
            <w:tcBorders>
              <w:top w:val="single" w:color="auto" w:sz="4" w:space="0"/>
              <w:left w:val="single" w:color="auto" w:sz="4" w:space="0"/>
              <w:right w:val="single" w:color="auto" w:sz="4" w:space="0"/>
            </w:tcBorders>
            <w:vAlign w:val="center"/>
          </w:tcPr>
          <w:p w14:paraId="534A482F">
            <w:pPr>
              <w:widowControl/>
              <w:spacing w:line="240" w:lineRule="exact"/>
              <w:jc w:val="left"/>
              <w:textAlignment w:val="center"/>
              <w:rPr>
                <w:rFonts w:hint="eastAsia" w:ascii="仿宋_GB2312" w:hAnsi="仿宋_GB2312" w:eastAsia="仿宋_GB2312" w:cs="仿宋_GB2312"/>
                <w:kern w:val="0"/>
                <w:szCs w:val="21"/>
              </w:rPr>
            </w:pPr>
            <w:r>
              <w:rPr>
                <w:rFonts w:hint="eastAsia" w:ascii="仿宋_GB2312" w:hAnsi="仿宋_GB2312" w:eastAsia="仿宋_GB2312" w:cs="仿宋_GB2312"/>
                <w:color w:val="000000"/>
                <w:kern w:val="0"/>
                <w:szCs w:val="21"/>
              </w:rPr>
              <w:t>部门本年度预算安排的重点项目支出与部门项目总支出的比率，用以反映和考核部门对履行主要职责或完成重点任务的保障程度。重点支出安排率=（重点项目支出/项目总支出）×100%。</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重点项目支出：部门（单位）年度预算安排的，与本部门履职和发展密切相关、具有明显社会和经济影响、党委政府关心或社会比较关注的项目支出总额。</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项目总支出：部门（单位）年度预算安排的项目支出总额。</w:t>
            </w:r>
          </w:p>
        </w:tc>
        <w:tc>
          <w:tcPr>
            <w:tcW w:w="2373" w:type="dxa"/>
            <w:tcBorders>
              <w:top w:val="single" w:color="auto" w:sz="4" w:space="0"/>
              <w:left w:val="single" w:color="auto" w:sz="4" w:space="0"/>
              <w:right w:val="single" w:color="auto" w:sz="4" w:space="0"/>
            </w:tcBorders>
            <w:vAlign w:val="center"/>
          </w:tcPr>
          <w:p w14:paraId="673002FF">
            <w:pPr>
              <w:widowControl/>
              <w:pBdr>
                <w:top w:val="none" w:color="auto" w:sz="0" w:space="0"/>
                <w:left w:val="none" w:color="auto" w:sz="0" w:space="0"/>
                <w:bottom w:val="none" w:color="auto" w:sz="0" w:space="0"/>
                <w:right w:val="none" w:color="auto"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1.</w:t>
            </w:r>
            <w:r>
              <w:rPr>
                <w:rFonts w:hint="eastAsia" w:ascii="仿宋_GB2312" w:hAnsi="仿宋_GB2312" w:eastAsia="仿宋_GB2312" w:cs="仿宋_GB2312"/>
                <w:color w:val="000000"/>
                <w:kern w:val="0"/>
                <w:szCs w:val="21"/>
              </w:rPr>
              <w:t>重点支出安排率</w:t>
            </w:r>
            <w:r>
              <w:rPr>
                <w:rFonts w:hint="eastAsia" w:ascii="仿宋_GB2312" w:hAnsi="仿宋_GB2312" w:eastAsia="仿宋_GB2312" w:cs="仿宋_GB2312"/>
                <w:kern w:val="0"/>
                <w:szCs w:val="21"/>
              </w:rPr>
              <w:t>大于或等于95%的，得满分；</w:t>
            </w:r>
          </w:p>
          <w:p w14:paraId="1F35FD75">
            <w:pPr>
              <w:widowControl/>
              <w:pBdr>
                <w:top w:val="none" w:color="auto" w:sz="0" w:space="0"/>
                <w:left w:val="none" w:color="auto" w:sz="0" w:space="0"/>
                <w:bottom w:val="none" w:color="auto" w:sz="0" w:space="0"/>
                <w:right w:val="none" w:color="auto"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2.</w:t>
            </w:r>
            <w:r>
              <w:rPr>
                <w:rFonts w:hint="eastAsia" w:ascii="仿宋_GB2312" w:hAnsi="仿宋_GB2312" w:eastAsia="仿宋_GB2312" w:cs="仿宋_GB2312"/>
                <w:color w:val="000000"/>
                <w:kern w:val="0"/>
                <w:szCs w:val="21"/>
              </w:rPr>
              <w:t>重点支出安排率</w:t>
            </w:r>
            <w:r>
              <w:rPr>
                <w:rFonts w:hint="eastAsia" w:ascii="仿宋_GB2312" w:hAnsi="仿宋_GB2312" w:eastAsia="仿宋_GB2312" w:cs="仿宋_GB2312"/>
                <w:kern w:val="0"/>
                <w:szCs w:val="21"/>
              </w:rPr>
              <w:t>小于或等于85%的，得0分；</w:t>
            </w:r>
          </w:p>
          <w:p w14:paraId="698DB96D">
            <w:pPr>
              <w:widowControl/>
              <w:pBdr>
                <w:top w:val="none" w:color="auto" w:sz="0" w:space="0"/>
                <w:left w:val="none" w:color="auto" w:sz="0" w:space="0"/>
                <w:bottom w:val="none" w:color="auto" w:sz="0" w:space="0"/>
                <w:right w:val="none" w:color="auto"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3.</w:t>
            </w:r>
            <w:r>
              <w:rPr>
                <w:rFonts w:hint="eastAsia" w:ascii="仿宋_GB2312" w:hAnsi="仿宋_GB2312" w:eastAsia="仿宋_GB2312" w:cs="仿宋_GB2312"/>
                <w:color w:val="000000"/>
                <w:kern w:val="0"/>
                <w:szCs w:val="21"/>
              </w:rPr>
              <w:t>重点支出安排率</w:t>
            </w:r>
            <w:r>
              <w:rPr>
                <w:rFonts w:hint="eastAsia" w:ascii="仿宋_GB2312" w:hAnsi="仿宋_GB2312" w:eastAsia="仿宋_GB2312" w:cs="仿宋_GB2312"/>
                <w:kern w:val="0"/>
                <w:szCs w:val="21"/>
              </w:rPr>
              <w:t>在85%-95%之间的，在0分和满分之间计算确定：</w:t>
            </w:r>
          </w:p>
          <w:p w14:paraId="5CAE4EE9">
            <w:pPr>
              <w:widowControl/>
              <w:spacing w:line="240" w:lineRule="exact"/>
              <w:jc w:val="left"/>
              <w:textAlignment w:val="center"/>
              <w:rPr>
                <w:rFonts w:hint="eastAsia" w:ascii="仿宋_GB2312" w:hAnsi="仿宋_GB2312" w:eastAsia="仿宋_GB2312" w:cs="仿宋_GB2312"/>
                <w:kern w:val="0"/>
                <w:szCs w:val="21"/>
              </w:rPr>
            </w:pPr>
            <w:r>
              <w:rPr>
                <w:rFonts w:hint="eastAsia" w:ascii="仿宋_GB2312" w:hAnsi="仿宋_GB2312" w:eastAsia="仿宋_GB2312" w:cs="仿宋_GB2312"/>
                <w:kern w:val="0"/>
                <w:szCs w:val="21"/>
              </w:rPr>
              <w:t>得分=[某部门</w:t>
            </w:r>
            <w:r>
              <w:rPr>
                <w:rFonts w:hint="eastAsia" w:ascii="仿宋_GB2312" w:hAnsi="仿宋_GB2312" w:eastAsia="仿宋_GB2312" w:cs="仿宋_GB2312"/>
                <w:color w:val="000000"/>
                <w:kern w:val="0"/>
                <w:szCs w:val="21"/>
              </w:rPr>
              <w:t>重点支出安排率</w:t>
            </w:r>
            <w:r>
              <w:rPr>
                <w:rFonts w:hint="eastAsia" w:ascii="仿宋_GB2312" w:hAnsi="仿宋_GB2312" w:eastAsia="仿宋_GB2312" w:cs="仿宋_GB2312"/>
                <w:kern w:val="0"/>
                <w:szCs w:val="21"/>
              </w:rPr>
              <w:t>-min（</w:t>
            </w:r>
            <w:r>
              <w:rPr>
                <w:rFonts w:hint="eastAsia" w:ascii="仿宋_GB2312" w:hAnsi="仿宋_GB2312" w:eastAsia="仿宋_GB2312" w:cs="仿宋_GB2312"/>
                <w:color w:val="000000"/>
                <w:kern w:val="0"/>
                <w:szCs w:val="21"/>
              </w:rPr>
              <w:t>重点支出安排率</w:t>
            </w:r>
            <w:r>
              <w:rPr>
                <w:rFonts w:hint="eastAsia" w:ascii="仿宋_GB2312" w:hAnsi="仿宋_GB2312" w:eastAsia="仿宋_GB2312" w:cs="仿宋_GB2312"/>
                <w:kern w:val="0"/>
                <w:szCs w:val="21"/>
              </w:rPr>
              <w:t>）]/[max（</w:t>
            </w:r>
            <w:r>
              <w:rPr>
                <w:rFonts w:hint="eastAsia" w:ascii="仿宋_GB2312" w:hAnsi="仿宋_GB2312" w:eastAsia="仿宋_GB2312" w:cs="仿宋_GB2312"/>
                <w:color w:val="000000"/>
                <w:kern w:val="0"/>
                <w:szCs w:val="21"/>
              </w:rPr>
              <w:t>重点支出安排率</w:t>
            </w:r>
            <w:r>
              <w:rPr>
                <w:rFonts w:hint="eastAsia" w:ascii="仿宋_GB2312" w:hAnsi="仿宋_GB2312" w:eastAsia="仿宋_GB2312" w:cs="仿宋_GB2312"/>
                <w:kern w:val="0"/>
                <w:szCs w:val="21"/>
              </w:rPr>
              <w:t>）－min（</w:t>
            </w:r>
            <w:r>
              <w:rPr>
                <w:rFonts w:hint="eastAsia" w:ascii="仿宋_GB2312" w:hAnsi="仿宋_GB2312" w:eastAsia="仿宋_GB2312" w:cs="仿宋_GB2312"/>
                <w:color w:val="000000"/>
                <w:kern w:val="0"/>
                <w:szCs w:val="21"/>
              </w:rPr>
              <w:t>重点支出安排率</w:t>
            </w:r>
            <w:r>
              <w:rPr>
                <w:rFonts w:hint="eastAsia" w:ascii="仿宋_GB2312" w:hAnsi="仿宋_GB2312" w:eastAsia="仿宋_GB2312" w:cs="仿宋_GB2312"/>
                <w:kern w:val="0"/>
                <w:szCs w:val="21"/>
              </w:rPr>
              <w:t>）]×该指标分值。</w:t>
            </w:r>
          </w:p>
        </w:tc>
        <w:tc>
          <w:tcPr>
            <w:tcW w:w="764" w:type="dxa"/>
            <w:tcBorders>
              <w:top w:val="single" w:color="auto" w:sz="4" w:space="0"/>
              <w:left w:val="single" w:color="auto" w:sz="4" w:space="0"/>
              <w:bottom w:val="single" w:color="000000" w:sz="4" w:space="0"/>
              <w:right w:val="single" w:color="000000" w:sz="4" w:space="0"/>
            </w:tcBorders>
            <w:vAlign w:val="center"/>
          </w:tcPr>
          <w:p w14:paraId="46653B87">
            <w:pPr>
              <w:widowControl/>
              <w:spacing w:line="240" w:lineRule="exact"/>
              <w:jc w:val="left"/>
              <w:rPr>
                <w:rFonts w:hint="eastAsia" w:eastAsia="宋体"/>
                <w:szCs w:val="21"/>
                <w:lang w:val="en-US" w:eastAsia="zh-CN"/>
              </w:rPr>
            </w:pPr>
            <w:r>
              <w:rPr>
                <w:rFonts w:hint="eastAsia"/>
                <w:szCs w:val="21"/>
                <w:lang w:val="en-US" w:eastAsia="zh-CN"/>
              </w:rPr>
              <w:t>2</w:t>
            </w:r>
          </w:p>
        </w:tc>
      </w:tr>
      <w:tr w14:paraId="424F40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14:paraId="0CCB971B">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过程(45分)</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6FAB5C42">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预算执行情况(25分)</w:t>
            </w:r>
          </w:p>
        </w:tc>
        <w:tc>
          <w:tcPr>
            <w:tcW w:w="1275" w:type="dxa"/>
            <w:tcBorders>
              <w:top w:val="single" w:color="000000" w:sz="4" w:space="0"/>
              <w:left w:val="single" w:color="000000" w:sz="4" w:space="0"/>
              <w:bottom w:val="single" w:color="000000" w:sz="4" w:space="0"/>
              <w:right w:val="single" w:color="auto" w:sz="4" w:space="0"/>
            </w:tcBorders>
            <w:vAlign w:val="center"/>
          </w:tcPr>
          <w:p w14:paraId="0A2BFD22">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预算完成率（5分）</w:t>
            </w:r>
          </w:p>
        </w:tc>
        <w:tc>
          <w:tcPr>
            <w:tcW w:w="3436" w:type="dxa"/>
            <w:tcBorders>
              <w:top w:val="single" w:color="000000" w:sz="4" w:space="0"/>
              <w:left w:val="single" w:color="auto" w:sz="4" w:space="0"/>
              <w:bottom w:val="single" w:color="000000" w:sz="4" w:space="0"/>
              <w:right w:val="single" w:color="auto" w:sz="4" w:space="0"/>
            </w:tcBorders>
            <w:vAlign w:val="center"/>
          </w:tcPr>
          <w:p w14:paraId="7BA9499F">
            <w:pPr>
              <w:widowControl/>
              <w:pBdr>
                <w:top w:val="none" w:color="auto" w:sz="0" w:space="0"/>
                <w:left w:val="none" w:color="auto" w:sz="0" w:space="0"/>
                <w:bottom w:val="none" w:color="auto" w:sz="0" w:space="0"/>
                <w:right w:val="none" w:color="auto"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通过对部门本年度预算完成数与预算数的比较，反映和评价部门预算的完成程度。</w:t>
            </w:r>
          </w:p>
          <w:p w14:paraId="291D3105">
            <w:pPr>
              <w:widowControl/>
              <w:pBdr>
                <w:top w:val="none" w:color="auto" w:sz="0" w:space="0"/>
                <w:left w:val="none" w:color="auto" w:sz="0" w:space="0"/>
                <w:bottom w:val="none" w:color="auto" w:sz="0" w:space="0"/>
                <w:right w:val="none" w:color="auto"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预算完成率=（预算完成数/预算数）×100%。</w:t>
            </w:r>
          </w:p>
        </w:tc>
        <w:tc>
          <w:tcPr>
            <w:tcW w:w="2373" w:type="dxa"/>
            <w:tcBorders>
              <w:top w:val="single" w:color="000000" w:sz="4" w:space="0"/>
              <w:left w:val="single" w:color="auto" w:sz="4" w:space="0"/>
              <w:bottom w:val="single" w:color="000000" w:sz="4" w:space="0"/>
              <w:right w:val="single" w:color="auto" w:sz="4" w:space="0"/>
            </w:tcBorders>
            <w:vAlign w:val="center"/>
          </w:tcPr>
          <w:p w14:paraId="1EADA25F">
            <w:pPr>
              <w:widowControl/>
              <w:pBdr>
                <w:top w:val="none" w:color="auto" w:sz="0" w:space="0"/>
                <w:left w:val="none" w:color="auto" w:sz="0" w:space="0"/>
                <w:bottom w:val="none" w:color="auto" w:sz="0" w:space="0"/>
                <w:right w:val="none" w:color="auto"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1.预算完成率大于或等于95%的，得满分；</w:t>
            </w:r>
          </w:p>
          <w:p w14:paraId="5C88E2D3">
            <w:pPr>
              <w:widowControl/>
              <w:pBdr>
                <w:top w:val="none" w:color="auto" w:sz="0" w:space="0"/>
                <w:left w:val="none" w:color="auto" w:sz="0" w:space="0"/>
                <w:bottom w:val="none" w:color="auto" w:sz="0" w:space="0"/>
                <w:right w:val="none" w:color="auto"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2.预算完成率小于或等于85%的，得0分；</w:t>
            </w:r>
          </w:p>
          <w:p w14:paraId="4A3B1345">
            <w:pPr>
              <w:widowControl/>
              <w:pBdr>
                <w:top w:val="none" w:color="auto" w:sz="0" w:space="0"/>
                <w:left w:val="none" w:color="auto" w:sz="0" w:space="0"/>
                <w:bottom w:val="none" w:color="auto" w:sz="0" w:space="0"/>
                <w:right w:val="none" w:color="auto"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3.预算完成率在85%-95%之间的，在0分和满分之间计算确定：</w:t>
            </w:r>
          </w:p>
          <w:p w14:paraId="7AE4C7BF">
            <w:pPr>
              <w:widowControl/>
              <w:pBdr>
                <w:top w:val="none" w:color="auto" w:sz="0" w:space="0"/>
                <w:left w:val="none" w:color="auto" w:sz="0" w:space="0"/>
                <w:bottom w:val="none" w:color="auto" w:sz="0" w:space="0"/>
                <w:right w:val="none" w:color="auto"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得分=[某部门预算完成率-min（预算完成率）]/[max（预算完成率）－min（预算完成率）]×该指标分值。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14:paraId="6CE7895C">
            <w:pPr>
              <w:widowControl/>
              <w:spacing w:line="240" w:lineRule="exact"/>
              <w:jc w:val="left"/>
              <w:rPr>
                <w:rFonts w:hint="eastAsia" w:eastAsia="宋体"/>
                <w:szCs w:val="21"/>
                <w:lang w:val="en-US" w:eastAsia="zh-CN"/>
              </w:rPr>
            </w:pPr>
            <w:r>
              <w:rPr>
                <w:rFonts w:hint="eastAsia"/>
                <w:szCs w:val="21"/>
                <w:lang w:val="en-US" w:eastAsia="zh-CN"/>
              </w:rPr>
              <w:t>5</w:t>
            </w:r>
          </w:p>
        </w:tc>
      </w:tr>
      <w:tr w14:paraId="1EC274B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103CA7AF"/>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127FBE08"/>
        </w:tc>
        <w:tc>
          <w:tcPr>
            <w:tcW w:w="1275" w:type="dxa"/>
            <w:tcBorders>
              <w:top w:val="single" w:color="000000" w:sz="4" w:space="0"/>
              <w:left w:val="single" w:color="000000" w:sz="4" w:space="0"/>
              <w:bottom w:val="single" w:color="000000" w:sz="4" w:space="0"/>
              <w:right w:val="single" w:color="auto" w:sz="4" w:space="0"/>
            </w:tcBorders>
            <w:vAlign w:val="center"/>
          </w:tcPr>
          <w:p w14:paraId="21920E65">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预算调整率（3分）</w:t>
            </w:r>
          </w:p>
        </w:tc>
        <w:tc>
          <w:tcPr>
            <w:tcW w:w="3436" w:type="dxa"/>
            <w:tcBorders>
              <w:top w:val="single" w:color="000000" w:sz="4" w:space="0"/>
              <w:left w:val="single" w:color="auto" w:sz="4" w:space="0"/>
              <w:bottom w:val="single" w:color="000000" w:sz="4" w:space="0"/>
              <w:right w:val="single" w:color="auto" w:sz="4" w:space="0"/>
            </w:tcBorders>
            <w:vAlign w:val="center"/>
          </w:tcPr>
          <w:p w14:paraId="64631691">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部门本年度预算调整数与预算数的比率，用以反映和评价部门预算的调整程度。</w:t>
            </w:r>
          </w:p>
          <w:p w14:paraId="7EDDAE2E">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预算调整率=（预算调整数/预算数）×100%。</w:t>
            </w:r>
          </w:p>
        </w:tc>
        <w:tc>
          <w:tcPr>
            <w:tcW w:w="2373" w:type="dxa"/>
            <w:tcBorders>
              <w:top w:val="single" w:color="000000" w:sz="4" w:space="0"/>
              <w:left w:val="single" w:color="auto" w:sz="4" w:space="0"/>
              <w:bottom w:val="single" w:color="000000" w:sz="4" w:space="0"/>
              <w:right w:val="single" w:color="auto" w:sz="4" w:space="0"/>
            </w:tcBorders>
            <w:vAlign w:val="center"/>
          </w:tcPr>
          <w:p w14:paraId="576994FF">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 xml:space="preserve">1.预算调整率等于0的，得满分； </w:t>
            </w:r>
          </w:p>
          <w:p w14:paraId="27521006">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2.预算调整率大于或等于10%的，得0分；</w:t>
            </w:r>
          </w:p>
          <w:p w14:paraId="0E6C7AF9">
            <w:pPr>
              <w:widowControl/>
              <w:pBdr>
                <w:top w:val="none" w:color="auto" w:sz="0" w:space="0"/>
                <w:left w:val="none" w:color="auto" w:sz="0" w:space="0"/>
                <w:bottom w:val="none" w:color="auto" w:sz="0" w:space="0"/>
                <w:right w:val="none" w:color="auto"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3.预算调整率在0-10%之间的，在0分和满分之间确定：</w:t>
            </w:r>
          </w:p>
          <w:p w14:paraId="7755F60A">
            <w:pPr>
              <w:widowControl/>
              <w:pBdr>
                <w:top w:val="none" w:color="auto" w:sz="0" w:space="0"/>
                <w:left w:val="none" w:color="auto" w:sz="0" w:space="0"/>
                <w:bottom w:val="none" w:color="auto" w:sz="0" w:space="0"/>
                <w:right w:val="none" w:color="auto"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得分=［max（预算调整率）-某部门预算调整率］/［max（预算调整率）-min（预算调整率）］×该指标分值。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14:paraId="2C48833D">
            <w:pPr>
              <w:widowControl/>
              <w:spacing w:line="240" w:lineRule="exact"/>
              <w:jc w:val="left"/>
              <w:rPr>
                <w:rFonts w:hint="eastAsia" w:eastAsia="宋体"/>
                <w:szCs w:val="21"/>
                <w:lang w:val="en-US" w:eastAsia="zh-CN"/>
              </w:rPr>
            </w:pPr>
            <w:r>
              <w:rPr>
                <w:rFonts w:hint="eastAsia"/>
                <w:szCs w:val="21"/>
                <w:lang w:val="en-US" w:eastAsia="zh-CN"/>
              </w:rPr>
              <w:t>3</w:t>
            </w:r>
          </w:p>
        </w:tc>
      </w:tr>
      <w:tr w14:paraId="64C1D8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84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7F8E722E"/>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5B5EA09C"/>
        </w:tc>
        <w:tc>
          <w:tcPr>
            <w:tcW w:w="1275" w:type="dxa"/>
            <w:tcBorders>
              <w:top w:val="single" w:color="000000" w:sz="4" w:space="0"/>
              <w:left w:val="single" w:color="000000" w:sz="4" w:space="0"/>
              <w:bottom w:val="single" w:color="000000" w:sz="4" w:space="0"/>
              <w:right w:val="single" w:color="auto" w:sz="4" w:space="0"/>
            </w:tcBorders>
            <w:vAlign w:val="center"/>
          </w:tcPr>
          <w:p w14:paraId="74FFC928">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rPr>
              <w:t>支付进度率</w:t>
            </w:r>
            <w:r>
              <w:rPr>
                <w:rFonts w:hint="eastAsia" w:ascii="仿宋_GB2312" w:hAnsi="仿宋_GB2312" w:eastAsia="仿宋_GB2312" w:cs="仿宋_GB2312"/>
                <w:kern w:val="0"/>
                <w:szCs w:val="21"/>
              </w:rPr>
              <w:t>（5分）</w:t>
            </w:r>
          </w:p>
        </w:tc>
        <w:tc>
          <w:tcPr>
            <w:tcW w:w="3436" w:type="dxa"/>
            <w:tcBorders>
              <w:top w:val="single" w:color="000000" w:sz="4" w:space="0"/>
              <w:left w:val="single" w:color="auto" w:sz="4" w:space="0"/>
              <w:bottom w:val="single" w:color="000000" w:sz="4" w:space="0"/>
              <w:right w:val="single" w:color="auto" w:sz="4" w:space="0"/>
            </w:tcBorders>
            <w:vAlign w:val="center"/>
          </w:tcPr>
          <w:p w14:paraId="715A9EAA">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部门年度支付数与年度任务数的比率，用以反映和评价部门预算执行的及时和均衡程度。</w:t>
            </w:r>
          </w:p>
          <w:p w14:paraId="4B8483BA">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支付进度率=（年度支付数/年度任务数）×100%。</w:t>
            </w:r>
          </w:p>
        </w:tc>
        <w:tc>
          <w:tcPr>
            <w:tcW w:w="2373" w:type="dxa"/>
            <w:tcBorders>
              <w:top w:val="single" w:color="000000" w:sz="4" w:space="0"/>
              <w:left w:val="single" w:color="auto" w:sz="4" w:space="0"/>
              <w:bottom w:val="single" w:color="000000" w:sz="4" w:space="0"/>
              <w:right w:val="single" w:color="auto" w:sz="4" w:space="0"/>
            </w:tcBorders>
            <w:vAlign w:val="center"/>
          </w:tcPr>
          <w:p w14:paraId="173FB440">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按年度的执行情况进行打分。得分=年度支付数/年度任务数×该指标分值。</w:t>
            </w:r>
          </w:p>
          <w:p w14:paraId="1E7B1DD4">
            <w:pPr>
              <w:widowControl/>
              <w:pBdr>
                <w:top w:val="none" w:color="auto" w:sz="0" w:space="0"/>
                <w:left w:val="none" w:color="auto" w:sz="0" w:space="0"/>
                <w:bottom w:val="none" w:color="auto" w:sz="0" w:space="0"/>
                <w:right w:val="none" w:color="auto" w:sz="0" w:space="0"/>
              </w:pBdr>
              <w:spacing w:line="240" w:lineRule="exact"/>
              <w:jc w:val="left"/>
              <w:rPr>
                <w:rFonts w:hint="eastAsia" w:ascii="仿宋_GB2312" w:hAnsi="仿宋_GB2312" w:eastAsia="仿宋_GB2312" w:cs="仿宋_GB2312"/>
                <w:szCs w:val="21"/>
              </w:rPr>
            </w:pPr>
          </w:p>
        </w:tc>
        <w:tc>
          <w:tcPr>
            <w:tcW w:w="764" w:type="dxa"/>
            <w:tcBorders>
              <w:top w:val="single" w:color="000000" w:sz="4" w:space="0"/>
              <w:left w:val="single" w:color="auto" w:sz="4" w:space="0"/>
              <w:bottom w:val="single" w:color="000000" w:sz="4" w:space="0"/>
              <w:right w:val="single" w:color="000000" w:sz="4" w:space="0"/>
            </w:tcBorders>
            <w:vAlign w:val="center"/>
          </w:tcPr>
          <w:p w14:paraId="05CA4B47">
            <w:pPr>
              <w:widowControl/>
              <w:spacing w:line="240" w:lineRule="exact"/>
              <w:jc w:val="left"/>
              <w:rPr>
                <w:rFonts w:hint="eastAsia" w:eastAsia="宋体"/>
                <w:szCs w:val="21"/>
                <w:lang w:val="en-US" w:eastAsia="zh-CN"/>
              </w:rPr>
            </w:pPr>
            <w:r>
              <w:rPr>
                <w:rFonts w:hint="eastAsia"/>
                <w:szCs w:val="21"/>
                <w:lang w:val="en-US" w:eastAsia="zh-CN"/>
              </w:rPr>
              <w:t>4</w:t>
            </w:r>
          </w:p>
        </w:tc>
      </w:tr>
      <w:tr w14:paraId="1575CDB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7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5653B7E5"/>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30C7CFCA"/>
        </w:tc>
        <w:tc>
          <w:tcPr>
            <w:tcW w:w="1275" w:type="dxa"/>
            <w:tcBorders>
              <w:top w:val="single" w:color="000000" w:sz="4" w:space="0"/>
              <w:left w:val="single" w:color="000000" w:sz="4" w:space="0"/>
              <w:bottom w:val="single" w:color="000000" w:sz="4" w:space="0"/>
              <w:right w:val="single" w:color="auto" w:sz="4" w:space="0"/>
            </w:tcBorders>
            <w:vAlign w:val="center"/>
          </w:tcPr>
          <w:p w14:paraId="10517647">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结转结余率（4分）</w:t>
            </w:r>
          </w:p>
        </w:tc>
        <w:tc>
          <w:tcPr>
            <w:tcW w:w="3436" w:type="dxa"/>
            <w:tcBorders>
              <w:top w:val="single" w:color="000000" w:sz="4" w:space="0"/>
              <w:left w:val="single" w:color="auto" w:sz="4" w:space="0"/>
              <w:bottom w:val="single" w:color="000000" w:sz="4" w:space="0"/>
              <w:right w:val="single" w:color="auto" w:sz="4" w:space="0"/>
            </w:tcBorders>
            <w:vAlign w:val="center"/>
          </w:tcPr>
          <w:p w14:paraId="5598688E">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通过对部门本年度结转结余总额与支出预算数的比较，反映和评价部门对本年度结转结余资金的实际控制程度。</w:t>
            </w:r>
          </w:p>
          <w:p w14:paraId="7C1B4015">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结转结余率=（结转结余总额/支出预算数）×100%。</w:t>
            </w:r>
          </w:p>
        </w:tc>
        <w:tc>
          <w:tcPr>
            <w:tcW w:w="2373" w:type="dxa"/>
            <w:tcBorders>
              <w:top w:val="single" w:color="000000" w:sz="4" w:space="0"/>
              <w:left w:val="single" w:color="auto" w:sz="4" w:space="0"/>
              <w:bottom w:val="single" w:color="000000" w:sz="4" w:space="0"/>
              <w:right w:val="single" w:color="auto" w:sz="4" w:space="0"/>
            </w:tcBorders>
            <w:vAlign w:val="center"/>
          </w:tcPr>
          <w:p w14:paraId="58AC0FEA">
            <w:pPr>
              <w:widowControl/>
              <w:pBdr>
                <w:top w:val="none" w:color="auto" w:sz="0" w:space="0"/>
                <w:left w:val="none" w:color="auto" w:sz="0" w:space="0"/>
                <w:bottom w:val="none" w:color="auto" w:sz="0" w:space="0"/>
                <w:right w:val="none" w:color="auto"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1.结转结余率等于0的，得满分；</w:t>
            </w:r>
          </w:p>
          <w:p w14:paraId="1BD8C0DB">
            <w:pPr>
              <w:widowControl/>
              <w:pBdr>
                <w:top w:val="none" w:color="auto" w:sz="0" w:space="0"/>
                <w:left w:val="none" w:color="auto" w:sz="0" w:space="0"/>
                <w:bottom w:val="none" w:color="auto" w:sz="0" w:space="0"/>
                <w:right w:val="none" w:color="auto"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2.结转结余率大于或等于50%的，得0分；</w:t>
            </w:r>
          </w:p>
          <w:p w14:paraId="09BD076F">
            <w:pPr>
              <w:widowControl/>
              <w:pBdr>
                <w:top w:val="none" w:color="auto" w:sz="0" w:space="0"/>
                <w:left w:val="none" w:color="auto" w:sz="0" w:space="0"/>
                <w:bottom w:val="none" w:color="auto" w:sz="0" w:space="0"/>
                <w:right w:val="none" w:color="auto"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3.结转结余率在0-50%之间的，在0和满分之间计算确定：</w:t>
            </w:r>
          </w:p>
          <w:p w14:paraId="04C0FB1F">
            <w:pPr>
              <w:widowControl/>
              <w:pBdr>
                <w:top w:val="none" w:color="auto" w:sz="0" w:space="0"/>
                <w:left w:val="none" w:color="auto" w:sz="0" w:space="0"/>
                <w:bottom w:val="none" w:color="auto" w:sz="0" w:space="0"/>
                <w:right w:val="none" w:color="auto"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得分=[max（结转结余率）－某部门结转结余率]/[max（结转结余率）－min（结转结余率）]×该指标分值。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14:paraId="72348D8B">
            <w:pPr>
              <w:widowControl/>
              <w:spacing w:line="240" w:lineRule="exact"/>
              <w:jc w:val="left"/>
              <w:rPr>
                <w:rFonts w:hint="eastAsia" w:eastAsia="宋体"/>
                <w:szCs w:val="21"/>
                <w:lang w:val="en-US" w:eastAsia="zh-CN"/>
              </w:rPr>
            </w:pPr>
            <w:r>
              <w:rPr>
                <w:rFonts w:hint="eastAsia"/>
                <w:szCs w:val="21"/>
                <w:lang w:val="en-US" w:eastAsia="zh-CN"/>
              </w:rPr>
              <w:t>3</w:t>
            </w:r>
          </w:p>
        </w:tc>
      </w:tr>
      <w:tr w14:paraId="0A42950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1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5DAD8D0C"/>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09346945"/>
        </w:tc>
        <w:tc>
          <w:tcPr>
            <w:tcW w:w="1275" w:type="dxa"/>
            <w:tcBorders>
              <w:top w:val="single" w:color="000000" w:sz="4" w:space="0"/>
              <w:left w:val="single" w:color="000000" w:sz="4" w:space="0"/>
              <w:bottom w:val="single" w:color="000000" w:sz="4" w:space="0"/>
              <w:right w:val="single" w:color="auto" w:sz="4" w:space="0"/>
            </w:tcBorders>
            <w:vAlign w:val="center"/>
          </w:tcPr>
          <w:p w14:paraId="5505D0A1">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公用经费控制率（4分）</w:t>
            </w:r>
          </w:p>
        </w:tc>
        <w:tc>
          <w:tcPr>
            <w:tcW w:w="3436" w:type="dxa"/>
            <w:tcBorders>
              <w:top w:val="single" w:color="000000" w:sz="4" w:space="0"/>
              <w:left w:val="single" w:color="auto" w:sz="4" w:space="0"/>
              <w:bottom w:val="single" w:color="000000" w:sz="4" w:space="0"/>
              <w:right w:val="single" w:color="auto" w:sz="4" w:space="0"/>
            </w:tcBorders>
            <w:vAlign w:val="center"/>
          </w:tcPr>
          <w:p w14:paraId="627105F1">
            <w:pPr>
              <w:widowControl/>
              <w:pBdr>
                <w:top w:val="none" w:color="auto" w:sz="0" w:space="0"/>
                <w:left w:val="none" w:color="auto" w:sz="0" w:space="0"/>
                <w:bottom w:val="none" w:color="auto" w:sz="0" w:space="0"/>
                <w:right w:val="none" w:color="auto"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通过对部门本年度实际支出的公用经费总额与预算安排的公用经费总额的比率，反映和评价部门对机构运转成本的实际控制程度。</w:t>
            </w:r>
          </w:p>
          <w:p w14:paraId="17063F96">
            <w:pPr>
              <w:widowControl/>
              <w:pBdr>
                <w:top w:val="none" w:color="auto" w:sz="0" w:space="0"/>
                <w:left w:val="none" w:color="auto" w:sz="0" w:space="0"/>
                <w:bottom w:val="none" w:color="auto" w:sz="0" w:space="0"/>
                <w:right w:val="none" w:color="auto"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公用经费控制率=（实际支出公用经费总额/预算安排公用经费总额）×100%。</w:t>
            </w:r>
          </w:p>
        </w:tc>
        <w:tc>
          <w:tcPr>
            <w:tcW w:w="2373" w:type="dxa"/>
            <w:tcBorders>
              <w:top w:val="single" w:color="000000" w:sz="4" w:space="0"/>
              <w:left w:val="single" w:color="auto" w:sz="4" w:space="0"/>
              <w:bottom w:val="single" w:color="000000" w:sz="4" w:space="0"/>
              <w:right w:val="single" w:color="auto" w:sz="4" w:space="0"/>
            </w:tcBorders>
            <w:vAlign w:val="center"/>
          </w:tcPr>
          <w:p w14:paraId="4E28B0FD">
            <w:pPr>
              <w:widowControl/>
              <w:pBdr>
                <w:top w:val="none" w:color="auto" w:sz="0" w:space="0"/>
                <w:left w:val="none" w:color="auto" w:sz="0" w:space="0"/>
                <w:bottom w:val="none" w:color="auto" w:sz="0" w:space="0"/>
                <w:right w:val="none" w:color="auto"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1.公用经费控制率小于或等于100%的，得满分；</w:t>
            </w:r>
          </w:p>
          <w:p w14:paraId="563893B5">
            <w:pPr>
              <w:widowControl/>
              <w:pBdr>
                <w:top w:val="none" w:color="auto" w:sz="0" w:space="0"/>
                <w:left w:val="none" w:color="auto" w:sz="0" w:space="0"/>
                <w:bottom w:val="none" w:color="auto" w:sz="0" w:space="0"/>
                <w:right w:val="none" w:color="auto"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2.公用经费控制率大于或等于105%的，得0分；</w:t>
            </w:r>
          </w:p>
          <w:p w14:paraId="19D9B4B9">
            <w:pPr>
              <w:widowControl/>
              <w:pBdr>
                <w:top w:val="none" w:color="auto" w:sz="0" w:space="0"/>
                <w:left w:val="none" w:color="auto" w:sz="0" w:space="0"/>
                <w:bottom w:val="none" w:color="auto" w:sz="0" w:space="0"/>
                <w:right w:val="none" w:color="auto"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3.公用经费控制率在100%-105%之间的，在0和满分之间计算确定：</w:t>
            </w:r>
          </w:p>
          <w:p w14:paraId="719E3B00">
            <w:pPr>
              <w:widowControl/>
              <w:pBdr>
                <w:top w:val="none" w:color="auto" w:sz="0" w:space="0"/>
                <w:left w:val="none" w:color="auto" w:sz="0" w:space="0"/>
                <w:bottom w:val="none" w:color="auto" w:sz="0" w:space="0"/>
                <w:right w:val="none" w:color="auto"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得分=［max（公用经费控制率）-某部门公用经费控制率］/［max（公用经费控制率）-min（公用经费控制率）］×该指标分值。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14:paraId="36121B23">
            <w:pPr>
              <w:widowControl/>
              <w:spacing w:line="240" w:lineRule="exact"/>
              <w:jc w:val="left"/>
              <w:rPr>
                <w:rFonts w:hint="eastAsia" w:eastAsia="宋体"/>
                <w:szCs w:val="21"/>
                <w:lang w:val="en-US" w:eastAsia="zh-CN"/>
              </w:rPr>
            </w:pPr>
            <w:r>
              <w:rPr>
                <w:rFonts w:hint="eastAsia"/>
                <w:szCs w:val="21"/>
                <w:lang w:val="en-US" w:eastAsia="zh-CN"/>
              </w:rPr>
              <w:t>4</w:t>
            </w:r>
          </w:p>
        </w:tc>
      </w:tr>
      <w:tr w14:paraId="57FCE0F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0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58F7220D"/>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6CC1C538"/>
        </w:tc>
        <w:tc>
          <w:tcPr>
            <w:tcW w:w="1275" w:type="dxa"/>
            <w:tcBorders>
              <w:top w:val="single" w:color="000000" w:sz="4" w:space="0"/>
              <w:left w:val="single" w:color="000000" w:sz="4" w:space="0"/>
              <w:bottom w:val="single" w:color="000000" w:sz="4" w:space="0"/>
              <w:right w:val="single" w:color="auto" w:sz="4" w:space="0"/>
            </w:tcBorders>
            <w:vAlign w:val="center"/>
          </w:tcPr>
          <w:p w14:paraId="76C1626D">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政府采购执行率（4分）</w:t>
            </w:r>
          </w:p>
        </w:tc>
        <w:tc>
          <w:tcPr>
            <w:tcW w:w="3436" w:type="dxa"/>
            <w:tcBorders>
              <w:top w:val="single" w:color="000000" w:sz="4" w:space="0"/>
              <w:left w:val="single" w:color="auto" w:sz="4" w:space="0"/>
              <w:bottom w:val="single" w:color="000000" w:sz="4" w:space="0"/>
              <w:right w:val="single" w:color="auto" w:sz="4" w:space="0"/>
            </w:tcBorders>
            <w:vAlign w:val="center"/>
          </w:tcPr>
          <w:p w14:paraId="07027CB8">
            <w:pPr>
              <w:widowControl/>
              <w:pBdr>
                <w:top w:val="none" w:color="auto" w:sz="0" w:space="0"/>
                <w:left w:val="none" w:color="auto" w:sz="0" w:space="0"/>
                <w:bottom w:val="none" w:color="auto" w:sz="0" w:space="0"/>
                <w:right w:val="none" w:color="auto"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通过对部门本年度实际政府采购预算项目个数与政府采购预算项目个数的比较，反映和评价部门政府采购预算执行情况。</w:t>
            </w:r>
          </w:p>
          <w:p w14:paraId="6DBA2A7F">
            <w:pPr>
              <w:widowControl/>
              <w:pBdr>
                <w:top w:val="none" w:color="auto" w:sz="0" w:space="0"/>
                <w:left w:val="none" w:color="auto" w:sz="0" w:space="0"/>
                <w:bottom w:val="none" w:color="auto" w:sz="0" w:space="0"/>
                <w:right w:val="none" w:color="auto"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政府采购执行率=（实际政府采购预算项目个数/政府采购预算项目个数）×100%。</w:t>
            </w:r>
          </w:p>
          <w:p w14:paraId="44B11649">
            <w:pPr>
              <w:widowControl/>
              <w:pBdr>
                <w:top w:val="none" w:color="auto" w:sz="0" w:space="0"/>
                <w:left w:val="none" w:color="auto" w:sz="0" w:space="0"/>
                <w:bottom w:val="none" w:color="auto" w:sz="0" w:space="0"/>
                <w:right w:val="none" w:color="auto"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政府采购项目中非预算内安排的项目除外。</w:t>
            </w:r>
          </w:p>
        </w:tc>
        <w:tc>
          <w:tcPr>
            <w:tcW w:w="2373" w:type="dxa"/>
            <w:tcBorders>
              <w:top w:val="single" w:color="000000" w:sz="4" w:space="0"/>
              <w:left w:val="single" w:color="auto" w:sz="4" w:space="0"/>
              <w:bottom w:val="single" w:color="000000" w:sz="4" w:space="0"/>
              <w:right w:val="single" w:color="auto" w:sz="4" w:space="0"/>
            </w:tcBorders>
            <w:vAlign w:val="center"/>
          </w:tcPr>
          <w:p w14:paraId="14DE2955">
            <w:pPr>
              <w:widowControl/>
              <w:pBdr>
                <w:top w:val="none" w:color="auto" w:sz="0" w:space="0"/>
                <w:left w:val="none" w:color="auto" w:sz="0" w:space="0"/>
                <w:bottom w:val="none" w:color="auto" w:sz="0" w:space="0"/>
                <w:right w:val="none" w:color="auto"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1.政府采购执行率等于100%的，得满分；</w:t>
            </w:r>
          </w:p>
          <w:p w14:paraId="29D93115">
            <w:pPr>
              <w:widowControl/>
              <w:pBdr>
                <w:top w:val="none" w:color="auto" w:sz="0" w:space="0"/>
                <w:left w:val="none" w:color="auto" w:sz="0" w:space="0"/>
                <w:bottom w:val="none" w:color="auto" w:sz="0" w:space="0"/>
                <w:right w:val="none" w:color="auto"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2.政府采购执行率小于或等于90%的，0分；</w:t>
            </w:r>
          </w:p>
          <w:p w14:paraId="4B6C1166">
            <w:pPr>
              <w:widowControl/>
              <w:pBdr>
                <w:top w:val="none" w:color="auto" w:sz="0" w:space="0"/>
                <w:left w:val="none" w:color="auto" w:sz="0" w:space="0"/>
                <w:bottom w:val="none" w:color="auto" w:sz="0" w:space="0"/>
                <w:right w:val="none" w:color="auto"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3.政府采购执行率在90%-100%之间的，在0和满分之间计算确定：</w:t>
            </w:r>
          </w:p>
          <w:p w14:paraId="52FD965A">
            <w:pPr>
              <w:widowControl/>
              <w:pBdr>
                <w:top w:val="none" w:color="auto" w:sz="0" w:space="0"/>
                <w:left w:val="none" w:color="auto" w:sz="0" w:space="0"/>
                <w:bottom w:val="none" w:color="auto" w:sz="0" w:space="0"/>
                <w:right w:val="none" w:color="auto"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得分=［某部门政府采购执行率-min（政府采购执行率）］/［max（政府采购执行率）-min（政府采购执行率）］×该指标分值。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14:paraId="4C13F872">
            <w:pPr>
              <w:widowControl/>
              <w:spacing w:line="240" w:lineRule="exact"/>
              <w:jc w:val="left"/>
              <w:rPr>
                <w:rFonts w:hint="eastAsia" w:eastAsia="宋体"/>
                <w:szCs w:val="21"/>
                <w:lang w:val="en-US" w:eastAsia="zh-CN"/>
              </w:rPr>
            </w:pPr>
            <w:r>
              <w:rPr>
                <w:rFonts w:hint="eastAsia"/>
                <w:szCs w:val="21"/>
                <w:lang w:val="en-US" w:eastAsia="zh-CN"/>
              </w:rPr>
              <w:t>4</w:t>
            </w:r>
          </w:p>
        </w:tc>
      </w:tr>
      <w:tr w14:paraId="5C9D615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4D50C4F5"/>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44BB5599">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预算管理情况</w:t>
            </w:r>
          </w:p>
          <w:p w14:paraId="34C10E3C">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（15）</w:t>
            </w:r>
          </w:p>
        </w:tc>
        <w:tc>
          <w:tcPr>
            <w:tcW w:w="1275" w:type="dxa"/>
            <w:tcBorders>
              <w:top w:val="single" w:color="000000" w:sz="4" w:space="0"/>
              <w:left w:val="single" w:color="000000" w:sz="4" w:space="0"/>
              <w:bottom w:val="single" w:color="000000" w:sz="4" w:space="0"/>
              <w:right w:val="single" w:color="auto" w:sz="4" w:space="0"/>
            </w:tcBorders>
            <w:vAlign w:val="center"/>
          </w:tcPr>
          <w:p w14:paraId="064E31D3">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资金使用合规性（8分）</w:t>
            </w:r>
          </w:p>
        </w:tc>
        <w:tc>
          <w:tcPr>
            <w:tcW w:w="3436" w:type="dxa"/>
            <w:tcBorders>
              <w:top w:val="single" w:color="000000" w:sz="4" w:space="0"/>
              <w:left w:val="single" w:color="auto" w:sz="4" w:space="0"/>
              <w:bottom w:val="single" w:color="000000" w:sz="4" w:space="0"/>
              <w:right w:val="single" w:color="auto" w:sz="4" w:space="0"/>
            </w:tcBorders>
            <w:vAlign w:val="center"/>
          </w:tcPr>
          <w:p w14:paraId="6E318D71">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部门使用预算资金是否符合相关的预算财务管理制度的规定，反映和评价部门预算资金的规范运行情况。</w:t>
            </w:r>
          </w:p>
          <w:p w14:paraId="6078EAA7">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评价要点：</w:t>
            </w:r>
          </w:p>
          <w:p w14:paraId="5DF83982">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1.符合国家财经法规和财务管理制度规定以及有关部门资金管理办法的规定；</w:t>
            </w:r>
          </w:p>
          <w:p w14:paraId="34857A4B">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2.资金的拨付有完整的审批过程和手续；</w:t>
            </w:r>
          </w:p>
          <w:p w14:paraId="7A6AE55B">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3.项目的重大开支经过评估论证；</w:t>
            </w:r>
          </w:p>
          <w:p w14:paraId="1B2848D7">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4.符合部门预算批复的用途；</w:t>
            </w:r>
          </w:p>
          <w:p w14:paraId="1D8F03B2">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5.不存在截留情况；</w:t>
            </w:r>
          </w:p>
          <w:p w14:paraId="000854D2">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6.不存在挤占情况；</w:t>
            </w:r>
          </w:p>
          <w:p w14:paraId="248D39F5">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7.不存在挪用情况；</w:t>
            </w:r>
          </w:p>
          <w:p w14:paraId="09E299DB">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8.不存在虚列支出情况。</w:t>
            </w:r>
          </w:p>
        </w:tc>
        <w:tc>
          <w:tcPr>
            <w:tcW w:w="2373" w:type="dxa"/>
            <w:tcBorders>
              <w:top w:val="single" w:color="000000" w:sz="4" w:space="0"/>
              <w:left w:val="single" w:color="auto" w:sz="4" w:space="0"/>
              <w:bottom w:val="single" w:color="000000" w:sz="4" w:space="0"/>
              <w:right w:val="single" w:color="auto" w:sz="4" w:space="0"/>
            </w:tcBorders>
            <w:vAlign w:val="center"/>
          </w:tcPr>
          <w:p w14:paraId="40161FAF">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全部符合（8）；</w:t>
            </w:r>
          </w:p>
          <w:p w14:paraId="4FEDCE02">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符合其中七项（6）；</w:t>
            </w:r>
          </w:p>
          <w:p w14:paraId="62158E79">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符合其中六项（4）；</w:t>
            </w:r>
          </w:p>
          <w:p w14:paraId="3592B756">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符合其中五项（2）；</w:t>
            </w:r>
          </w:p>
          <w:p w14:paraId="652AEF59">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符合其中四项及以下（0）。</w:t>
            </w:r>
          </w:p>
        </w:tc>
        <w:tc>
          <w:tcPr>
            <w:tcW w:w="764" w:type="dxa"/>
            <w:tcBorders>
              <w:top w:val="single" w:color="000000" w:sz="4" w:space="0"/>
              <w:left w:val="single" w:color="auto" w:sz="4" w:space="0"/>
              <w:bottom w:val="single" w:color="000000" w:sz="4" w:space="0"/>
              <w:right w:val="single" w:color="000000" w:sz="4" w:space="0"/>
            </w:tcBorders>
            <w:vAlign w:val="center"/>
          </w:tcPr>
          <w:p w14:paraId="740CB4F1">
            <w:pPr>
              <w:widowControl/>
              <w:spacing w:line="240" w:lineRule="exact"/>
              <w:jc w:val="left"/>
              <w:rPr>
                <w:rFonts w:hint="eastAsia" w:eastAsia="宋体"/>
                <w:szCs w:val="21"/>
                <w:lang w:val="en-US" w:eastAsia="zh-CN"/>
              </w:rPr>
            </w:pPr>
            <w:r>
              <w:rPr>
                <w:rFonts w:hint="eastAsia"/>
                <w:szCs w:val="21"/>
                <w:lang w:val="en-US" w:eastAsia="zh-CN"/>
              </w:rPr>
              <w:t>8</w:t>
            </w:r>
          </w:p>
        </w:tc>
      </w:tr>
      <w:tr w14:paraId="2833D1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454CB608"/>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20FA9825"/>
        </w:tc>
        <w:tc>
          <w:tcPr>
            <w:tcW w:w="1275" w:type="dxa"/>
            <w:tcBorders>
              <w:top w:val="single" w:color="000000" w:sz="4" w:space="0"/>
              <w:left w:val="single" w:color="000000" w:sz="4" w:space="0"/>
              <w:bottom w:val="single" w:color="000000" w:sz="4" w:space="0"/>
              <w:right w:val="single" w:color="auto" w:sz="4" w:space="0"/>
            </w:tcBorders>
            <w:vAlign w:val="center"/>
          </w:tcPr>
          <w:p w14:paraId="09A2C117">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预决算信息公开性（3分）</w:t>
            </w:r>
          </w:p>
        </w:tc>
        <w:tc>
          <w:tcPr>
            <w:tcW w:w="3436" w:type="dxa"/>
            <w:tcBorders>
              <w:top w:val="single" w:color="000000" w:sz="4" w:space="0"/>
              <w:left w:val="single" w:color="auto" w:sz="4" w:space="0"/>
              <w:bottom w:val="single" w:color="000000" w:sz="4" w:space="0"/>
              <w:right w:val="single" w:color="auto" w:sz="4" w:space="0"/>
            </w:tcBorders>
            <w:vAlign w:val="center"/>
          </w:tcPr>
          <w:p w14:paraId="4D2CC41E">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部门是否按照政府信息公开有关规定公开相关预决算信息，用以反映和评价部门预决算管理的公开透明情况。</w:t>
            </w:r>
          </w:p>
          <w:p w14:paraId="046872E6">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预决算信息是指与部门预算、执行、决算、监督、绩效等管理相关的信息。</w:t>
            </w:r>
          </w:p>
          <w:p w14:paraId="67BF4B6E">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评价要点：</w:t>
            </w:r>
          </w:p>
          <w:p w14:paraId="43A6432A">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1.公开预决算信息；</w:t>
            </w:r>
          </w:p>
          <w:p w14:paraId="53C291BC">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2.按规定内容公开预决算信息；</w:t>
            </w:r>
          </w:p>
          <w:p w14:paraId="184A41BE">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3.按规定时限公开预决算信息。</w:t>
            </w:r>
          </w:p>
        </w:tc>
        <w:tc>
          <w:tcPr>
            <w:tcW w:w="2373" w:type="dxa"/>
            <w:tcBorders>
              <w:top w:val="single" w:color="000000" w:sz="4" w:space="0"/>
              <w:left w:val="single" w:color="auto" w:sz="4" w:space="0"/>
              <w:bottom w:val="single" w:color="000000" w:sz="4" w:space="0"/>
              <w:right w:val="single" w:color="auto" w:sz="4" w:space="0"/>
            </w:tcBorders>
            <w:vAlign w:val="center"/>
          </w:tcPr>
          <w:p w14:paraId="022AFA30">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全部符合（3）；</w:t>
            </w:r>
          </w:p>
          <w:p w14:paraId="76969FBD">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符合其中两项（2）</w:t>
            </w:r>
          </w:p>
          <w:p w14:paraId="14CB2BB5">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符合其中一项及以下（0）。</w:t>
            </w:r>
          </w:p>
        </w:tc>
        <w:tc>
          <w:tcPr>
            <w:tcW w:w="764" w:type="dxa"/>
            <w:tcBorders>
              <w:top w:val="single" w:color="000000" w:sz="4" w:space="0"/>
              <w:left w:val="single" w:color="auto" w:sz="4" w:space="0"/>
              <w:bottom w:val="single" w:color="000000" w:sz="4" w:space="0"/>
              <w:right w:val="single" w:color="000000" w:sz="4" w:space="0"/>
            </w:tcBorders>
            <w:vAlign w:val="center"/>
          </w:tcPr>
          <w:p w14:paraId="49A51552">
            <w:pPr>
              <w:widowControl/>
              <w:spacing w:line="240" w:lineRule="exact"/>
              <w:jc w:val="left"/>
              <w:rPr>
                <w:rFonts w:hint="eastAsia" w:eastAsia="宋体"/>
                <w:szCs w:val="21"/>
                <w:lang w:val="en-US" w:eastAsia="zh-CN"/>
              </w:rPr>
            </w:pPr>
            <w:r>
              <w:rPr>
                <w:rFonts w:hint="eastAsia"/>
                <w:szCs w:val="21"/>
                <w:lang w:val="en-US" w:eastAsia="zh-CN"/>
              </w:rPr>
              <w:t>3</w:t>
            </w:r>
          </w:p>
        </w:tc>
      </w:tr>
      <w:tr w14:paraId="208C2AB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68CD0ACE"/>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0D6D7792"/>
        </w:tc>
        <w:tc>
          <w:tcPr>
            <w:tcW w:w="1275" w:type="dxa"/>
            <w:tcBorders>
              <w:top w:val="single" w:color="000000" w:sz="4" w:space="0"/>
              <w:left w:val="single" w:color="000000" w:sz="4" w:space="0"/>
              <w:bottom w:val="single" w:color="000000" w:sz="4" w:space="0"/>
              <w:right w:val="single" w:color="auto" w:sz="4" w:space="0"/>
            </w:tcBorders>
            <w:vAlign w:val="center"/>
          </w:tcPr>
          <w:p w14:paraId="5BF7C71C">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rPr>
              <w:t>基础信息完善性</w:t>
            </w:r>
            <w:r>
              <w:rPr>
                <w:rFonts w:hint="eastAsia" w:ascii="仿宋_GB2312" w:hAnsi="仿宋_GB2312" w:eastAsia="仿宋_GB2312" w:cs="仿宋_GB2312"/>
                <w:kern w:val="0"/>
                <w:szCs w:val="21"/>
              </w:rPr>
              <w:t>（4分）</w:t>
            </w:r>
          </w:p>
        </w:tc>
        <w:tc>
          <w:tcPr>
            <w:tcW w:w="3436" w:type="dxa"/>
            <w:tcBorders>
              <w:top w:val="single" w:color="000000" w:sz="4" w:space="0"/>
              <w:left w:val="single" w:color="auto" w:sz="4" w:space="0"/>
              <w:bottom w:val="single" w:color="000000" w:sz="4" w:space="0"/>
              <w:right w:val="single" w:color="auto" w:sz="4" w:space="0"/>
            </w:tcBorders>
            <w:vAlign w:val="center"/>
          </w:tcPr>
          <w:p w14:paraId="0C5DF16F">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部门基础信息是否完善，用以反映和评价基础信息对预算管理工作的支撑情况。</w:t>
            </w:r>
          </w:p>
          <w:p w14:paraId="08C856D4">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评价要点：</w:t>
            </w:r>
          </w:p>
          <w:p w14:paraId="5B086E82">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1.基本财务管理制度健全；</w:t>
            </w:r>
          </w:p>
          <w:p w14:paraId="4B5280D8">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2.基础数据信息和会计信息资料真实；</w:t>
            </w:r>
          </w:p>
          <w:p w14:paraId="3D78468A">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3.基础数据信息和会计信息资料完整；</w:t>
            </w:r>
          </w:p>
          <w:p w14:paraId="4846F06D">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4.基础数据信息和会计信息资料准确。</w:t>
            </w:r>
          </w:p>
        </w:tc>
        <w:tc>
          <w:tcPr>
            <w:tcW w:w="2373" w:type="dxa"/>
            <w:tcBorders>
              <w:top w:val="single" w:color="000000" w:sz="4" w:space="0"/>
              <w:left w:val="single" w:color="auto" w:sz="4" w:space="0"/>
              <w:bottom w:val="single" w:color="000000" w:sz="4" w:space="0"/>
              <w:right w:val="single" w:color="auto" w:sz="4" w:space="0"/>
            </w:tcBorders>
            <w:vAlign w:val="center"/>
          </w:tcPr>
          <w:p w14:paraId="14F24DB9">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符合全部四项（4）；</w:t>
            </w:r>
          </w:p>
          <w:p w14:paraId="13A7C2DF">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符合其中三项（2）；</w:t>
            </w:r>
          </w:p>
          <w:p w14:paraId="616D3CBD">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符合其中两项（1）；</w:t>
            </w:r>
          </w:p>
          <w:p w14:paraId="437C0343">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符合其中一项及以下（0）。</w:t>
            </w:r>
          </w:p>
        </w:tc>
        <w:tc>
          <w:tcPr>
            <w:tcW w:w="764" w:type="dxa"/>
            <w:tcBorders>
              <w:top w:val="single" w:color="000000" w:sz="4" w:space="0"/>
              <w:left w:val="single" w:color="auto" w:sz="4" w:space="0"/>
              <w:bottom w:val="single" w:color="000000" w:sz="4" w:space="0"/>
              <w:right w:val="single" w:color="000000" w:sz="4" w:space="0"/>
            </w:tcBorders>
            <w:vAlign w:val="center"/>
          </w:tcPr>
          <w:p w14:paraId="3FF0CD5A">
            <w:pPr>
              <w:widowControl/>
              <w:spacing w:line="240" w:lineRule="exact"/>
              <w:jc w:val="left"/>
              <w:rPr>
                <w:rFonts w:hint="eastAsia" w:eastAsia="宋体"/>
                <w:szCs w:val="21"/>
                <w:lang w:val="en-US" w:eastAsia="zh-CN"/>
              </w:rPr>
            </w:pPr>
            <w:r>
              <w:rPr>
                <w:rFonts w:hint="eastAsia"/>
                <w:szCs w:val="21"/>
                <w:lang w:val="en-US" w:eastAsia="zh-CN"/>
              </w:rPr>
              <w:t>4</w:t>
            </w:r>
          </w:p>
        </w:tc>
      </w:tr>
      <w:tr w14:paraId="14449E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2B6FA257"/>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693F30F5">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资产管理情况（5分）</w:t>
            </w:r>
          </w:p>
        </w:tc>
        <w:tc>
          <w:tcPr>
            <w:tcW w:w="1275" w:type="dxa"/>
            <w:tcBorders>
              <w:top w:val="single" w:color="auto" w:sz="4" w:space="0"/>
              <w:left w:val="single" w:color="000000" w:sz="4" w:space="0"/>
              <w:bottom w:val="single" w:color="000000" w:sz="4" w:space="0"/>
              <w:right w:val="single" w:color="auto" w:sz="4" w:space="0"/>
            </w:tcBorders>
            <w:vAlign w:val="center"/>
          </w:tcPr>
          <w:p w14:paraId="7A1A4A05">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资产管理完整性（2分）</w:t>
            </w:r>
          </w:p>
        </w:tc>
        <w:tc>
          <w:tcPr>
            <w:tcW w:w="3436" w:type="dxa"/>
            <w:tcBorders>
              <w:top w:val="single" w:color="auto" w:sz="4" w:space="0"/>
              <w:left w:val="single" w:color="auto" w:sz="4" w:space="0"/>
              <w:bottom w:val="single" w:color="000000" w:sz="4" w:space="0"/>
              <w:right w:val="single" w:color="auto" w:sz="4" w:space="0"/>
            </w:tcBorders>
            <w:vAlign w:val="center"/>
          </w:tcPr>
          <w:p w14:paraId="26F88BE1">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部门的资产是否保存完整、使用合规、收入及时足额上缴，用以反映和评价部门资产运行情况。</w:t>
            </w:r>
          </w:p>
          <w:p w14:paraId="7FDF5102">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评价要点：</w:t>
            </w:r>
          </w:p>
          <w:p w14:paraId="666C9389">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1.资产保存完整；</w:t>
            </w:r>
          </w:p>
          <w:p w14:paraId="2861D47E">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2.资产账务管理是否合规，</w:t>
            </w:r>
            <w:r>
              <w:rPr>
                <w:rFonts w:ascii="仿宋_GB2312" w:hAnsi="仿宋_GB2312" w:eastAsia="文泉驿微米黑" w:cs="仿宋_GB2312"/>
                <w:kern w:val="0"/>
                <w:szCs w:val="21"/>
              </w:rPr>
              <w:t>账</w:t>
            </w:r>
            <w:r>
              <w:rPr>
                <w:rFonts w:hint="eastAsia" w:ascii="仿宋_GB2312" w:hAnsi="仿宋_GB2312" w:eastAsia="仿宋_GB2312" w:cs="仿宋_GB2312"/>
                <w:kern w:val="0"/>
                <w:szCs w:val="21"/>
              </w:rPr>
              <w:t>实相符；</w:t>
            </w:r>
          </w:p>
          <w:p w14:paraId="4682F030">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3.资产有偿使用及处置收入及时足额上缴。</w:t>
            </w:r>
          </w:p>
        </w:tc>
        <w:tc>
          <w:tcPr>
            <w:tcW w:w="2373" w:type="dxa"/>
            <w:tcBorders>
              <w:top w:val="single" w:color="auto" w:sz="4" w:space="0"/>
              <w:left w:val="single" w:color="auto" w:sz="4" w:space="0"/>
              <w:bottom w:val="single" w:color="000000" w:sz="4" w:space="0"/>
              <w:right w:val="single" w:color="auto" w:sz="4" w:space="0"/>
            </w:tcBorders>
            <w:vAlign w:val="center"/>
          </w:tcPr>
          <w:p w14:paraId="79873A0E">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符合全部三项（3）；</w:t>
            </w:r>
          </w:p>
          <w:p w14:paraId="0CDA8BD7">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符合其中两项（2）；</w:t>
            </w:r>
          </w:p>
          <w:p w14:paraId="48FA47F6">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符合其中一项（1）；</w:t>
            </w:r>
          </w:p>
          <w:p w14:paraId="10A260BA">
            <w:pPr>
              <w:widowControl/>
              <w:pBdr>
                <w:top w:val="none" w:color="auto" w:sz="0" w:space="0"/>
                <w:left w:val="none" w:color="auto" w:sz="0" w:space="0"/>
                <w:bottom w:val="none" w:color="auto" w:sz="0" w:space="0"/>
                <w:right w:val="none" w:color="auto"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符合零项（0）。</w:t>
            </w:r>
          </w:p>
        </w:tc>
        <w:tc>
          <w:tcPr>
            <w:tcW w:w="764" w:type="dxa"/>
            <w:tcBorders>
              <w:top w:val="single" w:color="auto" w:sz="4" w:space="0"/>
              <w:left w:val="single" w:color="auto" w:sz="4" w:space="0"/>
              <w:bottom w:val="single" w:color="000000" w:sz="4" w:space="0"/>
              <w:right w:val="single" w:color="000000" w:sz="4" w:space="0"/>
            </w:tcBorders>
            <w:vAlign w:val="center"/>
          </w:tcPr>
          <w:p w14:paraId="79E8EF0F">
            <w:pPr>
              <w:widowControl/>
              <w:spacing w:line="240" w:lineRule="exact"/>
              <w:jc w:val="left"/>
              <w:rPr>
                <w:rFonts w:hint="eastAsia" w:eastAsia="宋体"/>
                <w:szCs w:val="21"/>
                <w:lang w:val="en-US" w:eastAsia="zh-CN"/>
              </w:rPr>
            </w:pPr>
            <w:r>
              <w:rPr>
                <w:rFonts w:hint="eastAsia"/>
                <w:szCs w:val="21"/>
                <w:lang w:val="en-US" w:eastAsia="zh-CN"/>
              </w:rPr>
              <w:t>2</w:t>
            </w:r>
          </w:p>
        </w:tc>
      </w:tr>
      <w:tr w14:paraId="00CB39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580B6989"/>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05AE5521"/>
        </w:tc>
        <w:tc>
          <w:tcPr>
            <w:tcW w:w="1275" w:type="dxa"/>
            <w:tcBorders>
              <w:top w:val="single" w:color="auto" w:sz="4" w:space="0"/>
              <w:left w:val="single" w:color="000000" w:sz="4" w:space="0"/>
              <w:bottom w:val="single" w:color="000000" w:sz="4" w:space="0"/>
              <w:right w:val="single" w:color="auto" w:sz="4" w:space="0"/>
            </w:tcBorders>
            <w:vAlign w:val="center"/>
          </w:tcPr>
          <w:p w14:paraId="41BE5EA2">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固定资产利用率（3分）</w:t>
            </w:r>
          </w:p>
        </w:tc>
        <w:tc>
          <w:tcPr>
            <w:tcW w:w="3436" w:type="dxa"/>
            <w:tcBorders>
              <w:top w:val="single" w:color="auto" w:sz="4" w:space="0"/>
              <w:left w:val="single" w:color="auto" w:sz="4" w:space="0"/>
              <w:bottom w:val="single" w:color="000000" w:sz="4" w:space="0"/>
              <w:right w:val="single" w:color="auto" w:sz="4" w:space="0"/>
            </w:tcBorders>
            <w:vAlign w:val="center"/>
          </w:tcPr>
          <w:p w14:paraId="1959FCFB">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部门实际在用固定资产总额与所有固定资产总额的比率，用以反映和评价部门固定资产使用效率。</w:t>
            </w:r>
          </w:p>
          <w:p w14:paraId="0572E6EB">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固定资产利用率=（实际在用固定资产总额/所有固定资产总额）×100%。</w:t>
            </w:r>
          </w:p>
        </w:tc>
        <w:tc>
          <w:tcPr>
            <w:tcW w:w="2373" w:type="dxa"/>
            <w:tcBorders>
              <w:top w:val="single" w:color="auto" w:sz="4" w:space="0"/>
              <w:left w:val="single" w:color="auto" w:sz="4" w:space="0"/>
              <w:bottom w:val="single" w:color="000000" w:sz="4" w:space="0"/>
              <w:right w:val="single" w:color="auto" w:sz="4" w:space="0"/>
            </w:tcBorders>
            <w:vAlign w:val="center"/>
          </w:tcPr>
          <w:p w14:paraId="417C66CA">
            <w:pPr>
              <w:widowControl/>
              <w:pBdr>
                <w:top w:val="none" w:color="auto" w:sz="0" w:space="0"/>
                <w:left w:val="none" w:color="auto" w:sz="0" w:space="0"/>
                <w:bottom w:val="none" w:color="auto" w:sz="0" w:space="0"/>
                <w:right w:val="none" w:color="auto"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1.固定资产利用率大于或等于95%的，得满分；</w:t>
            </w:r>
          </w:p>
          <w:p w14:paraId="50495E67">
            <w:pPr>
              <w:widowControl/>
              <w:pBdr>
                <w:top w:val="none" w:color="auto" w:sz="0" w:space="0"/>
                <w:left w:val="none" w:color="auto" w:sz="0" w:space="0"/>
                <w:bottom w:val="none" w:color="auto" w:sz="0" w:space="0"/>
                <w:right w:val="none" w:color="auto"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2.固定资产利用率小于或等于85%的，得0分；</w:t>
            </w:r>
          </w:p>
          <w:p w14:paraId="0488848F">
            <w:pPr>
              <w:widowControl/>
              <w:pBdr>
                <w:top w:val="none" w:color="auto" w:sz="0" w:space="0"/>
                <w:left w:val="none" w:color="auto" w:sz="0" w:space="0"/>
                <w:bottom w:val="none" w:color="auto" w:sz="0" w:space="0"/>
                <w:right w:val="none" w:color="auto"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3.固定资产利用率在85%-95%之间的，在0和满分之间计算确定：</w:t>
            </w:r>
          </w:p>
          <w:p w14:paraId="771F11F8">
            <w:pPr>
              <w:widowControl/>
              <w:pBdr>
                <w:top w:val="none" w:color="auto" w:sz="0" w:space="0"/>
                <w:left w:val="none" w:color="auto" w:sz="0" w:space="0"/>
                <w:bottom w:val="none" w:color="auto" w:sz="0" w:space="0"/>
                <w:right w:val="none" w:color="auto"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得分=［某部门固定资产利用率-min（固定资产利用率）］/［max（固定资产利用率）-min（固定资产利用率）］×该指标分值。</w:t>
            </w:r>
          </w:p>
        </w:tc>
        <w:tc>
          <w:tcPr>
            <w:tcW w:w="764" w:type="dxa"/>
            <w:tcBorders>
              <w:top w:val="single" w:color="auto" w:sz="4" w:space="0"/>
              <w:left w:val="single" w:color="auto" w:sz="4" w:space="0"/>
              <w:bottom w:val="single" w:color="000000" w:sz="4" w:space="0"/>
              <w:right w:val="single" w:color="000000" w:sz="4" w:space="0"/>
            </w:tcBorders>
            <w:vAlign w:val="center"/>
          </w:tcPr>
          <w:p w14:paraId="3C0826AE">
            <w:pPr>
              <w:widowControl/>
              <w:spacing w:line="240" w:lineRule="exact"/>
              <w:jc w:val="left"/>
              <w:rPr>
                <w:rFonts w:hint="eastAsia" w:eastAsia="宋体"/>
                <w:szCs w:val="21"/>
                <w:lang w:val="en-US" w:eastAsia="zh-CN"/>
              </w:rPr>
            </w:pPr>
            <w:r>
              <w:rPr>
                <w:rFonts w:hint="eastAsia"/>
                <w:szCs w:val="21"/>
                <w:lang w:val="en-US" w:eastAsia="zh-CN"/>
              </w:rPr>
              <w:t>3</w:t>
            </w:r>
          </w:p>
        </w:tc>
      </w:tr>
      <w:tr w14:paraId="72DB3B0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14:paraId="757BD14D">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产出(25分)</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221878BB">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职责履行情况（25）</w:t>
            </w:r>
          </w:p>
        </w:tc>
        <w:tc>
          <w:tcPr>
            <w:tcW w:w="1275" w:type="dxa"/>
            <w:tcBorders>
              <w:top w:val="single" w:color="000000" w:sz="4" w:space="0"/>
              <w:left w:val="single" w:color="000000" w:sz="4" w:space="0"/>
              <w:bottom w:val="single" w:color="auto" w:sz="4" w:space="0"/>
              <w:right w:val="single" w:color="auto" w:sz="4" w:space="0"/>
            </w:tcBorders>
            <w:vAlign w:val="center"/>
          </w:tcPr>
          <w:p w14:paraId="1346334E">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履职完成情况（10分）</w:t>
            </w:r>
          </w:p>
        </w:tc>
        <w:tc>
          <w:tcPr>
            <w:tcW w:w="3436" w:type="dxa"/>
            <w:tcBorders>
              <w:top w:val="single" w:color="000000" w:sz="4" w:space="0"/>
              <w:left w:val="single" w:color="auto" w:sz="4" w:space="0"/>
              <w:bottom w:val="single" w:color="auto" w:sz="4" w:space="0"/>
              <w:right w:val="single" w:color="auto" w:sz="4" w:space="0"/>
            </w:tcBorders>
            <w:vAlign w:val="center"/>
          </w:tcPr>
          <w:p w14:paraId="539AD086">
            <w:pPr>
              <w:widowControl/>
              <w:spacing w:line="240" w:lineRule="exact"/>
              <w:jc w:val="left"/>
              <w:textAlignment w:val="center"/>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rPr>
              <w:t>根据年度主要任务分解表的具体任务，逐项评价任务量化指标完成情况、实施效果和责任制建立情况。用以反映和考核部门（单位）履职工作任务目标的完成情况。评价要点：</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 xml:space="preserve">1.每项任务是否已制定了明确、具体、可量化、可衡量的绩效指标；           </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2.每项任务绩效指标的完成情况，是全部完成、基本完成、未完成，还是未实施；</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3.每项任务实施效果情况，是优秀、良好、一般，还是无效果；</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4.每项任务是否建立了目标责任制，是否落实到具体部门和人员负责。</w:t>
            </w:r>
          </w:p>
        </w:tc>
        <w:tc>
          <w:tcPr>
            <w:tcW w:w="2373" w:type="dxa"/>
            <w:tcBorders>
              <w:top w:val="single" w:color="000000" w:sz="4" w:space="0"/>
              <w:left w:val="single" w:color="auto" w:sz="4" w:space="0"/>
              <w:bottom w:val="single" w:color="auto" w:sz="4" w:space="0"/>
              <w:right w:val="single" w:color="auto" w:sz="4" w:space="0"/>
            </w:tcBorders>
            <w:vAlign w:val="center"/>
          </w:tcPr>
          <w:p w14:paraId="233A7B8F">
            <w:pPr>
              <w:widowControl/>
              <w:spacing w:line="240" w:lineRule="exact"/>
              <w:jc w:val="left"/>
              <w:textAlignment w:val="center"/>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rPr>
              <w:t>根据不同部门履职的内容和特点，具体测算部门履职工作任务目标的完成情况。</w:t>
            </w:r>
          </w:p>
        </w:tc>
        <w:tc>
          <w:tcPr>
            <w:tcW w:w="764" w:type="dxa"/>
            <w:tcBorders>
              <w:top w:val="single" w:color="000000" w:sz="4" w:space="0"/>
              <w:left w:val="single" w:color="auto" w:sz="4" w:space="0"/>
              <w:bottom w:val="single" w:color="auto" w:sz="4" w:space="0"/>
              <w:right w:val="single" w:color="000000" w:sz="4" w:space="0"/>
            </w:tcBorders>
            <w:vAlign w:val="center"/>
          </w:tcPr>
          <w:p w14:paraId="1B7D6A51">
            <w:pPr>
              <w:widowControl/>
              <w:spacing w:line="240" w:lineRule="exact"/>
              <w:jc w:val="left"/>
              <w:rPr>
                <w:rFonts w:eastAsia="宋体"/>
                <w:szCs w:val="21"/>
                <w:lang w:val="en-US" w:eastAsia="zh-CN"/>
              </w:rPr>
            </w:pPr>
            <w:r>
              <w:rPr>
                <w:rFonts w:hint="eastAsia"/>
                <w:szCs w:val="21"/>
                <w:lang w:val="en-US" w:eastAsia="zh-CN"/>
              </w:rPr>
              <w:t>9</w:t>
            </w:r>
          </w:p>
        </w:tc>
      </w:tr>
      <w:tr w14:paraId="161A3B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9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3962D8C2"/>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5F3A1C6F"/>
        </w:tc>
        <w:tc>
          <w:tcPr>
            <w:tcW w:w="1275" w:type="dxa"/>
            <w:tcBorders>
              <w:top w:val="single" w:color="000000" w:sz="4" w:space="0"/>
              <w:left w:val="single" w:color="000000" w:sz="4" w:space="0"/>
              <w:right w:val="single" w:color="auto" w:sz="4" w:space="0"/>
            </w:tcBorders>
            <w:vAlign w:val="center"/>
          </w:tcPr>
          <w:p w14:paraId="54ABB0EE">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项目完成质量达标率（15）</w:t>
            </w:r>
          </w:p>
        </w:tc>
        <w:tc>
          <w:tcPr>
            <w:tcW w:w="3436" w:type="dxa"/>
            <w:tcBorders>
              <w:top w:val="single" w:color="000000" w:sz="4" w:space="0"/>
              <w:left w:val="single" w:color="auto" w:sz="4" w:space="0"/>
              <w:right w:val="single" w:color="auto" w:sz="4" w:space="0"/>
            </w:tcBorders>
            <w:vAlign w:val="center"/>
          </w:tcPr>
          <w:p w14:paraId="56FED3E0">
            <w:pPr>
              <w:widowControl/>
              <w:pBdr>
                <w:top w:val="none" w:color="auto" w:sz="0" w:space="0"/>
                <w:left w:val="none" w:color="auto" w:sz="0" w:space="0"/>
                <w:bottom w:val="none" w:color="auto" w:sz="0" w:space="0"/>
                <w:right w:val="none" w:color="auto"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部门已完成项目中质量达标项目个数占已完成项目个数的比率,用以反映和评价部门履职质量目标的实现程度。</w:t>
            </w:r>
          </w:p>
          <w:p w14:paraId="4A6A317A">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项目质量达标率=（已完成项目中质量达标项目个数/已完成项目个数）×100%。</w:t>
            </w:r>
          </w:p>
          <w:p w14:paraId="48065382">
            <w:pPr>
              <w:widowControl/>
              <w:pBdr>
                <w:top w:val="none" w:color="auto" w:sz="0" w:space="0"/>
                <w:left w:val="none" w:color="auto" w:sz="0" w:space="0"/>
                <w:bottom w:val="none" w:color="auto" w:sz="0" w:space="0"/>
                <w:right w:val="none" w:color="auto"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项目质量达标是指项目决算验收合格。</w:t>
            </w:r>
          </w:p>
        </w:tc>
        <w:tc>
          <w:tcPr>
            <w:tcW w:w="2373" w:type="dxa"/>
            <w:tcBorders>
              <w:top w:val="single" w:color="000000" w:sz="4" w:space="0"/>
              <w:left w:val="single" w:color="auto" w:sz="4" w:space="0"/>
              <w:right w:val="single" w:color="auto" w:sz="4" w:space="0"/>
            </w:tcBorders>
            <w:vAlign w:val="center"/>
          </w:tcPr>
          <w:p w14:paraId="0A1E9B73">
            <w:pPr>
              <w:widowControl/>
              <w:pBdr>
                <w:top w:val="none" w:color="auto" w:sz="0" w:space="0"/>
                <w:left w:val="none" w:color="auto" w:sz="0" w:space="0"/>
                <w:bottom w:val="none" w:color="auto" w:sz="0" w:space="0"/>
                <w:right w:val="none" w:color="auto"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1.项目质量达标率等于100%的，得满分；</w:t>
            </w:r>
          </w:p>
          <w:p w14:paraId="0A2C5E23">
            <w:pPr>
              <w:widowControl/>
              <w:pBdr>
                <w:top w:val="none" w:color="auto" w:sz="0" w:space="0"/>
                <w:left w:val="none" w:color="auto" w:sz="0" w:space="0"/>
                <w:bottom w:val="none" w:color="auto" w:sz="0" w:space="0"/>
                <w:right w:val="none" w:color="auto"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2.项目质量达标率小于或等于99%的，得0分；</w:t>
            </w:r>
          </w:p>
          <w:p w14:paraId="56F64FC5">
            <w:pPr>
              <w:widowControl/>
              <w:pBdr>
                <w:top w:val="none" w:color="auto" w:sz="0" w:space="0"/>
                <w:left w:val="none" w:color="auto" w:sz="0" w:space="0"/>
                <w:bottom w:val="none" w:color="auto" w:sz="0" w:space="0"/>
                <w:right w:val="none" w:color="auto"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 xml:space="preserve">3.项目质量达标率在99%-100%之间的，在0和满分之间计算确定： </w:t>
            </w:r>
          </w:p>
          <w:p w14:paraId="74C98F8D">
            <w:pPr>
              <w:widowControl/>
              <w:pBdr>
                <w:top w:val="none" w:color="auto" w:sz="0" w:space="0"/>
                <w:left w:val="none" w:color="auto" w:sz="0" w:space="0"/>
                <w:bottom w:val="none" w:color="auto" w:sz="0" w:space="0"/>
                <w:right w:val="none" w:color="auto"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得分=［某部门项目质量达标率-min（项目质量达标率）］/［max（项目质量达标率）-min（项目质量达标率）］×该指标分值。</w:t>
            </w:r>
          </w:p>
        </w:tc>
        <w:tc>
          <w:tcPr>
            <w:tcW w:w="764" w:type="dxa"/>
            <w:tcBorders>
              <w:top w:val="single" w:color="000000" w:sz="4" w:space="0"/>
              <w:left w:val="single" w:color="auto" w:sz="4" w:space="0"/>
              <w:bottom w:val="single" w:color="auto" w:sz="4" w:space="0"/>
              <w:right w:val="single" w:color="000000" w:sz="4" w:space="0"/>
            </w:tcBorders>
            <w:vAlign w:val="center"/>
          </w:tcPr>
          <w:p w14:paraId="2FEEECCE">
            <w:pPr>
              <w:widowControl/>
              <w:spacing w:line="240" w:lineRule="exact"/>
              <w:jc w:val="left"/>
              <w:rPr>
                <w:rFonts w:eastAsia="宋体"/>
                <w:szCs w:val="21"/>
                <w:lang w:val="en-US" w:eastAsia="zh-CN"/>
              </w:rPr>
            </w:pPr>
            <w:r>
              <w:rPr>
                <w:rFonts w:hint="eastAsia"/>
                <w:szCs w:val="21"/>
                <w:lang w:val="en-US" w:eastAsia="zh-CN"/>
              </w:rPr>
              <w:t>13</w:t>
            </w:r>
          </w:p>
        </w:tc>
      </w:tr>
      <w:tr w14:paraId="0B658F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14:paraId="32A6F198">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效果（20分）</w:t>
            </w:r>
          </w:p>
        </w:tc>
        <w:tc>
          <w:tcPr>
            <w:tcW w:w="743" w:type="dxa"/>
            <w:vMerge w:val="restart"/>
            <w:tcBorders>
              <w:top w:val="single" w:color="auto" w:sz="4" w:space="0"/>
              <w:left w:val="single" w:color="000000" w:sz="4" w:space="0"/>
              <w:right w:val="single" w:color="000000" w:sz="4" w:space="0"/>
            </w:tcBorders>
            <w:vAlign w:val="center"/>
          </w:tcPr>
          <w:p w14:paraId="13BA521D">
            <w:pPr>
              <w:widowControl/>
              <w:spacing w:line="240" w:lineRule="exact"/>
              <w:jc w:val="left"/>
              <w:rPr>
                <w:rFonts w:hint="eastAsia" w:ascii="仿宋_GB2312" w:hAnsi="仿宋_GB2312" w:eastAsia="仿宋_GB2312" w:cs="仿宋_GB2312"/>
                <w:kern w:val="0"/>
                <w:szCs w:val="21"/>
              </w:rPr>
            </w:pPr>
          </w:p>
          <w:p w14:paraId="2CCD4DD7">
            <w:pPr>
              <w:widowControl/>
              <w:spacing w:line="240" w:lineRule="exact"/>
              <w:jc w:val="left"/>
              <w:rPr>
                <w:rFonts w:hint="eastAsia" w:ascii="仿宋_GB2312" w:hAnsi="仿宋_GB2312" w:eastAsia="仿宋_GB2312" w:cs="仿宋_GB2312"/>
                <w:kern w:val="0"/>
                <w:szCs w:val="21"/>
              </w:rPr>
            </w:pPr>
            <w:r>
              <w:rPr>
                <w:rFonts w:hint="eastAsia" w:ascii="仿宋_GB2312" w:hAnsi="仿宋_GB2312" w:eastAsia="仿宋_GB2312" w:cs="仿宋_GB2312"/>
                <w:kern w:val="0"/>
                <w:szCs w:val="21"/>
              </w:rPr>
              <w:t>履职效益情况</w:t>
            </w:r>
          </w:p>
          <w:p w14:paraId="30A3907A">
            <w:pPr>
              <w:widowControl/>
              <w:spacing w:line="240" w:lineRule="exact"/>
              <w:jc w:val="left"/>
              <w:rPr>
                <w:rFonts w:hint="eastAsia" w:ascii="仿宋_GB2312" w:hAnsi="仿宋_GB2312" w:eastAsia="仿宋_GB2312" w:cs="仿宋_GB2312"/>
                <w:kern w:val="0"/>
                <w:szCs w:val="21"/>
              </w:rPr>
            </w:pPr>
            <w:r>
              <w:rPr>
                <w:rFonts w:hint="eastAsia" w:ascii="仿宋_GB2312" w:hAnsi="仿宋_GB2312" w:eastAsia="仿宋_GB2312" w:cs="仿宋_GB2312"/>
                <w:kern w:val="0"/>
                <w:szCs w:val="21"/>
              </w:rPr>
              <w:t>（20分）</w:t>
            </w:r>
          </w:p>
        </w:tc>
        <w:tc>
          <w:tcPr>
            <w:tcW w:w="1275" w:type="dxa"/>
            <w:tcBorders>
              <w:top w:val="single" w:color="000000" w:sz="4" w:space="0"/>
              <w:left w:val="single" w:color="000000" w:sz="4" w:space="0"/>
              <w:bottom w:val="single" w:color="000000" w:sz="4" w:space="0"/>
              <w:right w:val="single" w:color="auto" w:sz="4" w:space="0"/>
            </w:tcBorders>
            <w:vAlign w:val="center"/>
          </w:tcPr>
          <w:p w14:paraId="7D6B34C0">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rPr>
              <w:t>经济效益</w:t>
            </w:r>
            <w:r>
              <w:rPr>
                <w:rFonts w:hint="eastAsia" w:ascii="仿宋_GB2312" w:hAnsi="仿宋_GB2312" w:eastAsia="仿宋_GB2312" w:cs="仿宋_GB2312"/>
                <w:kern w:val="0"/>
                <w:szCs w:val="21"/>
              </w:rPr>
              <w:t>（5分）</w:t>
            </w:r>
          </w:p>
        </w:tc>
        <w:tc>
          <w:tcPr>
            <w:tcW w:w="3436" w:type="dxa"/>
            <w:tcBorders>
              <w:top w:val="single" w:color="000000" w:sz="4" w:space="0"/>
              <w:left w:val="single" w:color="auto" w:sz="4" w:space="0"/>
              <w:bottom w:val="single" w:color="000000" w:sz="4" w:space="0"/>
              <w:right w:val="single" w:color="auto" w:sz="4" w:space="0"/>
            </w:tcBorders>
            <w:vAlign w:val="center"/>
          </w:tcPr>
          <w:p w14:paraId="2F0FA37E">
            <w:pPr>
              <w:widowControl/>
              <w:spacing w:line="240" w:lineRule="exact"/>
              <w:jc w:val="left"/>
              <w:textAlignment w:val="center"/>
              <w:rPr>
                <w:rFonts w:hint="eastAsia"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部门及所属二级单位通过履行职责和预算安排支出项目的实施，对我市带来的经济影响。</w:t>
            </w:r>
          </w:p>
          <w:p w14:paraId="71803639">
            <w:pPr>
              <w:widowControl/>
              <w:spacing w:line="240" w:lineRule="exact"/>
              <w:jc w:val="left"/>
              <w:textAlignment w:val="center"/>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rPr>
              <w:t>评价要点：</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 xml:space="preserve">1.通过部门所属企事业单位改革，促进了企事业单位效益增长情况；          </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2.通过预算支出项目的实施，促进了行业生产能力增长，从而带动行业经济效益增长；</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3.通过预算支出项目的实施，有效提高劳动效率，节约成本费用；</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4.通过预算支出项目的实施，降低了损耗，从而提高了生产效益；</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5.通过预算支出项目的实施，完善了突发情况的监测预警，保障了生产安全，降低了生产损失。</w:t>
            </w:r>
          </w:p>
        </w:tc>
        <w:tc>
          <w:tcPr>
            <w:tcW w:w="2373" w:type="dxa"/>
            <w:tcBorders>
              <w:top w:val="single" w:color="000000" w:sz="4" w:space="0"/>
              <w:left w:val="single" w:color="auto" w:sz="4" w:space="0"/>
              <w:bottom w:val="single" w:color="000000" w:sz="4" w:space="0"/>
              <w:right w:val="single" w:color="auto" w:sz="4" w:space="0"/>
            </w:tcBorders>
            <w:vAlign w:val="center"/>
          </w:tcPr>
          <w:p w14:paraId="2468DB68">
            <w:pPr>
              <w:widowControl/>
              <w:spacing w:line="240" w:lineRule="exact"/>
              <w:jc w:val="left"/>
              <w:textAlignment w:val="center"/>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rPr>
              <w:t>根据不同部门履职的内容和特点，具体测算部门履职产生的经济效益。</w:t>
            </w:r>
          </w:p>
        </w:tc>
        <w:tc>
          <w:tcPr>
            <w:tcW w:w="764" w:type="dxa"/>
            <w:tcBorders>
              <w:top w:val="single" w:color="000000" w:sz="4" w:space="0"/>
              <w:left w:val="single" w:color="auto" w:sz="4" w:space="0"/>
              <w:bottom w:val="single" w:color="000000" w:sz="4" w:space="0"/>
              <w:right w:val="single" w:color="000000" w:sz="4" w:space="0"/>
            </w:tcBorders>
            <w:vAlign w:val="center"/>
          </w:tcPr>
          <w:p w14:paraId="5037B853">
            <w:pPr>
              <w:widowControl/>
              <w:spacing w:line="240" w:lineRule="exact"/>
              <w:jc w:val="left"/>
              <w:rPr>
                <w:rFonts w:hint="eastAsia" w:eastAsia="宋体"/>
                <w:szCs w:val="21"/>
                <w:lang w:val="en-US" w:eastAsia="zh-CN"/>
              </w:rPr>
            </w:pPr>
            <w:r>
              <w:rPr>
                <w:rFonts w:hint="eastAsia"/>
                <w:szCs w:val="21"/>
                <w:lang w:val="en-US" w:eastAsia="zh-CN"/>
              </w:rPr>
              <w:t>5</w:t>
            </w:r>
          </w:p>
        </w:tc>
      </w:tr>
      <w:tr w14:paraId="5D9CC14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left w:val="single" w:color="000000" w:sz="4" w:space="0"/>
              <w:right w:val="single" w:color="000000" w:sz="4" w:space="0"/>
            </w:tcBorders>
            <w:vAlign w:val="center"/>
          </w:tcPr>
          <w:p w14:paraId="1A36813E"/>
        </w:tc>
        <w:tc>
          <w:tcPr>
            <w:tcW w:w="743" w:type="dxa"/>
            <w:vMerge w:val="continue"/>
            <w:tcBorders>
              <w:left w:val="single" w:color="000000" w:sz="4" w:space="0"/>
              <w:right w:val="single" w:color="000000" w:sz="4" w:space="0"/>
            </w:tcBorders>
            <w:vAlign w:val="center"/>
          </w:tcPr>
          <w:p w14:paraId="6FBCDDE6"/>
        </w:tc>
        <w:tc>
          <w:tcPr>
            <w:tcW w:w="1275" w:type="dxa"/>
            <w:tcBorders>
              <w:top w:val="single" w:color="000000" w:sz="4" w:space="0"/>
              <w:left w:val="single" w:color="000000" w:sz="4" w:space="0"/>
              <w:bottom w:val="single" w:color="000000" w:sz="4" w:space="0"/>
              <w:right w:val="single" w:color="auto" w:sz="4" w:space="0"/>
            </w:tcBorders>
            <w:vAlign w:val="center"/>
          </w:tcPr>
          <w:p w14:paraId="4DF4E8D8">
            <w:pPr>
              <w:widowControl/>
              <w:spacing w:line="240" w:lineRule="exact"/>
              <w:rPr>
                <w:rFonts w:hint="eastAsia"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社会效益（5分）</w:t>
            </w:r>
          </w:p>
        </w:tc>
        <w:tc>
          <w:tcPr>
            <w:tcW w:w="3436" w:type="dxa"/>
            <w:tcBorders>
              <w:top w:val="single" w:color="000000" w:sz="4" w:space="0"/>
              <w:left w:val="single" w:color="auto" w:sz="4" w:space="0"/>
              <w:bottom w:val="single" w:color="000000" w:sz="4" w:space="0"/>
              <w:right w:val="single" w:color="auto" w:sz="4" w:space="0"/>
            </w:tcBorders>
            <w:vAlign w:val="center"/>
          </w:tcPr>
          <w:p w14:paraId="65B3AEF5">
            <w:pPr>
              <w:widowControl/>
              <w:spacing w:line="240" w:lineRule="exact"/>
              <w:textAlignment w:val="center"/>
              <w:rPr>
                <w:rFonts w:hint="eastAsia"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部门及所属二级单位履行职责对社会发展所带来的直接或间接影响。</w:t>
            </w:r>
          </w:p>
          <w:p w14:paraId="2F54BFBB">
            <w:pPr>
              <w:widowControl/>
              <w:spacing w:line="240" w:lineRule="exact"/>
              <w:textAlignment w:val="center"/>
              <w:rPr>
                <w:rFonts w:hint="eastAsia"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评价要点：</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 xml:space="preserve">1.通过部门所属企事业单位的改革，促进了企事业单位可持续发展，带动就业增长情况；          </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2.通过预算支出项目的实施，是否明显促进了行业精神文明建设；</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3.通过部门履职是否明显提高城乡居民生活水平，满足了人们日益增长的物质与文化生活需求；</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4.通过预算项目的实施，是否提高了劳动生产率，降低了劳动强度，促进了劳动人民的身心健康；</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5.通过部门履职行业形象是否得到了大大提升了，增强了部门影响力。</w:t>
            </w:r>
          </w:p>
        </w:tc>
        <w:tc>
          <w:tcPr>
            <w:tcW w:w="2373" w:type="dxa"/>
            <w:tcBorders>
              <w:top w:val="single" w:color="000000" w:sz="4" w:space="0"/>
              <w:left w:val="single" w:color="auto" w:sz="4" w:space="0"/>
              <w:bottom w:val="single" w:color="000000" w:sz="4" w:space="0"/>
              <w:right w:val="single" w:color="auto" w:sz="4" w:space="0"/>
            </w:tcBorders>
            <w:vAlign w:val="center"/>
          </w:tcPr>
          <w:p w14:paraId="75B72804">
            <w:pPr>
              <w:widowControl/>
              <w:spacing w:line="240" w:lineRule="exact"/>
              <w:textAlignment w:val="center"/>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rPr>
              <w:t>根据不同部门履职的内容和特点，具体测算部门履职产生的社会效益。</w:t>
            </w:r>
          </w:p>
        </w:tc>
        <w:tc>
          <w:tcPr>
            <w:tcW w:w="764" w:type="dxa"/>
            <w:tcBorders>
              <w:top w:val="single" w:color="000000" w:sz="4" w:space="0"/>
              <w:left w:val="single" w:color="auto" w:sz="4" w:space="0"/>
              <w:bottom w:val="single" w:color="000000" w:sz="4" w:space="0"/>
              <w:right w:val="single" w:color="000000" w:sz="4" w:space="0"/>
            </w:tcBorders>
            <w:vAlign w:val="center"/>
          </w:tcPr>
          <w:p w14:paraId="436D5A4A">
            <w:pPr>
              <w:widowControl/>
              <w:spacing w:line="240" w:lineRule="exact"/>
              <w:jc w:val="left"/>
              <w:rPr>
                <w:rFonts w:hint="eastAsia" w:eastAsia="宋体"/>
                <w:szCs w:val="21"/>
                <w:lang w:val="en-US" w:eastAsia="zh-CN"/>
              </w:rPr>
            </w:pPr>
            <w:r>
              <w:rPr>
                <w:rFonts w:hint="eastAsia"/>
                <w:szCs w:val="21"/>
                <w:lang w:val="en-US" w:eastAsia="zh-CN"/>
              </w:rPr>
              <w:t>5</w:t>
            </w:r>
          </w:p>
        </w:tc>
      </w:tr>
      <w:tr w14:paraId="0AD2F9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left w:val="single" w:color="000000" w:sz="4" w:space="0"/>
              <w:right w:val="single" w:color="000000" w:sz="4" w:space="0"/>
            </w:tcBorders>
            <w:vAlign w:val="center"/>
          </w:tcPr>
          <w:p w14:paraId="00FB78C8"/>
        </w:tc>
        <w:tc>
          <w:tcPr>
            <w:tcW w:w="743" w:type="dxa"/>
            <w:vMerge w:val="continue"/>
            <w:tcBorders>
              <w:left w:val="single" w:color="000000" w:sz="4" w:space="0"/>
              <w:right w:val="single" w:color="000000" w:sz="4" w:space="0"/>
            </w:tcBorders>
            <w:vAlign w:val="center"/>
          </w:tcPr>
          <w:p w14:paraId="6D99DE28"/>
        </w:tc>
        <w:tc>
          <w:tcPr>
            <w:tcW w:w="1275" w:type="dxa"/>
            <w:tcBorders>
              <w:top w:val="single" w:color="000000" w:sz="4" w:space="0"/>
              <w:left w:val="single" w:color="000000" w:sz="4" w:space="0"/>
              <w:bottom w:val="single" w:color="000000" w:sz="4" w:space="0"/>
              <w:right w:val="single" w:color="auto" w:sz="4" w:space="0"/>
            </w:tcBorders>
            <w:vAlign w:val="center"/>
          </w:tcPr>
          <w:p w14:paraId="49FC3025">
            <w:pPr>
              <w:widowControl/>
              <w:spacing w:line="240" w:lineRule="exact"/>
              <w:jc w:val="left"/>
              <w:rPr>
                <w:rFonts w:hint="eastAsia"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生态效益（5分）</w:t>
            </w:r>
          </w:p>
        </w:tc>
        <w:tc>
          <w:tcPr>
            <w:tcW w:w="3436" w:type="dxa"/>
            <w:tcBorders>
              <w:top w:val="single" w:color="000000" w:sz="4" w:space="0"/>
              <w:left w:val="single" w:color="auto" w:sz="4" w:space="0"/>
              <w:bottom w:val="single" w:color="000000" w:sz="4" w:space="0"/>
              <w:right w:val="single" w:color="auto" w:sz="4" w:space="0"/>
            </w:tcBorders>
            <w:vAlign w:val="center"/>
          </w:tcPr>
          <w:p w14:paraId="04B1550D">
            <w:pPr>
              <w:widowControl/>
              <w:spacing w:line="240" w:lineRule="exact"/>
              <w:jc w:val="left"/>
              <w:textAlignment w:val="center"/>
              <w:rPr>
                <w:rFonts w:hint="eastAsia"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部门及所属二级单位履行职责对生态环境所带来的直接或间接影响。</w:t>
            </w:r>
          </w:p>
          <w:p w14:paraId="5F494901">
            <w:pPr>
              <w:widowControl/>
              <w:spacing w:line="240" w:lineRule="exact"/>
              <w:jc w:val="left"/>
              <w:textAlignment w:val="center"/>
              <w:rPr>
                <w:rFonts w:hint="eastAsia"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评价要点：</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1.通过预算支出项目的实施，绿色、节能环保新技术的应用和推广，明显带动各环节的节能减排，也具有一定的环境效益；</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2.通过履职有效地控制虚假、伪劣、霉变等劣质产品进入市场，影响了人民生活质量，净化地市场环境；</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3.通过预算支出项目的实施，是否达到减少污染物排放；</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4.通过预算支出项目的实施，周围环境得到了整治，面貌得到了改善。</w:t>
            </w:r>
          </w:p>
        </w:tc>
        <w:tc>
          <w:tcPr>
            <w:tcW w:w="2373" w:type="dxa"/>
            <w:tcBorders>
              <w:top w:val="single" w:color="000000" w:sz="4" w:space="0"/>
              <w:left w:val="single" w:color="auto" w:sz="4" w:space="0"/>
              <w:bottom w:val="single" w:color="000000" w:sz="4" w:space="0"/>
              <w:right w:val="single" w:color="auto" w:sz="4" w:space="0"/>
            </w:tcBorders>
            <w:vAlign w:val="center"/>
          </w:tcPr>
          <w:p w14:paraId="37D837D4">
            <w:pPr>
              <w:widowControl/>
              <w:spacing w:line="240" w:lineRule="exact"/>
              <w:jc w:val="left"/>
              <w:textAlignment w:val="center"/>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rPr>
              <w:t>根据不同部门履职的内容和特点，具体测算部门履职产生的生态效益。</w:t>
            </w:r>
          </w:p>
        </w:tc>
        <w:tc>
          <w:tcPr>
            <w:tcW w:w="764" w:type="dxa"/>
            <w:tcBorders>
              <w:top w:val="single" w:color="000000" w:sz="4" w:space="0"/>
              <w:left w:val="single" w:color="auto" w:sz="4" w:space="0"/>
              <w:bottom w:val="single" w:color="000000" w:sz="4" w:space="0"/>
              <w:right w:val="single" w:color="000000" w:sz="4" w:space="0"/>
            </w:tcBorders>
            <w:vAlign w:val="center"/>
          </w:tcPr>
          <w:p w14:paraId="2B502C78">
            <w:pPr>
              <w:widowControl/>
              <w:spacing w:line="240" w:lineRule="exact"/>
              <w:jc w:val="left"/>
              <w:rPr>
                <w:rFonts w:hint="eastAsia" w:eastAsia="宋体"/>
                <w:szCs w:val="21"/>
                <w:lang w:val="en-US" w:eastAsia="zh-CN"/>
              </w:rPr>
            </w:pPr>
            <w:r>
              <w:rPr>
                <w:rFonts w:hint="eastAsia"/>
                <w:szCs w:val="21"/>
                <w:lang w:val="en-US" w:eastAsia="zh-CN"/>
              </w:rPr>
              <w:t>5</w:t>
            </w:r>
          </w:p>
        </w:tc>
      </w:tr>
      <w:tr w14:paraId="53899E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0D43A374"/>
        </w:tc>
        <w:tc>
          <w:tcPr>
            <w:tcW w:w="743" w:type="dxa"/>
            <w:vMerge w:val="continue"/>
            <w:tcBorders>
              <w:left w:val="single" w:color="000000" w:sz="4" w:space="0"/>
              <w:bottom w:val="single" w:color="auto" w:sz="4" w:space="0"/>
              <w:right w:val="single" w:color="000000" w:sz="4" w:space="0"/>
            </w:tcBorders>
            <w:vAlign w:val="center"/>
          </w:tcPr>
          <w:p w14:paraId="42A01414"/>
        </w:tc>
        <w:tc>
          <w:tcPr>
            <w:tcW w:w="1275" w:type="dxa"/>
            <w:tcBorders>
              <w:top w:val="single" w:color="000000" w:sz="4" w:space="0"/>
              <w:left w:val="single" w:color="000000" w:sz="4" w:space="0"/>
              <w:bottom w:val="single" w:color="000000" w:sz="4" w:space="0"/>
              <w:right w:val="single" w:color="auto" w:sz="4" w:space="0"/>
            </w:tcBorders>
            <w:vAlign w:val="center"/>
          </w:tcPr>
          <w:p w14:paraId="2094D19F">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服务对象满意度（5）</w:t>
            </w:r>
          </w:p>
        </w:tc>
        <w:tc>
          <w:tcPr>
            <w:tcW w:w="3436" w:type="dxa"/>
            <w:tcBorders>
              <w:top w:val="single" w:color="000000" w:sz="4" w:space="0"/>
              <w:left w:val="single" w:color="auto" w:sz="4" w:space="0"/>
              <w:bottom w:val="single" w:color="000000" w:sz="4" w:space="0"/>
              <w:right w:val="single" w:color="auto" w:sz="4" w:space="0"/>
            </w:tcBorders>
            <w:vAlign w:val="center"/>
          </w:tcPr>
          <w:p w14:paraId="389670EC">
            <w:pPr>
              <w:widowControl/>
              <w:pBdr>
                <w:top w:val="none" w:color="auto" w:sz="0" w:space="0"/>
                <w:left w:val="none" w:color="auto" w:sz="0" w:space="0"/>
                <w:bottom w:val="none" w:color="auto" w:sz="0" w:space="0"/>
                <w:right w:val="none" w:color="auto"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rPr>
              <w:t>通过对部门（单位）的服务对象对部门履职效果的满意程度调查，反映和考核社会公众或服务对象对部门履职的满意度。</w:t>
            </w:r>
          </w:p>
        </w:tc>
        <w:tc>
          <w:tcPr>
            <w:tcW w:w="2373" w:type="dxa"/>
            <w:tcBorders>
              <w:top w:val="single" w:color="000000" w:sz="4" w:space="0"/>
              <w:left w:val="single" w:color="auto" w:sz="4" w:space="0"/>
              <w:bottom w:val="single" w:color="000000" w:sz="4" w:space="0"/>
              <w:right w:val="single" w:color="auto" w:sz="4" w:space="0"/>
            </w:tcBorders>
            <w:vAlign w:val="center"/>
          </w:tcPr>
          <w:p w14:paraId="23241572">
            <w:pPr>
              <w:widowControl/>
              <w:spacing w:line="240" w:lineRule="exact"/>
              <w:rPr>
                <w:rFonts w:hint="eastAsia" w:ascii="仿宋_GB2312" w:hAnsi="仿宋_GB2312" w:eastAsia="仿宋_GB2312" w:cs="仿宋_GB2312"/>
                <w:kern w:val="0"/>
                <w:szCs w:val="21"/>
              </w:rPr>
            </w:pPr>
            <w:r>
              <w:rPr>
                <w:rFonts w:hint="eastAsia" w:ascii="仿宋_GB2312" w:hAnsi="仿宋_GB2312" w:eastAsia="仿宋_GB2312" w:cs="仿宋_GB2312"/>
                <w:kern w:val="0"/>
                <w:szCs w:val="21"/>
              </w:rPr>
              <w:t>按照满意度调查的优秀、良好、合格、不合格给予该项指标打分：</w:t>
            </w:r>
          </w:p>
          <w:p w14:paraId="64D676E2">
            <w:pPr>
              <w:widowControl/>
              <w:spacing w:line="240" w:lineRule="exact"/>
              <w:rPr>
                <w:rFonts w:hint="eastAsia" w:ascii="仿宋_GB2312" w:hAnsi="仿宋_GB2312" w:eastAsia="仿宋_GB2312" w:cs="仿宋_GB2312"/>
                <w:szCs w:val="21"/>
              </w:rPr>
            </w:pPr>
            <w:r>
              <w:rPr>
                <w:rFonts w:hint="eastAsia" w:ascii="仿宋_GB2312" w:hAnsi="仿宋_GB2312" w:eastAsia="仿宋_GB2312" w:cs="仿宋_GB2312"/>
                <w:kern w:val="0"/>
                <w:szCs w:val="21"/>
              </w:rPr>
              <w:t>优秀（5）；良好（3）；合格（1）；不合格（0）。</w:t>
            </w:r>
          </w:p>
        </w:tc>
        <w:tc>
          <w:tcPr>
            <w:tcW w:w="764" w:type="dxa"/>
            <w:tcBorders>
              <w:top w:val="single" w:color="000000" w:sz="4" w:space="0"/>
              <w:left w:val="single" w:color="auto" w:sz="4" w:space="0"/>
              <w:bottom w:val="single" w:color="000000" w:sz="4" w:space="0"/>
              <w:right w:val="single" w:color="000000" w:sz="4" w:space="0"/>
            </w:tcBorders>
            <w:vAlign w:val="center"/>
          </w:tcPr>
          <w:p w14:paraId="19C84791">
            <w:pPr>
              <w:widowControl/>
              <w:spacing w:line="240" w:lineRule="exact"/>
              <w:jc w:val="left"/>
              <w:rPr>
                <w:rFonts w:hint="eastAsia" w:eastAsia="宋体"/>
                <w:szCs w:val="21"/>
                <w:lang w:val="en-US" w:eastAsia="zh-CN"/>
              </w:rPr>
            </w:pPr>
            <w:r>
              <w:rPr>
                <w:rFonts w:hint="eastAsia"/>
                <w:szCs w:val="21"/>
                <w:lang w:val="en-US" w:eastAsia="zh-CN"/>
              </w:rPr>
              <w:t>5</w:t>
            </w:r>
          </w:p>
        </w:tc>
      </w:tr>
    </w:tbl>
    <w:p w14:paraId="37DD3E51">
      <w:pPr>
        <w:spacing w:line="240" w:lineRule="exact"/>
        <w:rPr>
          <w:rFonts w:ascii="仿宋" w:hAnsi="仿宋" w:eastAsia="仿宋" w:cs="仿宋"/>
          <w:sz w:val="32"/>
          <w:szCs w:val="32"/>
        </w:rPr>
      </w:pPr>
    </w:p>
    <w:p w14:paraId="35E1AD9C">
      <w:pPr>
        <w:pStyle w:val="2"/>
        <w:ind w:left="0" w:firstLine="600" w:firstLineChars="200"/>
      </w:pPr>
      <w:r>
        <w:rPr>
          <w:rFonts w:hint="eastAsia" w:ascii="仿宋" w:hAnsi="仿宋" w:eastAsia="仿宋"/>
          <w:color w:val="000000"/>
          <w:sz w:val="30"/>
          <w:szCs w:val="24"/>
        </w:rPr>
        <w:t>本次绩效评价，我们根据实际情况，暂定项目绩效总分100分，确定了评分扣减项目，</w:t>
      </w:r>
      <w:r>
        <w:rPr>
          <w:rFonts w:hint="eastAsia" w:ascii="仿宋" w:hAnsi="仿宋" w:eastAsia="仿宋"/>
          <w:color w:val="000000"/>
          <w:sz w:val="30"/>
          <w:szCs w:val="24"/>
          <w:lang w:eastAsia="zh-CN"/>
        </w:rPr>
        <w:t>部门预算项</w:t>
      </w:r>
      <w:r>
        <w:rPr>
          <w:rFonts w:hint="eastAsia" w:ascii="仿宋" w:hAnsi="仿宋" w:eastAsia="仿宋"/>
          <w:color w:val="auto"/>
          <w:sz w:val="30"/>
          <w:szCs w:val="24"/>
          <w:lang w:eastAsia="zh-CN"/>
        </w:rPr>
        <w:t>目</w:t>
      </w:r>
      <w:r>
        <w:rPr>
          <w:rFonts w:hint="eastAsia" w:ascii="仿宋" w:hAnsi="仿宋" w:eastAsia="仿宋"/>
          <w:bCs/>
          <w:color w:val="auto"/>
          <w:sz w:val="30"/>
          <w:szCs w:val="24"/>
        </w:rPr>
        <w:t>综合得分</w:t>
      </w:r>
      <w:r>
        <w:rPr>
          <w:rFonts w:hint="eastAsia" w:ascii="仿宋" w:hAnsi="仿宋" w:eastAsia="仿宋"/>
          <w:bCs/>
          <w:color w:val="auto"/>
          <w:sz w:val="30"/>
          <w:szCs w:val="24"/>
          <w:lang w:val="en-US" w:eastAsia="zh-CN"/>
        </w:rPr>
        <w:t>95</w:t>
      </w:r>
      <w:r>
        <w:rPr>
          <w:rFonts w:hint="eastAsia" w:ascii="仿宋" w:hAnsi="仿宋" w:eastAsia="仿宋"/>
          <w:bCs/>
          <w:color w:val="auto"/>
          <w:sz w:val="30"/>
          <w:szCs w:val="24"/>
        </w:rPr>
        <w:t>分，评价结论为良。</w:t>
      </w:r>
    </w:p>
    <w:p w14:paraId="2942E780">
      <w:pPr>
        <w:spacing w:line="240" w:lineRule="auto"/>
        <w:rPr>
          <w:rFonts w:hint="eastAsia" w:ascii="仿宋" w:hAnsi="仿宋" w:eastAsia="仿宋" w:cs="仿宋"/>
          <w:sz w:val="32"/>
          <w:szCs w:val="32"/>
          <w:lang w:val="en-US" w:eastAsia="zh-CN"/>
        </w:rPr>
      </w:pPr>
    </w:p>
    <w:sectPr>
      <w:footerReference r:id="rId3" w:type="default"/>
      <w:footerReference r:id="rId4" w:type="even"/>
      <w:pgSz w:w="11906" w:h="16838"/>
      <w:pgMar w:top="1985" w:right="1418" w:bottom="1985" w:left="1418" w:header="851" w:footer="1701" w:gutter="0"/>
      <w:cols w:space="425" w:num="1"/>
      <w:docGrid w:type="lines" w:linePitch="313"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楷体_GB2312">
    <w:panose1 w:val="02010609030101010101"/>
    <w:charset w:val="86"/>
    <w:family w:val="auto"/>
    <w:pitch w:val="default"/>
    <w:sig w:usb0="00000001" w:usb1="080E0000" w:usb2="00000000" w:usb3="00000000" w:csb0="00040000" w:csb1="00000000"/>
  </w:font>
  <w:font w:name="Lucida Sans">
    <w:panose1 w:val="020B0602030504020204"/>
    <w:charset w:val="00"/>
    <w:family w:val="auto"/>
    <w:pitch w:val="default"/>
    <w:sig w:usb0="00000003" w:usb1="00000000" w:usb2="00000000" w:usb3="00000000" w:csb0="20000001" w:csb1="00000000"/>
  </w:font>
  <w:font w:name="文泉驿微米黑">
    <w:altName w:val="黑体"/>
    <w:panose1 w:val="020B0606030804020204"/>
    <w:charset w:val="86"/>
    <w:family w:val="auto"/>
    <w:pitch w:val="default"/>
    <w:sig w:usb0="00000000" w:usb1="00000000" w:usb2="00800036" w:usb3="00000000" w:csb0="603E019F" w:csb1="DFD70000"/>
  </w:font>
  <w:font w:name="仿宋">
    <w:panose1 w:val="02010609060101010101"/>
    <w:charset w:val="86"/>
    <w:family w:val="modern"/>
    <w:pitch w:val="default"/>
    <w:sig w:usb0="800002BF" w:usb1="38CF7CFA" w:usb2="00000016" w:usb3="00000000" w:csb0="00040001" w:csb1="00000000"/>
  </w:font>
  <w:font w:name="新宋体">
    <w:panose1 w:val="02010609030101010101"/>
    <w:charset w:val="86"/>
    <w:family w:val="auto"/>
    <w:pitch w:val="default"/>
    <w:sig w:usb0="00000203" w:usb1="288F0000" w:usb2="0000000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B3291D">
    <w:pPr>
      <w:pStyle w:val="9"/>
      <w:framePr w:wrap="around" w:vAnchor="text" w:hAnchor="margin" w:xAlign="outside" w:y="1"/>
      <w:rPr>
        <w:rStyle w:val="15"/>
        <w:rFonts w:ascii="宋体" w:hAnsi="宋体" w:eastAsia="宋体"/>
        <w:sz w:val="28"/>
        <w:szCs w:val="28"/>
      </w:rPr>
    </w:pPr>
    <w:r>
      <w:rPr>
        <w:rStyle w:val="15"/>
        <w:rFonts w:hint="eastAsia" w:ascii="宋体" w:hAnsi="宋体" w:eastAsia="宋体"/>
        <w:sz w:val="28"/>
        <w:szCs w:val="28"/>
      </w:rPr>
      <w:t>-</w:t>
    </w:r>
    <w:r>
      <w:rPr>
        <w:rStyle w:val="15"/>
        <w:rFonts w:ascii="宋体" w:hAnsi="宋体" w:eastAsia="宋体"/>
        <w:sz w:val="28"/>
        <w:szCs w:val="28"/>
      </w:rPr>
      <w:fldChar w:fldCharType="begin"/>
    </w:r>
    <w:r>
      <w:rPr>
        <w:rStyle w:val="15"/>
        <w:rFonts w:ascii="宋体" w:hAnsi="宋体" w:eastAsia="宋体"/>
        <w:sz w:val="28"/>
        <w:szCs w:val="28"/>
      </w:rPr>
      <w:instrText xml:space="preserve">PAGE  </w:instrText>
    </w:r>
    <w:r>
      <w:rPr>
        <w:rStyle w:val="15"/>
        <w:rFonts w:ascii="宋体" w:hAnsi="宋体" w:eastAsia="宋体"/>
        <w:sz w:val="28"/>
        <w:szCs w:val="28"/>
      </w:rPr>
      <w:fldChar w:fldCharType="separate"/>
    </w:r>
    <w:r>
      <w:rPr>
        <w:rStyle w:val="15"/>
        <w:rFonts w:ascii="宋体" w:hAnsi="宋体" w:eastAsia="宋体"/>
        <w:sz w:val="28"/>
        <w:szCs w:val="28"/>
      </w:rPr>
      <w:t>6</w:t>
    </w:r>
    <w:r>
      <w:rPr>
        <w:rStyle w:val="15"/>
        <w:rFonts w:ascii="宋体" w:hAnsi="宋体" w:eastAsia="宋体"/>
        <w:sz w:val="28"/>
        <w:szCs w:val="28"/>
      </w:rPr>
      <w:fldChar w:fldCharType="end"/>
    </w:r>
    <w:r>
      <w:rPr>
        <w:rStyle w:val="15"/>
        <w:rFonts w:hint="eastAsia" w:ascii="宋体" w:hAnsi="宋体" w:eastAsia="宋体"/>
        <w:sz w:val="28"/>
        <w:szCs w:val="28"/>
      </w:rPr>
      <w:t>-</w:t>
    </w:r>
  </w:p>
  <w:p w14:paraId="2A0936A2">
    <w:pPr>
      <w:pStyle w:val="9"/>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B6FB97">
    <w:pPr>
      <w:pStyle w:val="9"/>
      <w:framePr w:wrap="around" w:vAnchor="text" w:hAnchor="margin" w:xAlign="outside" w:y="1"/>
      <w:rPr>
        <w:rStyle w:val="15"/>
      </w:rPr>
    </w:pPr>
    <w:r>
      <w:rPr>
        <w:rStyle w:val="15"/>
      </w:rPr>
      <w:fldChar w:fldCharType="begin"/>
    </w:r>
    <w:r>
      <w:rPr>
        <w:rStyle w:val="15"/>
      </w:rPr>
      <w:instrText xml:space="preserve">PAGE  </w:instrText>
    </w:r>
    <w:r>
      <w:rPr>
        <w:rStyle w:val="15"/>
      </w:rPr>
      <w:fldChar w:fldCharType="separate"/>
    </w:r>
    <w:r>
      <w:rPr>
        <w:rStyle w:val="15"/>
      </w:rPr>
      <w:fldChar w:fldCharType="end"/>
    </w:r>
  </w:p>
  <w:p w14:paraId="4B42E491">
    <w:pPr>
      <w:pStyle w:val="9"/>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dit="readOnly" w:enforcement="0"/>
  <w:defaultTabStop w:val="420"/>
  <w:drawingGridHorizontalSpacing w:val="105"/>
  <w:drawingGridVerticalSpacing w:val="313"/>
  <w:displayHorizontalDrawingGridEvery w:val="0"/>
  <w:displayVerticalDrawingGridEvery w:val="1"/>
  <w:characterSpacingControl w:val="compressPunctuation"/>
  <w:compat>
    <w:spaceForUL/>
    <w:balanceSingleByteDoubleByteWidth/>
    <w:ulTrailSpace/>
    <w:doNotExpandShiftReturn/>
    <w:adjustLineHeightInTable/>
    <w:useFELayout/>
    <w:compatSetting w:name="compatibilityMode" w:uri="http://schemas.microsoft.com/office/word" w:val="14"/>
  </w:compat>
  <w:docVars>
    <w:docVar w:name="commondata" w:val="eyJoZGlkIjoiOTZiMmU2NzA4Zjk3YzdjMDA1YjgzZjMwNjM1ZWI2ZjEifQ=="/>
  </w:docVars>
  <w:rsids>
    <w:rsidRoot w:val="00000000"/>
    <w:rsid w:val="3EB743E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Lucida Sans"/>
      </w:rPr>
    </w:rPrDefault>
    <w:pPrDefault/>
  </w:docDefaults>
  <w:latentStyles w:count="260" w:defQFormat="0" w:defUnhideWhenUsed="1" w:defSemiHidden="1" w:defUIPriority="99" w:defLockedState="0">
    <w:lsdException w:unhideWhenUsed="0" w:uiPriority="0" w:semiHidden="0" w:name="Normal"/>
    <w:lsdException w:unhideWhenUsed="0" w:uiPriority="0" w:semiHidden="0" w:name="heading 1"/>
    <w:lsdException w:unhideWhenUsed="0" w:uiPriority="0" w:semiHidden="0" w:name="heading 2"/>
    <w:lsdException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semiHidden="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uiPriority w:val="0"/>
    <w:pPr>
      <w:widowControl w:val="0"/>
      <w:jc w:val="both"/>
    </w:pPr>
    <w:rPr>
      <w:rFonts w:ascii="Calibri" w:hAnsi="Calibri" w:eastAsia="宋体" w:cs="Arial"/>
      <w:kern w:val="2"/>
      <w:sz w:val="21"/>
      <w:szCs w:val="22"/>
      <w:lang w:val="en-US" w:eastAsia="zh-CN" w:bidi="ar-SA"/>
    </w:rPr>
  </w:style>
  <w:style w:type="paragraph" w:styleId="4">
    <w:name w:val="heading 1"/>
    <w:basedOn w:val="1"/>
    <w:next w:val="1"/>
    <w:uiPriority w:val="0"/>
    <w:pPr>
      <w:spacing w:before="100" w:beforeAutospacing="1" w:after="100" w:afterAutospacing="1"/>
      <w:jc w:val="left"/>
      <w:outlineLvl w:val="0"/>
    </w:pPr>
    <w:rPr>
      <w:rFonts w:ascii="宋体" w:hAnsi="宋体" w:eastAsia="宋体" w:cs="宋体"/>
      <w:b/>
      <w:kern w:val="44"/>
      <w:sz w:val="48"/>
      <w:szCs w:val="48"/>
    </w:rPr>
  </w:style>
  <w:style w:type="paragraph" w:styleId="5">
    <w:name w:val="heading 2"/>
    <w:basedOn w:val="1"/>
    <w:next w:val="1"/>
    <w:uiPriority w:val="0"/>
    <w:pPr>
      <w:keepNext/>
      <w:keepLines/>
      <w:spacing w:before="260" w:after="260" w:line="415" w:lineRule="auto"/>
      <w:outlineLvl w:val="1"/>
    </w:pPr>
    <w:rPr>
      <w:rFonts w:ascii="文泉驿微米黑" w:hAnsi="文泉驿微米黑" w:eastAsia="黑体"/>
      <w:b/>
      <w:bCs/>
      <w:sz w:val="32"/>
      <w:szCs w:val="32"/>
    </w:rPr>
  </w:style>
  <w:style w:type="paragraph" w:styleId="6">
    <w:name w:val="heading 3"/>
    <w:basedOn w:val="1"/>
    <w:next w:val="1"/>
    <w:uiPriority w:val="0"/>
    <w:pPr>
      <w:keepNext/>
      <w:keepLines/>
      <w:spacing w:before="260" w:after="260" w:line="415" w:lineRule="auto"/>
      <w:outlineLvl w:val="2"/>
    </w:pPr>
    <w:rPr>
      <w:b/>
      <w:bCs/>
      <w:sz w:val="32"/>
      <w:szCs w:val="32"/>
    </w:rPr>
  </w:style>
  <w:style w:type="character" w:default="1" w:styleId="13">
    <w:name w:val="Default Paragraph Font"/>
    <w:uiPriority w:val="0"/>
  </w:style>
  <w:style w:type="table" w:default="1" w:styleId="12">
    <w:name w:val="Normal Table"/>
    <w:semiHidden/>
    <w:uiPriority w:val="0"/>
    <w:tblPr>
      <w:tblCellMar>
        <w:top w:w="0" w:type="dxa"/>
        <w:left w:w="108" w:type="dxa"/>
        <w:bottom w:w="0" w:type="dxa"/>
        <w:right w:w="108" w:type="dxa"/>
      </w:tblCellMar>
    </w:tblPr>
  </w:style>
  <w:style w:type="paragraph" w:styleId="2">
    <w:name w:val="Body Text First Indent 2"/>
    <w:basedOn w:val="3"/>
    <w:uiPriority w:val="0"/>
    <w:pPr>
      <w:ind w:firstLine="200" w:firstLineChars="200"/>
    </w:pPr>
  </w:style>
  <w:style w:type="paragraph" w:styleId="3">
    <w:name w:val="Body Text Indent"/>
    <w:basedOn w:val="1"/>
    <w:qFormat/>
    <w:uiPriority w:val="0"/>
    <w:pPr>
      <w:spacing w:line="600" w:lineRule="exact"/>
      <w:ind w:firstLine="200" w:firstLineChars="200"/>
      <w:textAlignment w:val="center"/>
    </w:pPr>
    <w:rPr>
      <w:rFonts w:ascii="宋体" w:hAnsi="宋体"/>
      <w:color w:val="FF0000"/>
      <w:sz w:val="28"/>
      <w:szCs w:val="28"/>
    </w:rPr>
  </w:style>
  <w:style w:type="paragraph" w:styleId="7">
    <w:name w:val="Body Text"/>
    <w:basedOn w:val="1"/>
    <w:qFormat/>
    <w:uiPriority w:val="0"/>
    <w:pPr>
      <w:autoSpaceDE w:val="0"/>
      <w:autoSpaceDN w:val="0"/>
      <w:adjustRightInd w:val="0"/>
      <w:snapToGrid w:val="0"/>
      <w:spacing w:line="588" w:lineRule="atLeast"/>
    </w:pPr>
    <w:rPr>
      <w:rFonts w:ascii="宋体" w:hAnsi="宋体" w:eastAsia="仿宋_GB2312"/>
      <w:spacing w:val="-2"/>
      <w:sz w:val="32"/>
      <w:szCs w:val="24"/>
    </w:rPr>
  </w:style>
  <w:style w:type="paragraph" w:styleId="8">
    <w:name w:val="Plain Text"/>
    <w:basedOn w:val="1"/>
    <w:qFormat/>
    <w:uiPriority w:val="0"/>
    <w:rPr>
      <w:rFonts w:ascii="宋体" w:hAnsi="Courier New" w:eastAsia="宋体" w:cs="Courier New"/>
      <w:szCs w:val="21"/>
    </w:rPr>
  </w:style>
  <w:style w:type="paragraph" w:styleId="9">
    <w:name w:val="footer"/>
    <w:basedOn w:val="1"/>
    <w:qFormat/>
    <w:uiPriority w:val="0"/>
    <w:pPr>
      <w:tabs>
        <w:tab w:val="center" w:pos="4153"/>
        <w:tab w:val="right" w:pos="8306"/>
      </w:tabs>
      <w:snapToGrid w:val="0"/>
      <w:jc w:val="left"/>
    </w:pPr>
    <w:rPr>
      <w:sz w:val="18"/>
      <w:szCs w:val="18"/>
    </w:rPr>
  </w:style>
  <w:style w:type="paragraph" w:styleId="10">
    <w:name w:val="header"/>
    <w:basedOn w:val="1"/>
    <w:uiPriority w:val="0"/>
    <w:pPr>
      <w:pBdr>
        <w:bottom w:val="single" w:color="auto" w:sz="6" w:space="1"/>
      </w:pBdr>
      <w:tabs>
        <w:tab w:val="center" w:pos="4153"/>
        <w:tab w:val="right" w:pos="8306"/>
      </w:tabs>
      <w:snapToGrid w:val="0"/>
      <w:jc w:val="center"/>
    </w:pPr>
    <w:rPr>
      <w:sz w:val="18"/>
      <w:szCs w:val="18"/>
    </w:rPr>
  </w:style>
  <w:style w:type="paragraph" w:styleId="11">
    <w:name w:val="Normal (Web)"/>
    <w:basedOn w:val="1"/>
    <w:uiPriority w:val="0"/>
    <w:pPr>
      <w:widowControl/>
      <w:spacing w:before="100" w:beforeAutospacing="1" w:after="100" w:afterAutospacing="1"/>
      <w:jc w:val="left"/>
    </w:pPr>
    <w:rPr>
      <w:rFonts w:ascii="宋体" w:hAnsi="宋体" w:eastAsia="宋体" w:cs="宋体"/>
      <w:kern w:val="0"/>
      <w:sz w:val="24"/>
      <w:szCs w:val="24"/>
    </w:rPr>
  </w:style>
  <w:style w:type="character" w:styleId="14">
    <w:name w:val="Strong"/>
    <w:basedOn w:val="13"/>
    <w:uiPriority w:val="0"/>
    <w:rPr>
      <w:b/>
      <w:bCs/>
    </w:rPr>
  </w:style>
  <w:style w:type="character" w:styleId="15">
    <w:name w:val="page number"/>
    <w:basedOn w:val="13"/>
    <w:uiPriority w:val="0"/>
  </w:style>
  <w:style w:type="character" w:customStyle="1" w:styleId="16">
    <w:name w:val="font31"/>
    <w:basedOn w:val="13"/>
    <w:uiPriority w:val="0"/>
    <w:rPr>
      <w:rFonts w:ascii="宋体" w:hAnsi="宋体" w:eastAsia="宋体" w:cs="宋体"/>
      <w:b/>
      <w:color w:val="000000"/>
      <w:sz w:val="36"/>
      <w:szCs w:val="36"/>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customProps>
</customData>
</file>

<file path=customXml/itemProps1.xml><?xml version="1.0" encoding="utf-8"?>
<ds:datastoreItem xmlns:ds="http://schemas.openxmlformats.org/officeDocument/2006/customXml" ds:itemID="{EE698629-7BA6-416E-95FF-116A49C73207}">
  <ds:schemaRefs/>
</ds:datastoreItem>
</file>

<file path=docProps/app.xml><?xml version="1.0" encoding="utf-8"?>
<Properties xmlns="http://schemas.openxmlformats.org/officeDocument/2006/extended-properties" xmlns:vt="http://schemas.openxmlformats.org/officeDocument/2006/docPropsVTypes">
  <Template>Normal.eit</Template>
  <Pages>8</Pages>
  <Words>5921</Words>
  <Characters>6315</Characters>
  <Lines>0</Lines>
  <Paragraphs>23</Paragraphs>
  <TotalTime>2</TotalTime>
  <ScaleCrop>false</ScaleCrop>
  <LinksUpToDate>false</LinksUpToDate>
  <CharactersWithSpaces>6352</CharactersWithSpaces>
  <Application>WPS Office_12.1.0.20784_F1E327BC-269C-435d-A152-05C5408002CA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2016-02-22T07:07:00Z</dcterms:created>
  <dc:creator>Administrator</dc:creator>
  <cp:lastModifiedBy>李孟泽</cp:lastModifiedBy>
  <cp:lastPrinted>2020-06-02T00:39:00Z</cp:lastPrinted>
  <dcterms:modified xsi:type="dcterms:W3CDTF">2025-04-09T04:53:36Z</dcterms:modified>
  <cp:revision>72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58430ECF68274BE987899300D6241077_12</vt:lpwstr>
  </property>
  <property fmtid="{D5CDD505-2E9C-101B-9397-08002B2CF9AE}" pid="4" name="KSOTemplateDocerSaveRecord">
    <vt:lpwstr>eyJoZGlkIjoiYTUwN2VjYjRjODZlZTA4YTFlNDAwZGFlODhhNTZhN2EiLCJ1c2VySWQiOiI0MDgxMDA0MzUifQ==</vt:lpwstr>
  </property>
</Properties>
</file>