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2A1F2EF">
      <w:pPr>
        <w:widowControl/>
        <w:jc w:val="center"/>
        <w:rPr>
          <w:rFonts w:ascii="宋体" w:hAnsi="宋体" w:eastAsia="宋体" w:cs="宋体"/>
          <w:b/>
          <w:bCs/>
          <w:kern w:val="0"/>
          <w:sz w:val="44"/>
          <w:szCs w:val="44"/>
        </w:rPr>
      </w:pPr>
    </w:p>
    <w:p w14:paraId="3DE66452">
      <w:pPr>
        <w:widowControl/>
        <w:jc w:val="center"/>
        <w:rPr>
          <w:rFonts w:ascii="宋体" w:hAnsi="宋体" w:eastAsia="宋体" w:cs="宋体"/>
          <w:b/>
          <w:bCs/>
          <w:kern w:val="0"/>
          <w:sz w:val="44"/>
          <w:szCs w:val="44"/>
        </w:rPr>
      </w:pPr>
      <w:r>
        <w:rPr>
          <w:rFonts w:hint="eastAsia" w:ascii="宋体" w:hAnsi="宋体" w:eastAsia="宋体" w:cs="宋体"/>
          <w:b/>
          <w:bCs/>
          <w:kern w:val="0"/>
          <w:sz w:val="44"/>
          <w:szCs w:val="44"/>
        </w:rPr>
        <w:t>隆尧县魏家庄镇人民政府</w:t>
      </w:r>
    </w:p>
    <w:p w14:paraId="71764B8A">
      <w:pPr>
        <w:widowControl/>
        <w:jc w:val="center"/>
        <w:rPr>
          <w:rFonts w:ascii="宋体" w:hAnsi="宋体" w:eastAsia="宋体" w:cs="宋体"/>
          <w:b/>
          <w:bCs/>
          <w:kern w:val="0"/>
          <w:sz w:val="44"/>
          <w:szCs w:val="44"/>
        </w:rPr>
      </w:pPr>
      <w:r>
        <w:rPr>
          <w:rFonts w:hint="eastAsia" w:ascii="宋体" w:hAnsi="宋体" w:eastAsia="宋体" w:cs="宋体"/>
          <w:b/>
          <w:bCs/>
          <w:kern w:val="0"/>
          <w:sz w:val="44"/>
          <w:szCs w:val="44"/>
        </w:rPr>
        <w:t>2021年综合执法改革专项经费项目</w:t>
      </w:r>
    </w:p>
    <w:p w14:paraId="3DF75E65">
      <w:pPr>
        <w:widowControl/>
        <w:jc w:val="center"/>
        <w:rPr>
          <w:rFonts w:ascii="宋体" w:hAnsi="宋体" w:eastAsia="宋体" w:cs="宋体"/>
          <w:b/>
          <w:bCs/>
          <w:kern w:val="0"/>
          <w:sz w:val="44"/>
          <w:szCs w:val="44"/>
        </w:rPr>
      </w:pPr>
      <w:r>
        <w:rPr>
          <w:rFonts w:hint="eastAsia" w:ascii="宋体" w:hAnsi="宋体" w:eastAsia="宋体" w:cs="宋体"/>
          <w:b/>
          <w:bCs/>
          <w:kern w:val="0"/>
          <w:sz w:val="44"/>
          <w:szCs w:val="44"/>
        </w:rPr>
        <w:t>绩效评价自评报告</w:t>
      </w:r>
    </w:p>
    <w:p w14:paraId="70BFC5EC">
      <w:pPr>
        <w:widowControl/>
        <w:rPr>
          <w:rFonts w:ascii="黑体" w:hAnsi="黑体" w:eastAsia="黑体" w:cs="宋体"/>
          <w:b/>
          <w:bCs/>
          <w:kern w:val="0"/>
          <w:sz w:val="44"/>
          <w:szCs w:val="44"/>
        </w:rPr>
      </w:pPr>
    </w:p>
    <w:p w14:paraId="33DA832C">
      <w:pPr>
        <w:pStyle w:val="8"/>
        <w:widowControl/>
        <w:numPr>
          <w:ilvl w:val="0"/>
          <w:numId w:val="1"/>
        </w:numPr>
        <w:ind w:firstLineChars="0"/>
        <w:rPr>
          <w:rFonts w:ascii="黑体" w:hAnsi="黑体" w:eastAsia="黑体" w:cs="宋体"/>
          <w:b/>
          <w:bCs/>
          <w:kern w:val="0"/>
          <w:sz w:val="32"/>
          <w:szCs w:val="32"/>
        </w:rPr>
      </w:pPr>
      <w:r>
        <w:rPr>
          <w:rFonts w:hint="eastAsia" w:ascii="黑体" w:hAnsi="黑体" w:eastAsia="黑体" w:cs="宋体"/>
          <w:b/>
          <w:bCs/>
          <w:kern w:val="0"/>
          <w:sz w:val="32"/>
          <w:szCs w:val="32"/>
        </w:rPr>
        <w:t>项目概况</w:t>
      </w:r>
    </w:p>
    <w:p w14:paraId="306F474E">
      <w:pPr>
        <w:widowControl/>
        <w:rPr>
          <w:rFonts w:cs="宋体" w:asciiTheme="minorEastAsia" w:hAnsiTheme="minorEastAsia"/>
          <w:kern w:val="0"/>
          <w:sz w:val="32"/>
          <w:szCs w:val="32"/>
        </w:rPr>
      </w:pPr>
      <w:r>
        <w:rPr>
          <w:rFonts w:hint="eastAsia" w:cs="宋体" w:asciiTheme="minorEastAsia" w:hAnsiTheme="minorEastAsia"/>
          <w:kern w:val="0"/>
          <w:sz w:val="32"/>
          <w:szCs w:val="32"/>
        </w:rPr>
        <w:t xml:space="preserve">  </w:t>
      </w:r>
      <w:r>
        <w:rPr>
          <w:rFonts w:cs="宋体" w:asciiTheme="minorEastAsia" w:hAnsiTheme="minorEastAsia"/>
          <w:kern w:val="0"/>
          <w:sz w:val="32"/>
          <w:szCs w:val="32"/>
        </w:rPr>
        <w:t xml:space="preserve"> </w:t>
      </w:r>
      <w:r>
        <w:rPr>
          <w:rFonts w:ascii="仿宋" w:hAnsi="仿宋" w:eastAsia="仿宋" w:cs="宋体"/>
          <w:kern w:val="0"/>
          <w:sz w:val="32"/>
          <w:szCs w:val="32"/>
        </w:rPr>
        <w:t xml:space="preserve"> </w:t>
      </w:r>
      <w:r>
        <w:rPr>
          <w:rFonts w:hint="eastAsia" w:ascii="仿宋" w:hAnsi="仿宋" w:eastAsia="仿宋" w:cs="宋体"/>
          <w:kern w:val="0"/>
          <w:sz w:val="32"/>
          <w:szCs w:val="32"/>
        </w:rPr>
        <w:t>魏家庄镇党委是党在农村的基层组织，是党在农村全部工作和战斗力的基础，全面领导本镇的工作和基层社会治理，支持和保证行政组织、经济组织和群众自治组织充分行使职权；魏家庄镇人大是基层地方国家权力机关，加强基层政权、推进基层民主法治建设和政治文明建设；魏家庄镇政府是本级人民代表大会的执行机关，依法行使行政职权。2021年为确保综合执法改革专项工作正常运转，镇政府年初制定60万元预算，用于综合执法改革专项经费；此项经费主要用于镇正常办公、印刷、劳务、差旅、办公设备购置、租赁等费用开支。</w:t>
      </w:r>
    </w:p>
    <w:p w14:paraId="193DEE70">
      <w:pPr>
        <w:widowControl/>
        <w:rPr>
          <w:rFonts w:ascii="仿宋" w:hAnsi="仿宋" w:eastAsia="仿宋" w:cs="宋体"/>
          <w:kern w:val="0"/>
          <w:sz w:val="32"/>
          <w:szCs w:val="32"/>
        </w:rPr>
      </w:pPr>
      <w:r>
        <w:rPr>
          <w:rFonts w:hint="eastAsia" w:cs="宋体" w:asciiTheme="minorEastAsia" w:hAnsiTheme="minorEastAsia"/>
          <w:kern w:val="0"/>
          <w:sz w:val="32"/>
          <w:szCs w:val="32"/>
        </w:rPr>
        <w:t>（</w:t>
      </w:r>
      <w:r>
        <w:rPr>
          <w:rFonts w:hint="eastAsia" w:ascii="仿宋" w:hAnsi="仿宋" w:eastAsia="仿宋" w:cs="宋体"/>
          <w:kern w:val="0"/>
          <w:sz w:val="32"/>
          <w:szCs w:val="32"/>
        </w:rPr>
        <w:t>一）政府战略规划或目标。</w:t>
      </w:r>
    </w:p>
    <w:p w14:paraId="31CC0B53">
      <w:pPr>
        <w:widowControl/>
        <w:ind w:firstLine="640" w:firstLineChars="200"/>
        <w:rPr>
          <w:rFonts w:ascii="仿宋" w:hAnsi="仿宋" w:eastAsia="仿宋" w:cs="宋体"/>
          <w:kern w:val="0"/>
          <w:sz w:val="32"/>
          <w:szCs w:val="32"/>
        </w:rPr>
      </w:pPr>
      <w:r>
        <w:rPr>
          <w:rFonts w:hint="eastAsia" w:ascii="仿宋" w:hAnsi="仿宋" w:eastAsia="仿宋" w:cs="宋体"/>
          <w:kern w:val="0"/>
          <w:sz w:val="32"/>
          <w:szCs w:val="32"/>
        </w:rPr>
        <w:t>总目标：隆尧县魏家庄镇人民政府为镇政府工作部门，机构规格正科级，位于隆尧县魏家庄镇魏家庄村迎宾路4</w:t>
      </w:r>
      <w:r>
        <w:rPr>
          <w:rFonts w:ascii="仿宋" w:hAnsi="仿宋" w:eastAsia="仿宋" w:cs="宋体"/>
          <w:kern w:val="0"/>
          <w:sz w:val="32"/>
          <w:szCs w:val="32"/>
        </w:rPr>
        <w:t>7</w:t>
      </w:r>
      <w:r>
        <w:rPr>
          <w:rFonts w:hint="eastAsia" w:ascii="仿宋" w:hAnsi="仿宋" w:eastAsia="仿宋" w:cs="宋体"/>
          <w:kern w:val="0"/>
          <w:sz w:val="32"/>
          <w:szCs w:val="32"/>
        </w:rPr>
        <w:t>号，镇政府主要职能：⑴制定和组织实施经济、科技和社会发展计划，制定资源开发技术改造和产业结构调整方案，组织指导好各业生产，搞好商品流通，协调好本镇与外地区的经济交流与合作，抓好招商引资，人才引进项目开发，不断培育市场体系，组织经济运行，促进经济发展。⑵制定并组织实施村镇建设规划，部署重点工程建设，地方道路建设及公共设施，水利设施的管理，负责土地、林木、水等自然资源和生态环境的保护，做好护林防火工作。⑶负责本行政区域内的民政、计划生育、文化教育、卫生、体育等社会公益事业的综合性工作，维护一切经济单位和个人的正当经济权益，取缔非法经济活动，调解和处理民事纠纷，打击刑事犯罪维护社会稳定。⑷按计划组织本级财政收入和地方税的征收，完成国家财政计划，不断培植税源，管好财政资金，增强财政实力。⑸抓好精神文明建设，丰富群众文化生活，提倡移风易俗，反对封建迷信，破除陈规陋习，树立社会主义新风尚。⑹完成上级政府交办的其它事项。</w:t>
      </w:r>
    </w:p>
    <w:p w14:paraId="2AB5E610">
      <w:pPr>
        <w:widowControl/>
        <w:rPr>
          <w:rFonts w:ascii="仿宋" w:hAnsi="仿宋" w:eastAsia="仿宋" w:cs="宋体"/>
          <w:kern w:val="0"/>
          <w:sz w:val="32"/>
          <w:szCs w:val="32"/>
        </w:rPr>
      </w:pPr>
      <w:r>
        <w:rPr>
          <w:rFonts w:hint="eastAsia" w:ascii="仿宋" w:hAnsi="仿宋" w:eastAsia="仿宋" w:cs="宋体"/>
          <w:kern w:val="0"/>
          <w:sz w:val="32"/>
          <w:szCs w:val="32"/>
        </w:rPr>
        <w:t xml:space="preserve">  （二）单位工作目标。</w:t>
      </w:r>
    </w:p>
    <w:p w14:paraId="7792CF88">
      <w:pPr>
        <w:widowControl/>
        <w:ind w:firstLine="640" w:firstLineChars="200"/>
        <w:rPr>
          <w:rFonts w:ascii="仿宋" w:hAnsi="仿宋" w:eastAsia="仿宋" w:cs="宋体"/>
          <w:kern w:val="0"/>
          <w:sz w:val="32"/>
          <w:szCs w:val="32"/>
        </w:rPr>
      </w:pPr>
      <w:r>
        <w:rPr>
          <w:rFonts w:hint="eastAsia" w:ascii="仿宋" w:hAnsi="仿宋" w:eastAsia="仿宋" w:cs="宋体"/>
          <w:kern w:val="0"/>
          <w:sz w:val="32"/>
          <w:szCs w:val="32"/>
        </w:rPr>
        <w:t>保证政府日常开支的正常运转，以及单位人员日常报销不受影响，确保政府各项工作的顺利进行；同时保证魏家庄镇各项目建设的有推进，带动全镇经济平稳较快发展的重要工作来落实，按照“统筹规划、分级负责、因地制宜、确保质量”的原则，通过项目实施加大农村建设力度，使我镇各项基础设施建设再上一个新的台阶。</w:t>
      </w:r>
    </w:p>
    <w:p w14:paraId="086B0842">
      <w:pPr>
        <w:widowControl/>
        <w:rPr>
          <w:rFonts w:ascii="仿宋" w:hAnsi="仿宋" w:eastAsia="仿宋" w:cs="宋体"/>
          <w:kern w:val="0"/>
          <w:sz w:val="32"/>
          <w:szCs w:val="32"/>
        </w:rPr>
      </w:pPr>
      <w:r>
        <w:rPr>
          <w:rFonts w:hint="eastAsia" w:ascii="仿宋" w:hAnsi="仿宋" w:eastAsia="仿宋" w:cs="宋体"/>
          <w:kern w:val="0"/>
          <w:sz w:val="32"/>
          <w:szCs w:val="32"/>
        </w:rPr>
        <w:t xml:space="preserve">  （三）工作活动(项目)基本情况。</w:t>
      </w:r>
    </w:p>
    <w:p w14:paraId="3F7D8726">
      <w:pPr>
        <w:widowControl/>
        <w:ind w:firstLine="470" w:firstLineChars="147"/>
        <w:rPr>
          <w:rFonts w:ascii="仿宋" w:hAnsi="仿宋" w:eastAsia="仿宋" w:cs="宋体"/>
          <w:kern w:val="0"/>
          <w:sz w:val="32"/>
          <w:szCs w:val="32"/>
        </w:rPr>
      </w:pPr>
      <w:r>
        <w:rPr>
          <w:rFonts w:hint="eastAsia" w:ascii="仿宋" w:hAnsi="仿宋" w:eastAsia="仿宋" w:cs="宋体"/>
          <w:kern w:val="0"/>
          <w:sz w:val="32"/>
          <w:szCs w:val="32"/>
        </w:rPr>
        <w:t>魏家庄镇共有</w:t>
      </w:r>
      <w:r>
        <w:rPr>
          <w:rFonts w:ascii="仿宋" w:hAnsi="仿宋" w:eastAsia="仿宋" w:cs="宋体"/>
          <w:kern w:val="0"/>
          <w:sz w:val="32"/>
          <w:szCs w:val="32"/>
        </w:rPr>
        <w:t>36532</w:t>
      </w:r>
      <w:r>
        <w:rPr>
          <w:rFonts w:hint="eastAsia" w:ascii="仿宋" w:hAnsi="仿宋" w:eastAsia="仿宋" w:cs="宋体"/>
          <w:kern w:val="0"/>
          <w:sz w:val="32"/>
          <w:szCs w:val="32"/>
        </w:rPr>
        <w:t>人，共辖</w:t>
      </w:r>
      <w:r>
        <w:rPr>
          <w:rFonts w:ascii="仿宋" w:hAnsi="仿宋" w:eastAsia="仿宋" w:cs="宋体"/>
          <w:kern w:val="0"/>
          <w:sz w:val="32"/>
          <w:szCs w:val="32"/>
        </w:rPr>
        <w:t>25</w:t>
      </w:r>
      <w:r>
        <w:rPr>
          <w:rFonts w:hint="eastAsia" w:ascii="仿宋" w:hAnsi="仿宋" w:eastAsia="仿宋" w:cs="宋体"/>
          <w:kern w:val="0"/>
          <w:sz w:val="32"/>
          <w:szCs w:val="32"/>
        </w:rPr>
        <w:t>个村，综合执法改革专项经费共60万元，用于各级单位交办和下达的各项工作任务及镇村建设，切实履行法律规定的各项权利和义务，保证村支两委正常运转和发展农村经济和社会各项事业。</w:t>
      </w:r>
    </w:p>
    <w:p w14:paraId="0162A691">
      <w:pPr>
        <w:widowControl/>
        <w:ind w:firstLine="472" w:firstLineChars="147"/>
        <w:rPr>
          <w:rFonts w:ascii="黑体" w:hAnsi="黑体" w:eastAsia="黑体" w:cs="宋体"/>
          <w:b/>
          <w:bCs/>
          <w:kern w:val="0"/>
          <w:sz w:val="32"/>
          <w:szCs w:val="32"/>
        </w:rPr>
      </w:pPr>
      <w:r>
        <w:rPr>
          <w:rFonts w:hint="eastAsia" w:ascii="黑体" w:hAnsi="黑体" w:eastAsia="黑体" w:cs="宋体"/>
          <w:b/>
          <w:bCs/>
          <w:kern w:val="0"/>
          <w:sz w:val="32"/>
          <w:szCs w:val="32"/>
        </w:rPr>
        <w:t>二、工作活动(项目)绩效目标和指标设定情况</w:t>
      </w:r>
    </w:p>
    <w:p w14:paraId="1881FFD2">
      <w:pPr>
        <w:widowControl/>
        <w:rPr>
          <w:rFonts w:ascii="仿宋" w:hAnsi="仿宋" w:eastAsia="仿宋" w:cs="宋体"/>
          <w:kern w:val="0"/>
          <w:sz w:val="32"/>
          <w:szCs w:val="32"/>
        </w:rPr>
      </w:pPr>
      <w:r>
        <w:rPr>
          <w:rFonts w:hint="eastAsia" w:ascii="仿宋" w:hAnsi="仿宋" w:eastAsia="仿宋" w:cs="宋体"/>
          <w:kern w:val="0"/>
          <w:sz w:val="32"/>
          <w:szCs w:val="32"/>
        </w:rPr>
        <w:t xml:space="preserve"> （一）工作活动(项目)总目标、年度目标设定情况。</w:t>
      </w:r>
    </w:p>
    <w:p w14:paraId="1487FA5F">
      <w:pPr>
        <w:widowControl/>
        <w:ind w:firstLine="640" w:firstLineChars="200"/>
        <w:rPr>
          <w:rFonts w:ascii="仿宋" w:hAnsi="仿宋" w:eastAsia="仿宋" w:cs="宋体"/>
          <w:kern w:val="0"/>
          <w:sz w:val="32"/>
          <w:szCs w:val="32"/>
        </w:rPr>
      </w:pPr>
      <w:r>
        <w:rPr>
          <w:rFonts w:hint="eastAsia" w:ascii="仿宋" w:hAnsi="仿宋" w:eastAsia="仿宋" w:cs="宋体"/>
          <w:kern w:val="0"/>
          <w:sz w:val="32"/>
          <w:szCs w:val="32"/>
        </w:rPr>
        <w:t>1、镇政府将综合执法改革专项经费科学合理的将所有资金分配到各线工作开支上使用，做到公平公正公开透明。</w:t>
      </w:r>
    </w:p>
    <w:p w14:paraId="6E96DB56">
      <w:pPr>
        <w:widowControl/>
        <w:ind w:firstLine="640" w:firstLineChars="200"/>
        <w:rPr>
          <w:rFonts w:ascii="仿宋" w:hAnsi="仿宋" w:eastAsia="仿宋" w:cs="宋体"/>
          <w:kern w:val="0"/>
          <w:sz w:val="32"/>
          <w:szCs w:val="32"/>
        </w:rPr>
      </w:pPr>
      <w:r>
        <w:rPr>
          <w:rFonts w:hint="eastAsia" w:ascii="仿宋" w:hAnsi="仿宋" w:eastAsia="仿宋" w:cs="宋体"/>
          <w:kern w:val="0"/>
          <w:sz w:val="32"/>
          <w:szCs w:val="32"/>
        </w:rPr>
        <w:t>2、制定镇财务制度，严控“三公”经费的使用。资金由镇财政按时用银行</w:t>
      </w:r>
      <w:r>
        <w:rPr>
          <w:rFonts w:hint="eastAsia" w:ascii="仿宋" w:hAnsi="仿宋" w:eastAsia="仿宋" w:cs="宋体"/>
          <w:kern w:val="0"/>
          <w:sz w:val="32"/>
          <w:szCs w:val="32"/>
          <w:lang w:val="en-US" w:eastAsia="zh-CN"/>
        </w:rPr>
        <w:t>转账</w:t>
      </w:r>
      <w:r>
        <w:rPr>
          <w:rFonts w:hint="eastAsia" w:ascii="仿宋" w:hAnsi="仿宋" w:eastAsia="仿宋" w:cs="宋体"/>
          <w:kern w:val="0"/>
          <w:sz w:val="32"/>
          <w:szCs w:val="32"/>
        </w:rPr>
        <w:t>的方式进行各项支出，保证了资金的安全。</w:t>
      </w:r>
      <w:bookmarkStart w:id="0" w:name="_GoBack"/>
      <w:bookmarkEnd w:id="0"/>
    </w:p>
    <w:p w14:paraId="0E68E0C2">
      <w:pPr>
        <w:widowControl/>
        <w:ind w:firstLine="640" w:firstLineChars="200"/>
        <w:rPr>
          <w:rFonts w:ascii="仿宋" w:hAnsi="仿宋" w:eastAsia="仿宋" w:cs="宋体"/>
          <w:kern w:val="0"/>
          <w:sz w:val="32"/>
          <w:szCs w:val="32"/>
        </w:rPr>
      </w:pPr>
      <w:r>
        <w:rPr>
          <w:rFonts w:hint="eastAsia" w:ascii="仿宋" w:hAnsi="仿宋" w:eastAsia="仿宋" w:cs="宋体"/>
          <w:kern w:val="0"/>
          <w:sz w:val="32"/>
          <w:szCs w:val="32"/>
        </w:rPr>
        <w:t>3、制定各线目标考核制度，对各口主要工作职责和政府中心工作纳入绩效考核。</w:t>
      </w:r>
    </w:p>
    <w:p w14:paraId="3B5105E8">
      <w:pPr>
        <w:widowControl/>
        <w:ind w:firstLine="640" w:firstLineChars="200"/>
        <w:rPr>
          <w:rFonts w:ascii="仿宋" w:hAnsi="仿宋" w:eastAsia="仿宋" w:cs="宋体"/>
          <w:kern w:val="0"/>
          <w:sz w:val="32"/>
          <w:szCs w:val="32"/>
        </w:rPr>
      </w:pPr>
      <w:r>
        <w:rPr>
          <w:rFonts w:hint="eastAsia" w:ascii="仿宋" w:hAnsi="仿宋" w:eastAsia="仿宋" w:cs="宋体"/>
          <w:kern w:val="0"/>
          <w:sz w:val="32"/>
          <w:szCs w:val="32"/>
        </w:rPr>
        <w:t>4、年初镇党委政府制定了年度经济发展计划及中长期经济发展规划。签订了党风廉政建设、社会治安综合治理、安全生产责任状。</w:t>
      </w:r>
    </w:p>
    <w:p w14:paraId="65A41287">
      <w:pPr>
        <w:widowControl/>
        <w:rPr>
          <w:rFonts w:ascii="仿宋" w:hAnsi="仿宋" w:eastAsia="仿宋" w:cs="宋体"/>
          <w:kern w:val="0"/>
          <w:sz w:val="32"/>
          <w:szCs w:val="32"/>
        </w:rPr>
      </w:pPr>
      <w:r>
        <w:rPr>
          <w:rFonts w:hint="eastAsia" w:ascii="仿宋" w:hAnsi="仿宋" w:eastAsia="仿宋" w:cs="宋体"/>
          <w:kern w:val="0"/>
          <w:sz w:val="32"/>
          <w:szCs w:val="32"/>
        </w:rPr>
        <w:t xml:space="preserve"> （二）工作活动(项目)绩效指标设定情况。</w:t>
      </w:r>
    </w:p>
    <w:p w14:paraId="6A2B7AC3">
      <w:pPr>
        <w:widowControl/>
        <w:ind w:firstLine="640" w:firstLineChars="200"/>
        <w:rPr>
          <w:rFonts w:ascii="仿宋" w:hAnsi="仿宋" w:eastAsia="仿宋" w:cs="宋体"/>
          <w:kern w:val="0"/>
          <w:sz w:val="32"/>
          <w:szCs w:val="32"/>
        </w:rPr>
      </w:pPr>
      <w:r>
        <w:rPr>
          <w:rFonts w:hint="eastAsia" w:ascii="仿宋" w:hAnsi="仿宋" w:eastAsia="仿宋" w:cs="宋体"/>
          <w:kern w:val="0"/>
          <w:sz w:val="32"/>
          <w:szCs w:val="32"/>
        </w:rPr>
        <w:t>绩效指标主要包括产出指标（数量指标、质量指标、时效指标）和效果指标（经济效益指标、社会效益指标、可持续发展效益指标）。</w:t>
      </w:r>
    </w:p>
    <w:p w14:paraId="6856CD0B">
      <w:pPr>
        <w:widowControl/>
        <w:ind w:firstLine="640" w:firstLineChars="200"/>
        <w:rPr>
          <w:rFonts w:ascii="仿宋" w:hAnsi="仿宋" w:eastAsia="仿宋" w:cs="宋体"/>
          <w:kern w:val="0"/>
          <w:sz w:val="32"/>
          <w:szCs w:val="32"/>
        </w:rPr>
      </w:pPr>
      <w:r>
        <w:rPr>
          <w:rFonts w:hint="eastAsia" w:ascii="仿宋" w:hAnsi="仿宋" w:eastAsia="仿宋" w:cs="宋体"/>
          <w:kern w:val="0"/>
          <w:sz w:val="32"/>
          <w:szCs w:val="32"/>
        </w:rPr>
        <w:t>产出指标方面，①数量指标：在经费正常运转情况下，按时高效率完成工作任务。②质量指标：建立清理信息定期报送机制，常态化采集信息，并进行分析对比，筛选有价值信息，及时传递至相关部门综合分析和清理。③时效指标：上半年对10个村的工作开展全面专项清理工作。下半年对剩余8个村开展全面专项清理工作。效果指标方面，①经济效益指标：采取综合治理措施。②社会效益指标：进一步规范清理秩序，着力构建营造更加公开公平公正的农村用地环境，持续优化营商环境，提升发展竞争力。③可持续发展效益指标：建立健全村镇规划领导机制、工作机制和责任机制等，促进环保清理工作持续健康开展。</w:t>
      </w:r>
    </w:p>
    <w:p w14:paraId="57CD615D">
      <w:pPr>
        <w:widowControl/>
        <w:rPr>
          <w:rFonts w:ascii="仿宋" w:hAnsi="仿宋" w:eastAsia="仿宋" w:cs="宋体"/>
          <w:kern w:val="0"/>
          <w:sz w:val="32"/>
          <w:szCs w:val="32"/>
        </w:rPr>
      </w:pPr>
      <w:r>
        <w:rPr>
          <w:rFonts w:hint="eastAsia" w:ascii="仿宋" w:hAnsi="仿宋" w:eastAsia="仿宋" w:cs="宋体"/>
          <w:kern w:val="0"/>
          <w:sz w:val="32"/>
          <w:szCs w:val="32"/>
        </w:rPr>
        <w:t xml:space="preserve"> （三）调整情况。</w:t>
      </w:r>
    </w:p>
    <w:p w14:paraId="72E1C7AD">
      <w:pPr>
        <w:widowControl/>
        <w:rPr>
          <w:rFonts w:ascii="仿宋" w:hAnsi="仿宋" w:eastAsia="仿宋" w:cs="宋体"/>
          <w:kern w:val="0"/>
          <w:sz w:val="32"/>
          <w:szCs w:val="32"/>
        </w:rPr>
      </w:pPr>
      <w:r>
        <w:rPr>
          <w:rFonts w:hint="eastAsia" w:ascii="仿宋" w:hAnsi="仿宋" w:eastAsia="仿宋" w:cs="宋体"/>
          <w:kern w:val="0"/>
          <w:sz w:val="32"/>
          <w:szCs w:val="32"/>
        </w:rPr>
        <w:t xml:space="preserve"> </w:t>
      </w:r>
      <w:r>
        <w:rPr>
          <w:rFonts w:ascii="仿宋" w:hAnsi="仿宋" w:eastAsia="仿宋" w:cs="宋体"/>
          <w:kern w:val="0"/>
          <w:sz w:val="32"/>
          <w:szCs w:val="32"/>
        </w:rPr>
        <w:t xml:space="preserve">  </w:t>
      </w:r>
      <w:r>
        <w:rPr>
          <w:rFonts w:hint="eastAsia" w:ascii="仿宋" w:hAnsi="仿宋" w:eastAsia="仿宋" w:cs="宋体"/>
          <w:kern w:val="0"/>
          <w:sz w:val="32"/>
          <w:szCs w:val="32"/>
        </w:rPr>
        <w:t>无调整。</w:t>
      </w:r>
    </w:p>
    <w:p w14:paraId="0349D9A9">
      <w:pPr>
        <w:widowControl/>
        <w:ind w:firstLine="472" w:firstLineChars="147"/>
        <w:rPr>
          <w:rFonts w:ascii="黑体" w:hAnsi="黑体" w:eastAsia="黑体" w:cs="宋体"/>
          <w:b/>
          <w:bCs/>
          <w:kern w:val="0"/>
          <w:sz w:val="32"/>
          <w:szCs w:val="32"/>
        </w:rPr>
      </w:pPr>
      <w:r>
        <w:rPr>
          <w:rFonts w:hint="eastAsia" w:ascii="黑体" w:hAnsi="黑体" w:eastAsia="黑体" w:cs="宋体"/>
          <w:b/>
          <w:bCs/>
          <w:kern w:val="0"/>
          <w:sz w:val="32"/>
          <w:szCs w:val="32"/>
        </w:rPr>
        <w:t>三、工作活动(项目)实施绩效管理情况及取得成绩</w:t>
      </w:r>
    </w:p>
    <w:p w14:paraId="51D786D5">
      <w:pPr>
        <w:widowControl/>
        <w:ind w:left="105" w:leftChars="50"/>
        <w:rPr>
          <w:rFonts w:ascii="黑体" w:hAnsi="黑体" w:eastAsia="黑体" w:cs="宋体"/>
          <w:b/>
          <w:bCs/>
          <w:kern w:val="0"/>
          <w:sz w:val="32"/>
          <w:szCs w:val="32"/>
        </w:rPr>
      </w:pPr>
      <w:r>
        <w:rPr>
          <w:rFonts w:hint="eastAsia" w:ascii="仿宋" w:hAnsi="仿宋" w:eastAsia="仿宋" w:cs="宋体"/>
          <w:kern w:val="0"/>
          <w:sz w:val="32"/>
          <w:szCs w:val="32"/>
        </w:rPr>
        <w:t>（一）计划制定和落实情况。</w:t>
      </w:r>
    </w:p>
    <w:p w14:paraId="5F6C776E">
      <w:pPr>
        <w:widowControl/>
        <w:ind w:firstLine="640" w:firstLineChars="200"/>
        <w:rPr>
          <w:rFonts w:ascii="仿宋" w:hAnsi="仿宋" w:eastAsia="仿宋" w:cs="宋体"/>
          <w:kern w:val="0"/>
          <w:sz w:val="32"/>
          <w:szCs w:val="32"/>
        </w:rPr>
      </w:pPr>
      <w:r>
        <w:rPr>
          <w:rFonts w:hint="eastAsia" w:ascii="仿宋" w:hAnsi="仿宋" w:eastAsia="仿宋" w:cs="宋体"/>
          <w:kern w:val="0"/>
          <w:sz w:val="32"/>
          <w:szCs w:val="32"/>
        </w:rPr>
        <w:t>为了按照统一规则和标准实施评价工作，更加准确地反映项目单位的绩效实际情况，我们将综合绩效评价级别分为4个等级。具体评价等级分类如下：</w:t>
      </w:r>
    </w:p>
    <w:p w14:paraId="07563604">
      <w:pPr>
        <w:widowControl/>
        <w:ind w:left="320"/>
        <w:jc w:val="center"/>
        <w:rPr>
          <w:rFonts w:ascii="仿宋" w:hAnsi="仿宋" w:eastAsia="仿宋" w:cs="宋体"/>
          <w:kern w:val="0"/>
          <w:sz w:val="32"/>
          <w:szCs w:val="32"/>
        </w:rPr>
      </w:pPr>
      <w:r>
        <w:rPr>
          <w:rFonts w:hint="eastAsia" w:ascii="仿宋" w:hAnsi="仿宋" w:eastAsia="仿宋" w:cs="宋体"/>
          <w:kern w:val="0"/>
          <w:sz w:val="32"/>
          <w:szCs w:val="32"/>
        </w:rPr>
        <w:t>绩效评价等级分类表</w:t>
      </w:r>
    </w:p>
    <w:tbl>
      <w:tblPr>
        <w:tblStyle w:val="4"/>
        <w:tblW w:w="8431" w:type="dxa"/>
        <w:tblInd w:w="0" w:type="dxa"/>
        <w:tblLayout w:type="fixed"/>
        <w:tblCellMar>
          <w:top w:w="0" w:type="dxa"/>
          <w:left w:w="0" w:type="dxa"/>
          <w:bottom w:w="0" w:type="dxa"/>
          <w:right w:w="0" w:type="dxa"/>
        </w:tblCellMar>
      </w:tblPr>
      <w:tblGrid>
        <w:gridCol w:w="1437"/>
        <w:gridCol w:w="2105"/>
        <w:gridCol w:w="1807"/>
        <w:gridCol w:w="1413"/>
        <w:gridCol w:w="1669"/>
      </w:tblGrid>
      <w:tr w14:paraId="468DC460">
        <w:tblPrEx>
          <w:tblCellMar>
            <w:top w:w="0" w:type="dxa"/>
            <w:left w:w="0" w:type="dxa"/>
            <w:bottom w:w="0" w:type="dxa"/>
            <w:right w:w="0" w:type="dxa"/>
          </w:tblCellMar>
        </w:tblPrEx>
        <w:trPr>
          <w:trHeight w:val="440" w:hRule="atLeast"/>
        </w:trPr>
        <w:tc>
          <w:tcPr>
            <w:tcW w:w="1437" w:type="dxa"/>
            <w:tcBorders>
              <w:top w:val="single" w:color="000000" w:sz="8" w:space="0"/>
              <w:left w:val="single" w:color="000000" w:sz="8" w:space="0"/>
              <w:bottom w:val="single" w:color="000000" w:sz="8" w:space="0"/>
              <w:right w:val="single" w:color="000000" w:sz="8" w:space="0"/>
            </w:tcBorders>
            <w:tcMar>
              <w:top w:w="15" w:type="dxa"/>
              <w:left w:w="15" w:type="dxa"/>
              <w:right w:w="15" w:type="dxa"/>
            </w:tcMar>
            <w:vAlign w:val="center"/>
          </w:tcPr>
          <w:p w14:paraId="227DA75B">
            <w:pPr>
              <w:widowControl/>
              <w:jc w:val="center"/>
              <w:textAlignment w:val="center"/>
              <w:rPr>
                <w:rFonts w:ascii="宋体" w:hAnsi="宋体" w:eastAsia="宋体" w:cs="仿宋"/>
                <w:color w:val="000000"/>
                <w:sz w:val="32"/>
                <w:szCs w:val="32"/>
              </w:rPr>
            </w:pPr>
            <w:r>
              <w:rPr>
                <w:rFonts w:hint="eastAsia" w:ascii="宋体" w:hAnsi="宋体" w:eastAsia="宋体" w:cs="仿宋"/>
                <w:color w:val="000000"/>
                <w:kern w:val="0"/>
                <w:sz w:val="32"/>
                <w:szCs w:val="32"/>
                <w:lang w:bidi="ar"/>
              </w:rPr>
              <w:t>项目</w:t>
            </w:r>
          </w:p>
        </w:tc>
        <w:tc>
          <w:tcPr>
            <w:tcW w:w="2105"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14:paraId="2AF9C55C">
            <w:pPr>
              <w:widowControl/>
              <w:jc w:val="center"/>
              <w:textAlignment w:val="center"/>
              <w:rPr>
                <w:rFonts w:ascii="宋体" w:hAnsi="宋体" w:eastAsia="宋体" w:cs="仿宋"/>
                <w:color w:val="000000"/>
                <w:sz w:val="32"/>
                <w:szCs w:val="32"/>
              </w:rPr>
            </w:pPr>
            <w:r>
              <w:rPr>
                <w:rFonts w:hint="eastAsia" w:ascii="宋体" w:hAnsi="宋体" w:eastAsia="宋体" w:cs="仿宋"/>
                <w:color w:val="000000"/>
                <w:kern w:val="0"/>
                <w:sz w:val="32"/>
                <w:szCs w:val="32"/>
                <w:lang w:bidi="ar"/>
              </w:rPr>
              <w:t>优</w:t>
            </w:r>
          </w:p>
        </w:tc>
        <w:tc>
          <w:tcPr>
            <w:tcW w:w="1807"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14:paraId="7BA0B8B2">
            <w:pPr>
              <w:widowControl/>
              <w:jc w:val="center"/>
              <w:textAlignment w:val="center"/>
              <w:rPr>
                <w:rFonts w:ascii="宋体" w:hAnsi="宋体" w:eastAsia="宋体" w:cs="仿宋"/>
                <w:color w:val="000000"/>
                <w:kern w:val="0"/>
                <w:sz w:val="32"/>
                <w:szCs w:val="32"/>
                <w:lang w:bidi="ar"/>
              </w:rPr>
            </w:pPr>
            <w:r>
              <w:rPr>
                <w:rFonts w:hint="eastAsia" w:ascii="宋体" w:hAnsi="宋体" w:eastAsia="宋体" w:cs="仿宋"/>
                <w:color w:val="000000"/>
                <w:kern w:val="0"/>
                <w:sz w:val="32"/>
                <w:szCs w:val="32"/>
                <w:lang w:bidi="ar"/>
              </w:rPr>
              <w:t>良</w:t>
            </w:r>
          </w:p>
        </w:tc>
        <w:tc>
          <w:tcPr>
            <w:tcW w:w="1413" w:type="dxa"/>
            <w:tcBorders>
              <w:top w:val="single" w:color="000000" w:sz="8" w:space="0"/>
              <w:left w:val="nil"/>
              <w:bottom w:val="single" w:color="000000" w:sz="8" w:space="0"/>
              <w:right w:val="nil"/>
            </w:tcBorders>
            <w:tcMar>
              <w:top w:w="15" w:type="dxa"/>
              <w:left w:w="15" w:type="dxa"/>
              <w:right w:w="15" w:type="dxa"/>
            </w:tcMar>
            <w:vAlign w:val="center"/>
          </w:tcPr>
          <w:p w14:paraId="767FCEC3">
            <w:pPr>
              <w:widowControl/>
              <w:jc w:val="center"/>
              <w:textAlignment w:val="center"/>
              <w:rPr>
                <w:rFonts w:ascii="宋体" w:hAnsi="宋体" w:eastAsia="宋体" w:cs="仿宋"/>
                <w:color w:val="000000"/>
                <w:kern w:val="0"/>
                <w:sz w:val="32"/>
                <w:szCs w:val="32"/>
                <w:lang w:bidi="ar"/>
              </w:rPr>
            </w:pPr>
            <w:r>
              <w:rPr>
                <w:rFonts w:hint="eastAsia" w:ascii="宋体" w:hAnsi="宋体" w:eastAsia="宋体" w:cs="仿宋"/>
                <w:color w:val="000000"/>
                <w:kern w:val="0"/>
                <w:sz w:val="32"/>
                <w:szCs w:val="32"/>
                <w:lang w:bidi="ar"/>
              </w:rPr>
              <w:t>中</w:t>
            </w:r>
          </w:p>
        </w:tc>
        <w:tc>
          <w:tcPr>
            <w:tcW w:w="1669"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589A189">
            <w:pPr>
              <w:widowControl/>
              <w:jc w:val="center"/>
              <w:textAlignment w:val="center"/>
              <w:rPr>
                <w:rFonts w:ascii="宋体" w:hAnsi="宋体" w:eastAsia="宋体" w:cs="仿宋"/>
                <w:color w:val="000000"/>
                <w:kern w:val="0"/>
                <w:sz w:val="32"/>
                <w:szCs w:val="32"/>
                <w:lang w:bidi="ar"/>
              </w:rPr>
            </w:pPr>
            <w:r>
              <w:rPr>
                <w:rFonts w:hint="eastAsia" w:ascii="宋体" w:hAnsi="宋体" w:eastAsia="宋体" w:cs="仿宋"/>
                <w:color w:val="000000"/>
                <w:kern w:val="0"/>
                <w:sz w:val="32"/>
                <w:szCs w:val="32"/>
                <w:lang w:bidi="ar"/>
              </w:rPr>
              <w:t>差</w:t>
            </w:r>
          </w:p>
        </w:tc>
      </w:tr>
      <w:tr w14:paraId="3B04136D">
        <w:tblPrEx>
          <w:tblCellMar>
            <w:top w:w="0" w:type="dxa"/>
            <w:left w:w="0" w:type="dxa"/>
            <w:bottom w:w="0" w:type="dxa"/>
            <w:right w:w="0" w:type="dxa"/>
          </w:tblCellMar>
        </w:tblPrEx>
        <w:trPr>
          <w:trHeight w:val="405" w:hRule="atLeast"/>
        </w:trPr>
        <w:tc>
          <w:tcPr>
            <w:tcW w:w="1437" w:type="dxa"/>
            <w:tcBorders>
              <w:top w:val="nil"/>
              <w:left w:val="single" w:color="000000" w:sz="8" w:space="0"/>
              <w:bottom w:val="single" w:color="000000" w:sz="8" w:space="0"/>
              <w:right w:val="single" w:color="000000" w:sz="8" w:space="0"/>
            </w:tcBorders>
            <w:tcMar>
              <w:top w:w="15" w:type="dxa"/>
              <w:left w:w="15" w:type="dxa"/>
              <w:right w:w="15" w:type="dxa"/>
            </w:tcMar>
            <w:vAlign w:val="center"/>
          </w:tcPr>
          <w:p w14:paraId="34BE2A7C">
            <w:pPr>
              <w:widowControl/>
              <w:jc w:val="center"/>
              <w:textAlignment w:val="center"/>
              <w:rPr>
                <w:rFonts w:ascii="宋体" w:hAnsi="宋体" w:eastAsia="宋体" w:cs="仿宋"/>
                <w:color w:val="000000"/>
                <w:sz w:val="32"/>
                <w:szCs w:val="32"/>
              </w:rPr>
            </w:pPr>
            <w:r>
              <w:rPr>
                <w:rFonts w:hint="eastAsia" w:ascii="宋体" w:hAnsi="宋体" w:eastAsia="宋体" w:cs="仿宋"/>
                <w:color w:val="000000"/>
                <w:kern w:val="0"/>
                <w:sz w:val="32"/>
                <w:szCs w:val="32"/>
                <w:lang w:bidi="ar"/>
              </w:rPr>
              <w:t>分值</w:t>
            </w:r>
          </w:p>
        </w:tc>
        <w:tc>
          <w:tcPr>
            <w:tcW w:w="2105" w:type="dxa"/>
            <w:tcBorders>
              <w:top w:val="nil"/>
              <w:left w:val="nil"/>
              <w:bottom w:val="single" w:color="000000" w:sz="8" w:space="0"/>
              <w:right w:val="single" w:color="000000" w:sz="8" w:space="0"/>
            </w:tcBorders>
            <w:tcMar>
              <w:top w:w="15" w:type="dxa"/>
              <w:left w:w="15" w:type="dxa"/>
              <w:right w:w="15" w:type="dxa"/>
            </w:tcMar>
            <w:vAlign w:val="center"/>
          </w:tcPr>
          <w:p w14:paraId="22D2A982">
            <w:pPr>
              <w:widowControl/>
              <w:jc w:val="center"/>
              <w:textAlignment w:val="center"/>
              <w:rPr>
                <w:rFonts w:ascii="宋体" w:hAnsi="宋体" w:eastAsia="宋体" w:cs="仿宋"/>
                <w:color w:val="000000"/>
                <w:sz w:val="32"/>
                <w:szCs w:val="32"/>
              </w:rPr>
            </w:pPr>
            <w:r>
              <w:rPr>
                <w:rFonts w:hint="eastAsia" w:ascii="宋体" w:hAnsi="宋体" w:eastAsia="宋体" w:cs="仿宋"/>
                <w:color w:val="000000"/>
                <w:kern w:val="0"/>
                <w:sz w:val="32"/>
                <w:szCs w:val="32"/>
                <w:lang w:bidi="ar"/>
              </w:rPr>
              <w:t>≥1</w:t>
            </w:r>
            <w:r>
              <w:rPr>
                <w:rStyle w:val="9"/>
                <w:rFonts w:hint="default" w:ascii="宋体" w:hAnsi="宋体" w:eastAsia="宋体"/>
                <w:sz w:val="32"/>
                <w:szCs w:val="32"/>
                <w:lang w:bidi="ar"/>
              </w:rPr>
              <w:t>00%</w:t>
            </w:r>
          </w:p>
        </w:tc>
        <w:tc>
          <w:tcPr>
            <w:tcW w:w="1807" w:type="dxa"/>
            <w:tcBorders>
              <w:top w:val="nil"/>
              <w:left w:val="nil"/>
              <w:bottom w:val="single" w:color="000000" w:sz="8" w:space="0"/>
              <w:right w:val="single" w:color="000000" w:sz="8" w:space="0"/>
            </w:tcBorders>
            <w:tcMar>
              <w:top w:w="15" w:type="dxa"/>
              <w:left w:w="15" w:type="dxa"/>
              <w:right w:w="15" w:type="dxa"/>
            </w:tcMar>
            <w:vAlign w:val="center"/>
          </w:tcPr>
          <w:p w14:paraId="75F972D1">
            <w:pPr>
              <w:widowControl/>
              <w:jc w:val="center"/>
              <w:textAlignment w:val="center"/>
              <w:rPr>
                <w:rFonts w:ascii="宋体" w:hAnsi="宋体" w:eastAsia="宋体" w:cs="仿宋"/>
                <w:color w:val="000000"/>
                <w:kern w:val="0"/>
                <w:sz w:val="32"/>
                <w:szCs w:val="32"/>
                <w:lang w:bidi="ar"/>
              </w:rPr>
            </w:pPr>
            <w:r>
              <w:rPr>
                <w:rFonts w:hint="eastAsia" w:ascii="宋体" w:hAnsi="宋体" w:eastAsia="宋体" w:cs="仿宋"/>
                <w:color w:val="000000"/>
                <w:kern w:val="0"/>
                <w:sz w:val="32"/>
                <w:szCs w:val="32"/>
                <w:lang w:bidi="ar"/>
              </w:rPr>
              <w:t>9</w:t>
            </w:r>
            <w:r>
              <w:rPr>
                <w:rFonts w:ascii="宋体" w:hAnsi="宋体" w:eastAsia="宋体"/>
                <w:kern w:val="0"/>
                <w:sz w:val="32"/>
                <w:szCs w:val="32"/>
              </w:rPr>
              <w:t>0%-99%</w:t>
            </w:r>
          </w:p>
        </w:tc>
        <w:tc>
          <w:tcPr>
            <w:tcW w:w="1413" w:type="dxa"/>
            <w:tcBorders>
              <w:top w:val="nil"/>
              <w:left w:val="nil"/>
              <w:bottom w:val="single" w:color="000000" w:sz="8" w:space="0"/>
              <w:right w:val="nil"/>
            </w:tcBorders>
            <w:tcMar>
              <w:top w:w="15" w:type="dxa"/>
              <w:left w:w="15" w:type="dxa"/>
              <w:right w:w="15" w:type="dxa"/>
            </w:tcMar>
            <w:vAlign w:val="center"/>
          </w:tcPr>
          <w:p w14:paraId="05BFE0E3">
            <w:pPr>
              <w:widowControl/>
              <w:jc w:val="center"/>
              <w:textAlignment w:val="center"/>
              <w:rPr>
                <w:rFonts w:ascii="宋体" w:hAnsi="宋体" w:eastAsia="宋体" w:cs="仿宋"/>
                <w:color w:val="000000"/>
                <w:kern w:val="0"/>
                <w:sz w:val="32"/>
                <w:szCs w:val="32"/>
                <w:lang w:bidi="ar"/>
              </w:rPr>
            </w:pPr>
            <w:r>
              <w:rPr>
                <w:rFonts w:hint="eastAsia" w:ascii="宋体" w:hAnsi="宋体" w:eastAsia="宋体" w:cs="仿宋"/>
                <w:color w:val="000000"/>
                <w:kern w:val="0"/>
                <w:sz w:val="32"/>
                <w:szCs w:val="32"/>
                <w:lang w:bidi="ar"/>
              </w:rPr>
              <w:t>8</w:t>
            </w:r>
            <w:r>
              <w:rPr>
                <w:rFonts w:ascii="宋体" w:hAnsi="宋体" w:eastAsia="宋体"/>
                <w:kern w:val="0"/>
                <w:sz w:val="32"/>
                <w:szCs w:val="32"/>
              </w:rPr>
              <w:t>0%-89%</w:t>
            </w:r>
          </w:p>
        </w:tc>
        <w:tc>
          <w:tcPr>
            <w:tcW w:w="1669"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1385B52">
            <w:pPr>
              <w:widowControl/>
              <w:jc w:val="center"/>
              <w:textAlignment w:val="center"/>
              <w:rPr>
                <w:rFonts w:ascii="宋体" w:hAnsi="宋体" w:eastAsia="宋体" w:cs="仿宋"/>
                <w:color w:val="000000"/>
                <w:kern w:val="0"/>
                <w:sz w:val="32"/>
                <w:szCs w:val="32"/>
                <w:lang w:bidi="ar"/>
              </w:rPr>
            </w:pPr>
            <w:r>
              <w:rPr>
                <w:rFonts w:hint="eastAsia" w:ascii="宋体" w:hAnsi="宋体" w:eastAsia="宋体" w:cs="仿宋"/>
                <w:color w:val="000000"/>
                <w:kern w:val="0"/>
                <w:sz w:val="32"/>
                <w:szCs w:val="32"/>
                <w:lang w:bidi="ar"/>
              </w:rPr>
              <w:t>&lt;80%</w:t>
            </w:r>
          </w:p>
        </w:tc>
      </w:tr>
    </w:tbl>
    <w:p w14:paraId="4926C20F">
      <w:pPr>
        <w:widowControl/>
        <w:ind w:firstLine="320" w:firstLineChars="100"/>
        <w:rPr>
          <w:rFonts w:ascii="仿宋" w:hAnsi="仿宋" w:eastAsia="仿宋" w:cs="宋体"/>
          <w:color w:val="000000"/>
          <w:kern w:val="0"/>
          <w:sz w:val="32"/>
          <w:szCs w:val="32"/>
        </w:rPr>
      </w:pPr>
      <w:r>
        <w:rPr>
          <w:rFonts w:hint="eastAsia" w:ascii="仿宋" w:hAnsi="仿宋" w:eastAsia="仿宋" w:cs="宋体"/>
          <w:color w:val="000000"/>
          <w:kern w:val="0"/>
          <w:sz w:val="32"/>
          <w:szCs w:val="32"/>
        </w:rPr>
        <w:t>（二）执行绩效监控情况。</w:t>
      </w:r>
    </w:p>
    <w:p w14:paraId="42DBEECB">
      <w:pPr>
        <w:widowControl/>
        <w:ind w:firstLine="640" w:firstLineChars="200"/>
        <w:rPr>
          <w:rFonts w:ascii="仿宋" w:hAnsi="仿宋" w:eastAsia="仿宋" w:cs="宋体"/>
          <w:color w:val="000000"/>
          <w:kern w:val="0"/>
          <w:sz w:val="32"/>
          <w:szCs w:val="32"/>
        </w:rPr>
      </w:pPr>
      <w:r>
        <w:rPr>
          <w:rFonts w:hint="eastAsia" w:ascii="仿宋" w:hAnsi="仿宋" w:eastAsia="仿宋" w:cs="宋体"/>
          <w:color w:val="000000"/>
          <w:kern w:val="0"/>
          <w:sz w:val="32"/>
          <w:szCs w:val="32"/>
        </w:rPr>
        <w:t>按照项目总体目标和年度目标，制定详细可行的工作活动(项目)实施计划，并按节点推进落实，健全完善相关制度。预算批复后，我单位及时制定细化绩效目标，全力推进项目实施，配合县财政部门认真进行项目绩效监控，收集并分析绩效信息，强化绩效管理，确保绩效运行全程可控。</w:t>
      </w:r>
    </w:p>
    <w:p w14:paraId="051CF9B8">
      <w:pPr>
        <w:widowControl/>
        <w:ind w:firstLine="320" w:firstLineChars="100"/>
        <w:rPr>
          <w:rFonts w:ascii="仿宋" w:hAnsi="仿宋" w:eastAsia="仿宋" w:cs="宋体"/>
          <w:color w:val="000000"/>
          <w:kern w:val="0"/>
          <w:sz w:val="32"/>
          <w:szCs w:val="32"/>
        </w:rPr>
      </w:pPr>
      <w:r>
        <w:rPr>
          <w:rFonts w:hint="eastAsia" w:ascii="仿宋" w:hAnsi="仿宋" w:eastAsia="仿宋" w:cs="宋体"/>
          <w:color w:val="000000"/>
          <w:kern w:val="0"/>
          <w:sz w:val="32"/>
          <w:szCs w:val="32"/>
        </w:rPr>
        <w:t>（三）资金管理情况。</w:t>
      </w:r>
    </w:p>
    <w:p w14:paraId="0E3A28C5">
      <w:pPr>
        <w:widowControl/>
        <w:ind w:firstLine="640" w:firstLineChars="200"/>
        <w:rPr>
          <w:rFonts w:ascii="仿宋" w:hAnsi="仿宋" w:eastAsia="仿宋" w:cs="宋体"/>
          <w:color w:val="000000"/>
          <w:kern w:val="0"/>
          <w:sz w:val="32"/>
          <w:szCs w:val="32"/>
        </w:rPr>
      </w:pPr>
      <w:r>
        <w:rPr>
          <w:rFonts w:hint="eastAsia" w:ascii="仿宋" w:hAnsi="仿宋" w:eastAsia="仿宋" w:cs="宋体"/>
          <w:color w:val="000000"/>
          <w:kern w:val="0"/>
          <w:sz w:val="32"/>
          <w:szCs w:val="32"/>
        </w:rPr>
        <w:t>项目资金全部为县级资金，已全部到位。项目实施后，资金实际支出100%。</w:t>
      </w:r>
    </w:p>
    <w:p w14:paraId="1C1BCDAD">
      <w:pPr>
        <w:widowControl/>
        <w:ind w:firstLine="320" w:firstLineChars="100"/>
        <w:rPr>
          <w:rFonts w:ascii="仿宋" w:hAnsi="仿宋" w:eastAsia="仿宋" w:cs="宋体"/>
          <w:color w:val="000000"/>
          <w:kern w:val="0"/>
          <w:sz w:val="32"/>
          <w:szCs w:val="32"/>
        </w:rPr>
      </w:pPr>
      <w:r>
        <w:rPr>
          <w:rFonts w:hint="eastAsia" w:ascii="仿宋" w:hAnsi="仿宋" w:eastAsia="仿宋" w:cs="宋体"/>
          <w:color w:val="000000"/>
          <w:kern w:val="0"/>
          <w:sz w:val="32"/>
          <w:szCs w:val="32"/>
        </w:rPr>
        <w:t>（四）绩效管理制度建设及执行情况。</w:t>
      </w:r>
    </w:p>
    <w:p w14:paraId="1B626FEA">
      <w:pPr>
        <w:widowControl/>
        <w:ind w:firstLine="320" w:firstLineChars="100"/>
        <w:rPr>
          <w:rFonts w:ascii="仿宋" w:hAnsi="仿宋" w:eastAsia="仿宋" w:cs="宋体"/>
          <w:color w:val="000000"/>
          <w:kern w:val="0"/>
          <w:sz w:val="32"/>
          <w:szCs w:val="32"/>
        </w:rPr>
      </w:pPr>
      <w:r>
        <w:rPr>
          <w:rFonts w:hint="eastAsia" w:ascii="仿宋" w:hAnsi="仿宋" w:eastAsia="仿宋" w:cs="宋体"/>
          <w:color w:val="000000"/>
          <w:kern w:val="0"/>
          <w:sz w:val="32"/>
          <w:szCs w:val="32"/>
        </w:rPr>
        <w:t xml:space="preserve"> </w:t>
      </w:r>
      <w:r>
        <w:rPr>
          <w:rFonts w:ascii="仿宋" w:hAnsi="仿宋" w:eastAsia="仿宋" w:cs="宋体"/>
          <w:color w:val="000000"/>
          <w:kern w:val="0"/>
          <w:sz w:val="32"/>
          <w:szCs w:val="32"/>
        </w:rPr>
        <w:t xml:space="preserve"> </w:t>
      </w:r>
      <w:r>
        <w:rPr>
          <w:rFonts w:hint="eastAsia" w:ascii="仿宋" w:hAnsi="仿宋" w:eastAsia="仿宋" w:cs="宋体"/>
          <w:color w:val="000000"/>
          <w:kern w:val="0"/>
          <w:sz w:val="32"/>
          <w:szCs w:val="32"/>
        </w:rPr>
        <w:t>认真落实上级绩效管理相关制度，细化内控制度，强化管理执行，确保严格落实到位。</w:t>
      </w:r>
    </w:p>
    <w:p w14:paraId="406E73DD">
      <w:pPr>
        <w:widowControl/>
        <w:ind w:firstLine="320" w:firstLineChars="100"/>
        <w:rPr>
          <w:rFonts w:ascii="仿宋" w:hAnsi="仿宋" w:eastAsia="仿宋" w:cs="宋体"/>
          <w:color w:val="000000"/>
          <w:kern w:val="0"/>
          <w:sz w:val="32"/>
          <w:szCs w:val="32"/>
        </w:rPr>
      </w:pPr>
      <w:r>
        <w:rPr>
          <w:rFonts w:hint="eastAsia" w:ascii="仿宋" w:hAnsi="仿宋" w:eastAsia="仿宋" w:cs="宋体"/>
          <w:color w:val="000000"/>
          <w:kern w:val="0"/>
          <w:sz w:val="32"/>
          <w:szCs w:val="32"/>
        </w:rPr>
        <w:t>（五）风险管理情况。</w:t>
      </w:r>
    </w:p>
    <w:p w14:paraId="7D4C7D83">
      <w:pPr>
        <w:widowControl/>
        <w:ind w:firstLine="320" w:firstLineChars="100"/>
        <w:rPr>
          <w:rFonts w:ascii="仿宋" w:hAnsi="仿宋" w:eastAsia="仿宋" w:cs="宋体"/>
          <w:color w:val="000000"/>
          <w:kern w:val="0"/>
          <w:sz w:val="32"/>
          <w:szCs w:val="32"/>
        </w:rPr>
      </w:pPr>
      <w:r>
        <w:rPr>
          <w:rFonts w:hint="eastAsia" w:ascii="仿宋" w:hAnsi="仿宋" w:eastAsia="仿宋" w:cs="宋体"/>
          <w:color w:val="000000"/>
          <w:kern w:val="0"/>
          <w:sz w:val="32"/>
          <w:szCs w:val="32"/>
        </w:rPr>
        <w:t xml:space="preserve"> </w:t>
      </w:r>
      <w:r>
        <w:rPr>
          <w:rFonts w:ascii="仿宋" w:hAnsi="仿宋" w:eastAsia="仿宋" w:cs="宋体"/>
          <w:color w:val="000000"/>
          <w:kern w:val="0"/>
          <w:sz w:val="32"/>
          <w:szCs w:val="32"/>
        </w:rPr>
        <w:t xml:space="preserve"> </w:t>
      </w:r>
      <w:r>
        <w:rPr>
          <w:rFonts w:hint="eastAsia" w:ascii="仿宋" w:hAnsi="仿宋" w:eastAsia="仿宋" w:cs="宋体"/>
          <w:color w:val="000000"/>
          <w:kern w:val="0"/>
          <w:sz w:val="32"/>
          <w:szCs w:val="32"/>
        </w:rPr>
        <w:t>建立风险评估机制，成立风险评估小组，对项目活动存在的风险进行全面、系统和客观评估，实施监督项目进展。</w:t>
      </w:r>
    </w:p>
    <w:p w14:paraId="14B4253F">
      <w:pPr>
        <w:widowControl/>
        <w:ind w:firstLine="472" w:firstLineChars="147"/>
        <w:rPr>
          <w:rFonts w:ascii="黑体" w:hAnsi="黑体" w:eastAsia="黑体" w:cs="宋体"/>
          <w:b/>
          <w:bCs/>
          <w:kern w:val="0"/>
          <w:sz w:val="32"/>
          <w:szCs w:val="32"/>
        </w:rPr>
      </w:pPr>
      <w:r>
        <w:rPr>
          <w:rFonts w:hint="eastAsia" w:ascii="黑体" w:hAnsi="黑体" w:eastAsia="黑体" w:cs="宋体"/>
          <w:b/>
          <w:bCs/>
          <w:kern w:val="0"/>
          <w:sz w:val="32"/>
          <w:szCs w:val="32"/>
        </w:rPr>
        <w:t>四、工作活动(项目)绩效自评情况</w:t>
      </w:r>
    </w:p>
    <w:p w14:paraId="6A59313F">
      <w:pPr>
        <w:widowControl/>
        <w:ind w:firstLine="320" w:firstLineChars="100"/>
        <w:rPr>
          <w:rFonts w:ascii="仿宋" w:hAnsi="仿宋" w:eastAsia="仿宋" w:cs="宋体"/>
          <w:color w:val="000000"/>
          <w:kern w:val="0"/>
          <w:sz w:val="32"/>
          <w:szCs w:val="32"/>
        </w:rPr>
      </w:pPr>
      <w:r>
        <w:rPr>
          <w:rFonts w:hint="eastAsia" w:ascii="仿宋" w:hAnsi="仿宋" w:eastAsia="仿宋" w:cs="宋体"/>
          <w:color w:val="000000"/>
          <w:kern w:val="0"/>
          <w:sz w:val="32"/>
          <w:szCs w:val="32"/>
        </w:rPr>
        <w:t>（一）工作活动(项目)自评组织情况。</w:t>
      </w:r>
    </w:p>
    <w:p w14:paraId="0A7A9452">
      <w:pPr>
        <w:widowControl/>
        <w:ind w:firstLine="640" w:firstLineChars="200"/>
        <w:rPr>
          <w:rFonts w:ascii="仿宋" w:hAnsi="仿宋" w:eastAsia="仿宋" w:cs="宋体"/>
          <w:color w:val="000000"/>
          <w:kern w:val="0"/>
          <w:sz w:val="32"/>
          <w:szCs w:val="32"/>
        </w:rPr>
      </w:pPr>
      <w:r>
        <w:rPr>
          <w:rFonts w:hint="eastAsia" w:ascii="仿宋" w:hAnsi="仿宋" w:eastAsia="仿宋" w:cs="宋体"/>
          <w:color w:val="000000"/>
          <w:kern w:val="0"/>
          <w:sz w:val="32"/>
          <w:szCs w:val="32"/>
        </w:rPr>
        <w:t>成立了由单位主管领导任组长，单位财务科室主管任副组长财务工作人员为成员的2人工作项目自评小组，负责项目的绩效自评，确保自评工作的客观、真实、全面。</w:t>
      </w:r>
    </w:p>
    <w:p w14:paraId="390820EB">
      <w:pPr>
        <w:widowControl/>
        <w:ind w:firstLine="320" w:firstLineChars="100"/>
        <w:rPr>
          <w:rFonts w:ascii="仿宋" w:hAnsi="仿宋" w:eastAsia="仿宋" w:cs="宋体"/>
          <w:color w:val="000000"/>
          <w:kern w:val="0"/>
          <w:sz w:val="32"/>
          <w:szCs w:val="32"/>
        </w:rPr>
      </w:pPr>
      <w:r>
        <w:rPr>
          <w:rFonts w:hint="eastAsia" w:ascii="仿宋" w:hAnsi="仿宋" w:eastAsia="仿宋" w:cs="宋体"/>
          <w:color w:val="000000"/>
          <w:kern w:val="0"/>
          <w:sz w:val="32"/>
          <w:szCs w:val="32"/>
        </w:rPr>
        <w:t>（二）工作活动(项目)评价结果。</w:t>
      </w:r>
    </w:p>
    <w:p w14:paraId="50BF24A1">
      <w:pPr>
        <w:widowControl/>
        <w:ind w:firstLine="640" w:firstLineChars="200"/>
        <w:rPr>
          <w:rFonts w:ascii="仿宋" w:hAnsi="仿宋" w:eastAsia="仿宋" w:cs="宋体"/>
          <w:color w:val="000000"/>
          <w:kern w:val="0"/>
          <w:sz w:val="32"/>
          <w:szCs w:val="32"/>
        </w:rPr>
      </w:pPr>
      <w:r>
        <w:rPr>
          <w:rFonts w:hint="eastAsia" w:ascii="仿宋" w:hAnsi="仿宋" w:eastAsia="仿宋" w:cs="宋体"/>
          <w:color w:val="000000"/>
          <w:kern w:val="0"/>
          <w:sz w:val="32"/>
          <w:szCs w:val="32"/>
        </w:rPr>
        <w:t>根据相关要求，对照绩效目标和相关指标，经认真自评，该项目得分100分，属于优秀等次。</w:t>
      </w:r>
    </w:p>
    <w:p w14:paraId="28939D2C">
      <w:pPr>
        <w:widowControl/>
        <w:ind w:firstLine="312" w:firstLineChars="97"/>
        <w:rPr>
          <w:rFonts w:ascii="黑体" w:hAnsi="黑体" w:eastAsia="黑体" w:cs="宋体"/>
          <w:b/>
          <w:bCs/>
          <w:kern w:val="0"/>
          <w:sz w:val="32"/>
          <w:szCs w:val="32"/>
        </w:rPr>
      </w:pPr>
      <w:r>
        <w:rPr>
          <w:rFonts w:hint="eastAsia" w:ascii="黑体" w:hAnsi="黑体" w:eastAsia="黑体" w:cs="宋体"/>
          <w:b/>
          <w:bCs/>
          <w:kern w:val="0"/>
          <w:sz w:val="32"/>
          <w:szCs w:val="32"/>
        </w:rPr>
        <w:t>五、工作活动(项目)存在的问题、改进工作的意见及建议</w:t>
      </w:r>
    </w:p>
    <w:p w14:paraId="54931597">
      <w:pPr>
        <w:widowControl/>
        <w:ind w:firstLine="320" w:firstLineChars="100"/>
        <w:rPr>
          <w:rFonts w:ascii="仿宋" w:hAnsi="仿宋" w:eastAsia="仿宋" w:cs="宋体"/>
          <w:color w:val="000000"/>
          <w:kern w:val="0"/>
          <w:sz w:val="32"/>
          <w:szCs w:val="32"/>
        </w:rPr>
      </w:pPr>
      <w:r>
        <w:rPr>
          <w:rFonts w:hint="eastAsia" w:ascii="仿宋" w:hAnsi="仿宋" w:eastAsia="仿宋" w:cs="宋体"/>
          <w:color w:val="000000"/>
          <w:kern w:val="0"/>
          <w:sz w:val="32"/>
          <w:szCs w:val="32"/>
        </w:rPr>
        <w:t>（一）工作活动(项目)实现绩效目标过程中存在的问题。</w:t>
      </w:r>
    </w:p>
    <w:p w14:paraId="400C067F">
      <w:pPr>
        <w:widowControl/>
        <w:ind w:firstLine="640" w:firstLineChars="200"/>
        <w:rPr>
          <w:rFonts w:ascii="仿宋" w:hAnsi="仿宋" w:eastAsia="仿宋" w:cs="宋体"/>
          <w:color w:val="000000"/>
          <w:kern w:val="0"/>
          <w:sz w:val="32"/>
          <w:szCs w:val="32"/>
        </w:rPr>
      </w:pPr>
      <w:r>
        <w:rPr>
          <w:rFonts w:hint="eastAsia" w:ascii="仿宋" w:hAnsi="仿宋" w:eastAsia="仿宋" w:cs="宋体"/>
          <w:color w:val="000000"/>
          <w:kern w:val="0"/>
          <w:sz w:val="32"/>
          <w:szCs w:val="32"/>
        </w:rPr>
        <w:t>综合执法改革专项经费项目实现绩效目标过程中存在的主要问题，一是大局意识不够、主动性不足，有时存在上热下冷现象。二是个别股室重视程度不够的问题，表现在对相关法律法规和政策文件学习不深入、理解模糊、任务职责不清楚，一定程度上影响了工作活动开展。三是工作人员知识匮乏，缺乏系统性、常态化的培训学习。四是根据项目情况设置绩效目标为“项目目标未具体细化、细化不足”。</w:t>
      </w:r>
    </w:p>
    <w:p w14:paraId="6F7E292F">
      <w:pPr>
        <w:widowControl/>
        <w:ind w:firstLine="320" w:firstLineChars="100"/>
        <w:rPr>
          <w:rFonts w:ascii="仿宋" w:hAnsi="仿宋" w:eastAsia="仿宋" w:cs="宋体"/>
          <w:color w:val="000000"/>
          <w:kern w:val="0"/>
          <w:sz w:val="32"/>
          <w:szCs w:val="32"/>
        </w:rPr>
      </w:pPr>
      <w:r>
        <w:rPr>
          <w:rFonts w:hint="eastAsia" w:ascii="仿宋" w:hAnsi="仿宋" w:eastAsia="仿宋" w:cs="宋体"/>
          <w:color w:val="000000"/>
          <w:kern w:val="0"/>
          <w:sz w:val="32"/>
          <w:szCs w:val="32"/>
        </w:rPr>
        <w:t>（二）工作活动(项目)实施中改进意见及措施。</w:t>
      </w:r>
    </w:p>
    <w:p w14:paraId="54B25FF8">
      <w:pPr>
        <w:widowControl/>
        <w:ind w:firstLine="640" w:firstLineChars="200"/>
        <w:rPr>
          <w:rFonts w:ascii="仿宋" w:hAnsi="仿宋" w:eastAsia="仿宋" w:cs="宋体"/>
          <w:color w:val="000000"/>
          <w:kern w:val="0"/>
          <w:sz w:val="32"/>
          <w:szCs w:val="32"/>
        </w:rPr>
      </w:pPr>
      <w:r>
        <w:rPr>
          <w:rFonts w:hint="eastAsia" w:ascii="仿宋" w:hAnsi="仿宋" w:eastAsia="仿宋" w:cs="宋体"/>
          <w:color w:val="000000"/>
          <w:kern w:val="0"/>
          <w:sz w:val="32"/>
          <w:szCs w:val="32"/>
        </w:rPr>
        <w:t>突出问题导向和结果导向，一是坚持政府领导，统一思想，进一步强化部门责任意识，单位主要领导负总责，主管领导具体落实，层层传导压力，强化工作合力，协调联动落实。二是健全完善工作机制，进一明确各单位任务职责和年度目标，实行定期调度推进制度，强化城乡规划效果。三是加强对单位领导和工作人员法律法规和业务知识培训学习，提升综合执法改革工作能力和素质，积极打造过硬的执法和审批服务队伍。同时，积极向县委、</w:t>
      </w:r>
      <w:r>
        <w:rPr>
          <w:rFonts w:hint="eastAsia" w:ascii="仿宋" w:hAnsi="仿宋" w:eastAsia="仿宋" w:cs="宋体"/>
          <w:color w:val="000000"/>
          <w:kern w:val="0"/>
          <w:sz w:val="32"/>
          <w:szCs w:val="32"/>
          <w:lang w:val="en-US" w:eastAsia="zh-CN"/>
        </w:rPr>
        <w:t>县</w:t>
      </w:r>
      <w:r>
        <w:rPr>
          <w:rFonts w:hint="eastAsia" w:ascii="仿宋" w:hAnsi="仿宋" w:eastAsia="仿宋" w:cs="宋体"/>
          <w:color w:val="000000"/>
          <w:kern w:val="0"/>
          <w:sz w:val="32"/>
          <w:szCs w:val="32"/>
        </w:rPr>
        <w:t>政府申请充实专职人员。</w:t>
      </w:r>
    </w:p>
    <w:p w14:paraId="7CB0A96A">
      <w:pPr>
        <w:widowControl/>
        <w:ind w:firstLine="320" w:firstLineChars="100"/>
        <w:rPr>
          <w:rFonts w:ascii="仿宋" w:hAnsi="仿宋" w:eastAsia="仿宋" w:cs="宋体"/>
          <w:color w:val="000000"/>
          <w:kern w:val="0"/>
          <w:sz w:val="32"/>
          <w:szCs w:val="32"/>
        </w:rPr>
      </w:pPr>
      <w:r>
        <w:rPr>
          <w:rFonts w:hint="eastAsia" w:ascii="仿宋" w:hAnsi="仿宋" w:eastAsia="仿宋" w:cs="宋体"/>
          <w:color w:val="000000"/>
          <w:kern w:val="0"/>
          <w:sz w:val="32"/>
          <w:szCs w:val="32"/>
        </w:rPr>
        <w:t>（三）建议。</w:t>
      </w:r>
    </w:p>
    <w:p w14:paraId="79B7A32B">
      <w:pPr>
        <w:ind w:firstLine="640" w:firstLineChars="200"/>
        <w:rPr>
          <w:rFonts w:ascii="仿宋" w:hAnsi="仿宋" w:eastAsia="仿宋" w:cs="宋体"/>
          <w:color w:val="000000"/>
          <w:kern w:val="0"/>
          <w:sz w:val="32"/>
          <w:szCs w:val="32"/>
        </w:rPr>
      </w:pPr>
      <w:r>
        <w:rPr>
          <w:rFonts w:hint="eastAsia" w:ascii="仿宋" w:hAnsi="仿宋" w:eastAsia="仿宋" w:cs="宋体"/>
          <w:color w:val="000000"/>
          <w:kern w:val="0"/>
          <w:sz w:val="32"/>
          <w:szCs w:val="32"/>
        </w:rPr>
        <w:t>一是县财政部门加大对绩效预算管理改革和绩效自评相关内容学习培训，进一步各单位提升工作人员绩效评价业务水平，促进高质量财政建设。</w:t>
      </w:r>
    </w:p>
    <w:p w14:paraId="16617420">
      <w:pPr>
        <w:ind w:firstLine="640" w:firstLineChars="200"/>
        <w:rPr>
          <w:rFonts w:ascii="仿宋" w:hAnsi="仿宋" w:eastAsia="仿宋" w:cs="宋体"/>
          <w:color w:val="000000"/>
          <w:kern w:val="0"/>
          <w:sz w:val="32"/>
          <w:szCs w:val="32"/>
        </w:rPr>
      </w:pPr>
      <w:r>
        <w:rPr>
          <w:rFonts w:hint="eastAsia" w:ascii="仿宋" w:hAnsi="仿宋" w:eastAsia="仿宋" w:cs="宋体"/>
          <w:color w:val="000000"/>
          <w:kern w:val="0"/>
          <w:sz w:val="32"/>
          <w:szCs w:val="32"/>
        </w:rPr>
        <w:t>二是提高资金执行率。按规定开展实施村级转移支付项目，加强实施部门预算编制管理工作，如有变更及时上报调整，按时按量完成资金拨付，提高预算资金的针对性和有效性。</w:t>
      </w:r>
    </w:p>
    <w:p w14:paraId="6927F42C">
      <w:pPr>
        <w:ind w:firstLine="640" w:firstLineChars="200"/>
        <w:rPr>
          <w:rFonts w:ascii="仿宋" w:hAnsi="仿宋" w:eastAsia="仿宋" w:cs="宋体"/>
          <w:color w:val="000000"/>
          <w:kern w:val="0"/>
          <w:sz w:val="32"/>
          <w:szCs w:val="32"/>
        </w:rPr>
      </w:pPr>
      <w:r>
        <w:rPr>
          <w:rFonts w:hint="eastAsia" w:ascii="仿宋" w:hAnsi="仿宋" w:eastAsia="仿宋" w:cs="宋体"/>
          <w:color w:val="000000"/>
          <w:kern w:val="0"/>
          <w:sz w:val="32"/>
          <w:szCs w:val="32"/>
        </w:rPr>
        <w:t>三是严格执行资金申报，强化资金保障。规范项目申报管理，严格要求项目申报单位按规定提供申报材料、填报项目绩效目标，对不合规的项目申报材料不予受理。</w:t>
      </w:r>
    </w:p>
    <w:p w14:paraId="47465CEC">
      <w:pPr>
        <w:ind w:firstLine="640" w:firstLineChars="200"/>
        <w:rPr>
          <w:rFonts w:ascii="仿宋" w:hAnsi="仿宋" w:eastAsia="仿宋" w:cs="宋体"/>
          <w:color w:val="000000"/>
          <w:kern w:val="0"/>
          <w:sz w:val="32"/>
          <w:szCs w:val="32"/>
        </w:rPr>
      </w:pPr>
      <w:r>
        <w:rPr>
          <w:rFonts w:hint="eastAsia" w:ascii="仿宋" w:hAnsi="仿宋" w:eastAsia="仿宋" w:cs="宋体"/>
          <w:color w:val="000000"/>
          <w:kern w:val="0"/>
          <w:sz w:val="32"/>
          <w:szCs w:val="32"/>
        </w:rPr>
        <w:t>四是加强绩效评价力度，提高资金使用效益根据非税收入资金项目的特点，研究制定更为科学、合理的绩效指标体系，有针对性地加强对非税收入资金项目执行和经费使用情况的绩效评价考核，促进项目按要求出成果、出效益。</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_GB2312">
    <w:panose1 w:val="02010609030101010101"/>
    <w:charset w:val="86"/>
    <w:family w:val="auto"/>
    <w:pitch w:val="default"/>
    <w:sig w:usb0="00000001" w:usb1="080E0000" w:usb2="00000000" w:usb3="00000000" w:csb0="00040000" w:csb1="00000000"/>
  </w:font>
  <w:font w:name="方正小标宋简体">
    <w:panose1 w:val="02000000000000000000"/>
    <w:charset w:val="86"/>
    <w:family w:val="auto"/>
    <w:pitch w:val="default"/>
    <w:sig w:usb0="A00002BF" w:usb1="184F6CFA" w:usb2="00000012" w:usb3="00000000" w:csb0="00040001" w:csb1="00000000"/>
  </w:font>
  <w:font w:name="楷体_GB2312">
    <w:panose1 w:val="02010609030101010101"/>
    <w:charset w:val="86"/>
    <w:family w:val="auto"/>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3874EA3"/>
    <w:multiLevelType w:val="multilevel"/>
    <w:tmpl w:val="13874EA3"/>
    <w:lvl w:ilvl="0" w:tentative="0">
      <w:start w:val="1"/>
      <w:numFmt w:val="japaneseCounting"/>
      <w:lvlText w:val="%1、"/>
      <w:lvlJc w:val="left"/>
      <w:pPr>
        <w:ind w:left="1192" w:hanging="720"/>
      </w:pPr>
      <w:rPr>
        <w:rFonts w:hint="default"/>
      </w:rPr>
    </w:lvl>
    <w:lvl w:ilvl="1" w:tentative="0">
      <w:start w:val="1"/>
      <w:numFmt w:val="lowerLetter"/>
      <w:lvlText w:val="%2)"/>
      <w:lvlJc w:val="left"/>
      <w:pPr>
        <w:ind w:left="1312" w:hanging="420"/>
      </w:pPr>
    </w:lvl>
    <w:lvl w:ilvl="2" w:tentative="0">
      <w:start w:val="1"/>
      <w:numFmt w:val="lowerRoman"/>
      <w:lvlText w:val="%3."/>
      <w:lvlJc w:val="right"/>
      <w:pPr>
        <w:ind w:left="1732" w:hanging="420"/>
      </w:pPr>
    </w:lvl>
    <w:lvl w:ilvl="3" w:tentative="0">
      <w:start w:val="1"/>
      <w:numFmt w:val="decimal"/>
      <w:lvlText w:val="%4."/>
      <w:lvlJc w:val="left"/>
      <w:pPr>
        <w:ind w:left="2152" w:hanging="420"/>
      </w:pPr>
    </w:lvl>
    <w:lvl w:ilvl="4" w:tentative="0">
      <w:start w:val="1"/>
      <w:numFmt w:val="lowerLetter"/>
      <w:lvlText w:val="%5)"/>
      <w:lvlJc w:val="left"/>
      <w:pPr>
        <w:ind w:left="2572" w:hanging="420"/>
      </w:pPr>
    </w:lvl>
    <w:lvl w:ilvl="5" w:tentative="0">
      <w:start w:val="1"/>
      <w:numFmt w:val="lowerRoman"/>
      <w:lvlText w:val="%6."/>
      <w:lvlJc w:val="right"/>
      <w:pPr>
        <w:ind w:left="2992" w:hanging="420"/>
      </w:pPr>
    </w:lvl>
    <w:lvl w:ilvl="6" w:tentative="0">
      <w:start w:val="1"/>
      <w:numFmt w:val="decimal"/>
      <w:lvlText w:val="%7."/>
      <w:lvlJc w:val="left"/>
      <w:pPr>
        <w:ind w:left="3412" w:hanging="420"/>
      </w:pPr>
    </w:lvl>
    <w:lvl w:ilvl="7" w:tentative="0">
      <w:start w:val="1"/>
      <w:numFmt w:val="lowerLetter"/>
      <w:lvlText w:val="%8)"/>
      <w:lvlJc w:val="left"/>
      <w:pPr>
        <w:ind w:left="3832" w:hanging="420"/>
      </w:pPr>
    </w:lvl>
    <w:lvl w:ilvl="8" w:tentative="0">
      <w:start w:val="1"/>
      <w:numFmt w:val="lowerRoman"/>
      <w:lvlText w:val="%9."/>
      <w:lvlJc w:val="right"/>
      <w:pPr>
        <w:ind w:left="4252" w:hanging="42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2"/>
  </w:compat>
  <w:docVars>
    <w:docVar w:name="commondata" w:val="eyJoZGlkIjoiYTcxYzMyOTdkMjZiY2ZhMTJiODdlZDViZjZiYTMyMmQifQ=="/>
  </w:docVars>
  <w:rsids>
    <w:rsidRoot w:val="00C047EA"/>
    <w:rsid w:val="000B6188"/>
    <w:rsid w:val="001D2EAA"/>
    <w:rsid w:val="002C71AF"/>
    <w:rsid w:val="0036746E"/>
    <w:rsid w:val="00476898"/>
    <w:rsid w:val="00574E7A"/>
    <w:rsid w:val="0058118E"/>
    <w:rsid w:val="00584A12"/>
    <w:rsid w:val="00661BB7"/>
    <w:rsid w:val="006A012B"/>
    <w:rsid w:val="006C0284"/>
    <w:rsid w:val="006E4700"/>
    <w:rsid w:val="006F4580"/>
    <w:rsid w:val="00767F1C"/>
    <w:rsid w:val="007A1805"/>
    <w:rsid w:val="008706C7"/>
    <w:rsid w:val="008E0144"/>
    <w:rsid w:val="009E7E4A"/>
    <w:rsid w:val="00A17715"/>
    <w:rsid w:val="00B05C53"/>
    <w:rsid w:val="00C047EA"/>
    <w:rsid w:val="00C422D3"/>
    <w:rsid w:val="00C569E2"/>
    <w:rsid w:val="00C91487"/>
    <w:rsid w:val="00CA444D"/>
    <w:rsid w:val="00D37A0C"/>
    <w:rsid w:val="00D4578E"/>
    <w:rsid w:val="00E160B9"/>
    <w:rsid w:val="00F53551"/>
    <w:rsid w:val="00FC3534"/>
    <w:rsid w:val="00FE09BC"/>
    <w:rsid w:val="0ACE21CF"/>
    <w:rsid w:val="4905108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5">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7"/>
    <w:unhideWhenUsed/>
    <w:qFormat/>
    <w:uiPriority w:val="99"/>
    <w:pPr>
      <w:tabs>
        <w:tab w:val="center" w:pos="4153"/>
        <w:tab w:val="right" w:pos="8306"/>
      </w:tabs>
      <w:snapToGrid w:val="0"/>
      <w:jc w:val="left"/>
    </w:pPr>
    <w:rPr>
      <w:sz w:val="18"/>
      <w:szCs w:val="18"/>
    </w:rPr>
  </w:style>
  <w:style w:type="paragraph" w:styleId="3">
    <w:name w:val="header"/>
    <w:basedOn w:val="1"/>
    <w:link w:val="6"/>
    <w:unhideWhenUsed/>
    <w:qFormat/>
    <w:uiPriority w:val="99"/>
    <w:pPr>
      <w:pBdr>
        <w:bottom w:val="single" w:color="auto" w:sz="6" w:space="1"/>
      </w:pBdr>
      <w:tabs>
        <w:tab w:val="center" w:pos="4153"/>
        <w:tab w:val="right" w:pos="8306"/>
      </w:tabs>
      <w:snapToGrid w:val="0"/>
      <w:jc w:val="center"/>
    </w:pPr>
    <w:rPr>
      <w:sz w:val="18"/>
      <w:szCs w:val="18"/>
    </w:rPr>
  </w:style>
  <w:style w:type="character" w:customStyle="1" w:styleId="6">
    <w:name w:val="页眉 字符"/>
    <w:basedOn w:val="5"/>
    <w:link w:val="3"/>
    <w:uiPriority w:val="99"/>
    <w:rPr>
      <w:sz w:val="18"/>
      <w:szCs w:val="18"/>
    </w:rPr>
  </w:style>
  <w:style w:type="character" w:customStyle="1" w:styleId="7">
    <w:name w:val="页脚 字符"/>
    <w:basedOn w:val="5"/>
    <w:link w:val="2"/>
    <w:qFormat/>
    <w:uiPriority w:val="99"/>
    <w:rPr>
      <w:sz w:val="18"/>
      <w:szCs w:val="18"/>
    </w:rPr>
  </w:style>
  <w:style w:type="paragraph" w:styleId="8">
    <w:name w:val="List Paragraph"/>
    <w:basedOn w:val="1"/>
    <w:qFormat/>
    <w:uiPriority w:val="34"/>
    <w:pPr>
      <w:ind w:firstLine="420" w:firstLineChars="200"/>
    </w:pPr>
  </w:style>
  <w:style w:type="character" w:customStyle="1" w:styleId="9">
    <w:name w:val="font41"/>
    <w:qFormat/>
    <w:uiPriority w:val="0"/>
    <w:rPr>
      <w:rFonts w:hint="eastAsia" w:ascii="仿宋" w:hAnsi="仿宋" w:eastAsia="仿宋" w:cs="仿宋"/>
      <w:color w:val="000000"/>
      <w:sz w:val="24"/>
      <w:szCs w:val="24"/>
      <w:u w:val="none"/>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7</Pages>
  <Words>2980</Words>
  <Characters>3018</Characters>
  <Lines>21</Lines>
  <Paragraphs>6</Paragraphs>
  <TotalTime>76</TotalTime>
  <ScaleCrop>false</ScaleCrop>
  <LinksUpToDate>false</LinksUpToDate>
  <CharactersWithSpaces>3036</CharactersWithSpaces>
  <Application>WPS Office_12.1.0.20784_F1E327BC-269C-435d-A152-05C5408002CA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2022-03-02T02:51:00Z</dcterms:created>
  <dc:creator>lenovo</dc:creator>
  <cp:lastModifiedBy>李孟泽</cp:lastModifiedBy>
  <cp:lastPrinted>2022-03-03T03:27:00Z</cp:lastPrinted>
  <dcterms:modified xsi:type="dcterms:W3CDTF">2025-04-09T03:57:53Z</dcterms:modified>
  <cp:revision>12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2052-12.1.0.20784</vt:lpwstr>
  </property>
  <property fmtid="{D5CDD505-2E9C-101B-9397-08002B2CF9AE}" pid="3" name="ICV">
    <vt:lpwstr>D78FD6DC7AD84A0DB22AFA58670E1FAA_12</vt:lpwstr>
  </property>
  <property fmtid="{D5CDD505-2E9C-101B-9397-08002B2CF9AE}" pid="4" name="KSOTemplateDocerSaveRecord">
    <vt:lpwstr>eyJoZGlkIjoiYTUwN2VjYjRjODZlZTA4YTFlNDAwZGFlODhhNTZhN2EiLCJ1c2VySWQiOiI0MDgxMDA0MzUifQ==</vt:lpwstr>
  </property>
</Properties>
</file>