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82DDA4">
      <w:pPr>
        <w:widowControl/>
        <w:jc w:val="center"/>
        <w:rPr>
          <w:rFonts w:ascii="宋体" w:hAnsi="宋体" w:eastAsia="宋体" w:cs="宋体"/>
          <w:b/>
          <w:bCs/>
          <w:kern w:val="0"/>
          <w:sz w:val="44"/>
          <w:szCs w:val="44"/>
        </w:rPr>
      </w:pPr>
      <w:bookmarkStart w:id="0" w:name="_GoBack"/>
      <w:bookmarkEnd w:id="0"/>
    </w:p>
    <w:p w14:paraId="537DAA47">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隆尧县魏家庄镇人民政府</w:t>
      </w:r>
    </w:p>
    <w:p w14:paraId="1B7BC39A">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2021年占地补偿项目绩效评价自评报告</w:t>
      </w:r>
    </w:p>
    <w:p w14:paraId="760BA2D7">
      <w:pPr>
        <w:widowControl/>
        <w:rPr>
          <w:rFonts w:ascii="黑体" w:hAnsi="黑体" w:eastAsia="黑体" w:cs="宋体"/>
          <w:b/>
          <w:bCs/>
          <w:kern w:val="0"/>
          <w:sz w:val="44"/>
          <w:szCs w:val="44"/>
        </w:rPr>
      </w:pPr>
    </w:p>
    <w:p w14:paraId="3772FF47">
      <w:pPr>
        <w:pStyle w:val="8"/>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14:paraId="04E97005">
      <w:pPr>
        <w:widowControl/>
        <w:rPr>
          <w:rFonts w:cs="宋体" w:asciiTheme="minorEastAsia" w:hAnsiTheme="minorEastAsia"/>
          <w:kern w:val="0"/>
          <w:sz w:val="32"/>
          <w:szCs w:val="32"/>
        </w:rPr>
      </w:pPr>
      <w:r>
        <w:rPr>
          <w:rFonts w:hint="eastAsia" w:cs="宋体" w:asciiTheme="minorEastAsia" w:hAnsiTheme="minorEastAsia"/>
          <w:kern w:val="0"/>
          <w:sz w:val="32"/>
          <w:szCs w:val="32"/>
        </w:rPr>
        <w:t xml:space="preserve">  </w:t>
      </w:r>
      <w:r>
        <w:rPr>
          <w:rFonts w:cs="宋体" w:asciiTheme="minorEastAsia" w:hAnsiTheme="minorEastAsia"/>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为满足社会经济发展的需要,依据我县土地利用总体规划、城市总体规划和村镇建设规划,县国土资源局征用现属于我镇部分村的土地。根据《中华人民共和国土地管理法》等法律、法规及有关文件规定,我单位在年初已按签订合同补偿资金数额纳入2</w:t>
      </w:r>
      <w:r>
        <w:rPr>
          <w:rFonts w:ascii="仿宋" w:hAnsi="仿宋" w:eastAsia="仿宋" w:cs="宋体"/>
          <w:kern w:val="0"/>
          <w:sz w:val="32"/>
          <w:szCs w:val="32"/>
        </w:rPr>
        <w:t>1</w:t>
      </w:r>
      <w:r>
        <w:rPr>
          <w:rFonts w:hint="eastAsia" w:ascii="仿宋" w:hAnsi="仿宋" w:eastAsia="仿宋" w:cs="宋体"/>
          <w:kern w:val="0"/>
          <w:sz w:val="32"/>
          <w:szCs w:val="32"/>
        </w:rPr>
        <w:t>年预算共计</w:t>
      </w:r>
      <w:r>
        <w:rPr>
          <w:rFonts w:ascii="仿宋" w:hAnsi="仿宋" w:eastAsia="仿宋" w:cs="宋体"/>
          <w:kern w:val="0"/>
          <w:sz w:val="32"/>
          <w:szCs w:val="32"/>
        </w:rPr>
        <w:t>74.64</w:t>
      </w:r>
      <w:r>
        <w:rPr>
          <w:rFonts w:hint="eastAsia" w:ascii="仿宋" w:hAnsi="仿宋" w:eastAsia="仿宋" w:cs="宋体"/>
          <w:kern w:val="0"/>
          <w:sz w:val="32"/>
          <w:szCs w:val="32"/>
        </w:rPr>
        <w:t>万元，用于我镇公益事业等占地补偿。</w:t>
      </w:r>
    </w:p>
    <w:p w14:paraId="51B8134B">
      <w:pPr>
        <w:widowControl/>
        <w:rPr>
          <w:rFonts w:ascii="仿宋" w:hAnsi="仿宋" w:eastAsia="仿宋" w:cs="宋体"/>
          <w:kern w:val="0"/>
          <w:sz w:val="32"/>
          <w:szCs w:val="32"/>
        </w:rPr>
      </w:pPr>
      <w:r>
        <w:rPr>
          <w:rFonts w:hint="eastAsia" w:cs="宋体" w:asciiTheme="minorEastAsia" w:hAnsiTheme="minorEastAsia"/>
          <w:kern w:val="0"/>
          <w:sz w:val="32"/>
          <w:szCs w:val="32"/>
        </w:rPr>
        <w:t>（</w:t>
      </w:r>
      <w:r>
        <w:rPr>
          <w:rFonts w:hint="eastAsia" w:ascii="仿宋" w:hAnsi="仿宋" w:eastAsia="仿宋" w:cs="宋体"/>
          <w:kern w:val="0"/>
          <w:sz w:val="32"/>
          <w:szCs w:val="32"/>
        </w:rPr>
        <w:t>一）政府战略规划或目标。</w:t>
      </w:r>
    </w:p>
    <w:p w14:paraId="30390F4B">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总目标：隆尧县魏家庄镇人民政府为镇政府工作部门，机构规格正科级，位于隆尧县魏家庄镇魏家庄村迎宾路4</w:t>
      </w:r>
      <w:r>
        <w:rPr>
          <w:rFonts w:ascii="仿宋" w:hAnsi="仿宋" w:eastAsia="仿宋" w:cs="宋体"/>
          <w:kern w:val="0"/>
          <w:sz w:val="32"/>
          <w:szCs w:val="32"/>
        </w:rPr>
        <w:t>7</w:t>
      </w:r>
      <w:r>
        <w:rPr>
          <w:rFonts w:hint="eastAsia" w:ascii="仿宋" w:hAnsi="仿宋" w:eastAsia="仿宋" w:cs="宋体"/>
          <w:kern w:val="0"/>
          <w:sz w:val="32"/>
          <w:szCs w:val="32"/>
        </w:rPr>
        <w:t>号，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1DC90F8C">
      <w:pPr>
        <w:widowControl/>
        <w:rPr>
          <w:rFonts w:ascii="仿宋" w:hAnsi="仿宋" w:eastAsia="仿宋" w:cs="宋体"/>
          <w:kern w:val="0"/>
          <w:sz w:val="32"/>
          <w:szCs w:val="32"/>
        </w:rPr>
      </w:pPr>
      <w:r>
        <w:rPr>
          <w:rFonts w:hint="eastAsia" w:ascii="仿宋" w:hAnsi="仿宋" w:eastAsia="仿宋" w:cs="宋体"/>
          <w:kern w:val="0"/>
          <w:sz w:val="32"/>
          <w:szCs w:val="32"/>
        </w:rPr>
        <w:t xml:space="preserve">  （二）单位工作目标。</w:t>
      </w:r>
    </w:p>
    <w:p w14:paraId="0D83B5FD">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确保征地补偿款足额拨付，补偿农户切实增加收入，为我镇发展提供便利。</w:t>
      </w:r>
    </w:p>
    <w:p w14:paraId="45662588">
      <w:pPr>
        <w:widowControl/>
        <w:rPr>
          <w:rFonts w:ascii="仿宋" w:hAnsi="仿宋" w:eastAsia="仿宋" w:cs="宋体"/>
          <w:kern w:val="0"/>
          <w:sz w:val="32"/>
          <w:szCs w:val="32"/>
        </w:rPr>
      </w:pPr>
      <w:r>
        <w:rPr>
          <w:rFonts w:hint="eastAsia" w:ascii="仿宋" w:hAnsi="仿宋" w:eastAsia="仿宋" w:cs="宋体"/>
          <w:kern w:val="0"/>
          <w:sz w:val="32"/>
          <w:szCs w:val="32"/>
        </w:rPr>
        <w:t xml:space="preserve">  （三）工作活动(项目)基本情况。</w:t>
      </w:r>
    </w:p>
    <w:p w14:paraId="4A98474F">
      <w:pPr>
        <w:widowControl/>
        <w:ind w:firstLine="470" w:firstLineChars="147"/>
        <w:rPr>
          <w:rFonts w:ascii="仿宋" w:hAnsi="仿宋" w:eastAsia="仿宋" w:cs="宋体"/>
          <w:kern w:val="0"/>
          <w:sz w:val="32"/>
          <w:szCs w:val="32"/>
        </w:rPr>
      </w:pPr>
      <w:r>
        <w:rPr>
          <w:rFonts w:hint="eastAsia" w:ascii="仿宋" w:hAnsi="仿宋" w:eastAsia="仿宋" w:cs="宋体"/>
          <w:kern w:val="0"/>
          <w:sz w:val="32"/>
          <w:szCs w:val="32"/>
        </w:rPr>
        <w:t>魏家庄镇共有</w:t>
      </w:r>
      <w:r>
        <w:rPr>
          <w:rFonts w:ascii="仿宋" w:hAnsi="仿宋" w:eastAsia="仿宋" w:cs="宋体"/>
          <w:kern w:val="0"/>
          <w:sz w:val="32"/>
          <w:szCs w:val="32"/>
        </w:rPr>
        <w:t>36532</w:t>
      </w:r>
      <w:r>
        <w:rPr>
          <w:rFonts w:hint="eastAsia" w:ascii="仿宋" w:hAnsi="仿宋" w:eastAsia="仿宋" w:cs="宋体"/>
          <w:kern w:val="0"/>
          <w:sz w:val="32"/>
          <w:szCs w:val="32"/>
        </w:rPr>
        <w:t>人，共辖</w:t>
      </w:r>
      <w:r>
        <w:rPr>
          <w:rFonts w:ascii="仿宋" w:hAnsi="仿宋" w:eastAsia="仿宋" w:cs="宋体"/>
          <w:kern w:val="0"/>
          <w:sz w:val="32"/>
          <w:szCs w:val="32"/>
        </w:rPr>
        <w:t>25</w:t>
      </w:r>
      <w:r>
        <w:rPr>
          <w:rFonts w:hint="eastAsia" w:ascii="仿宋" w:hAnsi="仿宋" w:eastAsia="仿宋" w:cs="宋体"/>
          <w:kern w:val="0"/>
          <w:sz w:val="32"/>
          <w:szCs w:val="32"/>
        </w:rPr>
        <w:t>个村，土地出让金/占地补偿金共</w:t>
      </w:r>
      <w:r>
        <w:rPr>
          <w:rFonts w:ascii="仿宋" w:hAnsi="仿宋" w:eastAsia="仿宋" w:cs="宋体"/>
          <w:kern w:val="0"/>
          <w:sz w:val="32"/>
          <w:szCs w:val="32"/>
        </w:rPr>
        <w:t>74.64</w:t>
      </w:r>
      <w:r>
        <w:rPr>
          <w:rFonts w:hint="eastAsia" w:ascii="仿宋" w:hAnsi="仿宋" w:eastAsia="仿宋" w:cs="宋体"/>
          <w:kern w:val="0"/>
          <w:sz w:val="32"/>
          <w:szCs w:val="32"/>
        </w:rPr>
        <w:t>万元，用于我镇公益事业建设占地补偿资金。</w:t>
      </w:r>
    </w:p>
    <w:p w14:paraId="35CA9DB6">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二、工作活动(项目)绩效目标和指标设定情况</w:t>
      </w:r>
    </w:p>
    <w:p w14:paraId="39111C72">
      <w:pPr>
        <w:widowControl/>
        <w:rPr>
          <w:rFonts w:ascii="仿宋" w:hAnsi="仿宋" w:eastAsia="仿宋" w:cs="宋体"/>
          <w:kern w:val="0"/>
          <w:sz w:val="32"/>
          <w:szCs w:val="32"/>
        </w:rPr>
      </w:pPr>
      <w:r>
        <w:rPr>
          <w:rFonts w:hint="eastAsia" w:ascii="仿宋" w:hAnsi="仿宋" w:eastAsia="仿宋" w:cs="宋体"/>
          <w:kern w:val="0"/>
          <w:sz w:val="32"/>
          <w:szCs w:val="32"/>
        </w:rPr>
        <w:t xml:space="preserve"> （一）工作活动(项目)总目标、年度目标设定情况。</w:t>
      </w:r>
    </w:p>
    <w:p w14:paraId="34BE9721">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1、镇政府将占地补偿资金按合同要求拨付到涉及用户村委会账户，有村委会拨付到补偿农户“一卡通”，做到公平公正公开透明。</w:t>
      </w:r>
    </w:p>
    <w:p w14:paraId="0EB89513">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2、制定镇财务制度。资金由镇财政用银行</w:t>
      </w:r>
      <w:r>
        <w:rPr>
          <w:rFonts w:hint="eastAsia" w:ascii="仿宋" w:hAnsi="仿宋" w:eastAsia="仿宋" w:cs="宋体"/>
          <w:kern w:val="0"/>
          <w:sz w:val="32"/>
          <w:szCs w:val="32"/>
          <w:lang w:eastAsia="zh-CN"/>
        </w:rPr>
        <w:t>转账</w:t>
      </w:r>
      <w:r>
        <w:rPr>
          <w:rFonts w:hint="eastAsia" w:ascii="仿宋" w:hAnsi="仿宋" w:eastAsia="仿宋" w:cs="宋体"/>
          <w:kern w:val="0"/>
          <w:sz w:val="32"/>
          <w:szCs w:val="32"/>
        </w:rPr>
        <w:t>的方式拨付，保证了资金的安全。</w:t>
      </w:r>
    </w:p>
    <w:p w14:paraId="607D0646">
      <w:pPr>
        <w:widowControl/>
        <w:rPr>
          <w:rFonts w:ascii="仿宋" w:hAnsi="仿宋" w:eastAsia="仿宋" w:cs="宋体"/>
          <w:kern w:val="0"/>
          <w:sz w:val="32"/>
          <w:szCs w:val="32"/>
        </w:rPr>
      </w:pPr>
      <w:r>
        <w:rPr>
          <w:rFonts w:hint="eastAsia" w:ascii="仿宋" w:hAnsi="仿宋" w:eastAsia="仿宋" w:cs="宋体"/>
          <w:kern w:val="0"/>
          <w:sz w:val="32"/>
          <w:szCs w:val="32"/>
        </w:rPr>
        <w:t>（二）工作活动(项目)绩效指标设定情况。</w:t>
      </w:r>
    </w:p>
    <w:p w14:paraId="69CA8F5F">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绩效指标主要包括产出指标（数量指标、质量指标、时效指标）和效果指标（经济效益指标、社会效益指标、可持续发展效益指标）。</w:t>
      </w:r>
    </w:p>
    <w:p w14:paraId="3766827F">
      <w:pPr>
        <w:widowControl/>
        <w:rPr>
          <w:rFonts w:ascii="仿宋" w:hAnsi="仿宋" w:eastAsia="仿宋" w:cs="宋体"/>
          <w:kern w:val="0"/>
          <w:sz w:val="32"/>
          <w:szCs w:val="32"/>
        </w:rPr>
      </w:pPr>
      <w:r>
        <w:rPr>
          <w:rFonts w:hint="eastAsia" w:ascii="仿宋" w:hAnsi="仿宋" w:eastAsia="仿宋" w:cs="宋体"/>
          <w:kern w:val="0"/>
          <w:sz w:val="32"/>
          <w:szCs w:val="32"/>
        </w:rPr>
        <w:t>（三）调整情况。</w:t>
      </w:r>
    </w:p>
    <w:p w14:paraId="39928ACA">
      <w:pPr>
        <w:widowControl/>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无调整。</w:t>
      </w:r>
    </w:p>
    <w:p w14:paraId="68B98A4F">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14:paraId="1D232673">
      <w:pPr>
        <w:widowControl/>
        <w:ind w:left="105" w:leftChars="50"/>
        <w:rPr>
          <w:rFonts w:ascii="黑体" w:hAnsi="黑体" w:eastAsia="黑体" w:cs="宋体"/>
          <w:b/>
          <w:bCs/>
          <w:kern w:val="0"/>
          <w:sz w:val="32"/>
          <w:szCs w:val="32"/>
        </w:rPr>
      </w:pPr>
      <w:r>
        <w:rPr>
          <w:rFonts w:hint="eastAsia" w:ascii="仿宋" w:hAnsi="仿宋" w:eastAsia="仿宋" w:cs="宋体"/>
          <w:kern w:val="0"/>
          <w:sz w:val="32"/>
          <w:szCs w:val="32"/>
        </w:rPr>
        <w:t>（一）计划制定和落实情况。</w:t>
      </w:r>
    </w:p>
    <w:p w14:paraId="1E2411F3">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为了按照统一规则和标准实施评价工作，更加准确地反映项目单位的绩效实际情况，我们将综合绩效评价级别分为4个等级。具体评价等级分类如下：</w:t>
      </w:r>
    </w:p>
    <w:p w14:paraId="68D155C4">
      <w:pPr>
        <w:widowControl/>
        <w:ind w:left="320"/>
        <w:jc w:val="center"/>
        <w:rPr>
          <w:rFonts w:ascii="仿宋" w:hAnsi="仿宋" w:eastAsia="仿宋" w:cs="宋体"/>
          <w:kern w:val="0"/>
          <w:sz w:val="32"/>
          <w:szCs w:val="32"/>
        </w:rPr>
      </w:pPr>
      <w:r>
        <w:rPr>
          <w:rFonts w:hint="eastAsia" w:ascii="仿宋" w:hAnsi="仿宋" w:eastAsia="仿宋" w:cs="宋体"/>
          <w:kern w:val="0"/>
          <w:sz w:val="32"/>
          <w:szCs w:val="32"/>
        </w:rPr>
        <w:t>绩效评价等级分类表</w:t>
      </w:r>
    </w:p>
    <w:tbl>
      <w:tblPr>
        <w:tblStyle w:val="4"/>
        <w:tblW w:w="8431" w:type="dxa"/>
        <w:tblInd w:w="0" w:type="dxa"/>
        <w:tblLayout w:type="fixed"/>
        <w:tblCellMar>
          <w:top w:w="0" w:type="dxa"/>
          <w:left w:w="0" w:type="dxa"/>
          <w:bottom w:w="0" w:type="dxa"/>
          <w:right w:w="0" w:type="dxa"/>
        </w:tblCellMar>
      </w:tblPr>
      <w:tblGrid>
        <w:gridCol w:w="1437"/>
        <w:gridCol w:w="2105"/>
        <w:gridCol w:w="1807"/>
        <w:gridCol w:w="1413"/>
        <w:gridCol w:w="1669"/>
      </w:tblGrid>
      <w:tr w14:paraId="0F955C73">
        <w:tblPrEx>
          <w:tblCellMar>
            <w:top w:w="0" w:type="dxa"/>
            <w:left w:w="0" w:type="dxa"/>
            <w:bottom w:w="0" w:type="dxa"/>
            <w:right w:w="0" w:type="dxa"/>
          </w:tblCellMar>
        </w:tblPrEx>
        <w:trPr>
          <w:trHeight w:val="440" w:hRule="atLeast"/>
        </w:trPr>
        <w:tc>
          <w:tcPr>
            <w:tcW w:w="1437"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1722ECEB">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项目</w:t>
            </w:r>
          </w:p>
        </w:tc>
        <w:tc>
          <w:tcPr>
            <w:tcW w:w="210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31E7C365">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优</w:t>
            </w:r>
          </w:p>
        </w:tc>
        <w:tc>
          <w:tcPr>
            <w:tcW w:w="180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233FD33C">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良</w:t>
            </w:r>
          </w:p>
        </w:tc>
        <w:tc>
          <w:tcPr>
            <w:tcW w:w="1413" w:type="dxa"/>
            <w:tcBorders>
              <w:top w:val="single" w:color="000000" w:sz="8" w:space="0"/>
              <w:left w:val="nil"/>
              <w:bottom w:val="single" w:color="000000" w:sz="8" w:space="0"/>
              <w:right w:val="nil"/>
            </w:tcBorders>
            <w:tcMar>
              <w:top w:w="15" w:type="dxa"/>
              <w:left w:w="15" w:type="dxa"/>
              <w:right w:w="15" w:type="dxa"/>
            </w:tcMar>
            <w:vAlign w:val="center"/>
          </w:tcPr>
          <w:p w14:paraId="62975A98">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中</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7B6317">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差</w:t>
            </w:r>
          </w:p>
        </w:tc>
      </w:tr>
      <w:tr w14:paraId="45E2CC96">
        <w:tblPrEx>
          <w:tblCellMar>
            <w:top w:w="0" w:type="dxa"/>
            <w:left w:w="0" w:type="dxa"/>
            <w:bottom w:w="0" w:type="dxa"/>
            <w:right w:w="0" w:type="dxa"/>
          </w:tblCellMar>
        </w:tblPrEx>
        <w:trPr>
          <w:trHeight w:val="405" w:hRule="atLeast"/>
        </w:trPr>
        <w:tc>
          <w:tcPr>
            <w:tcW w:w="1437"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14:paraId="70085B40">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分值</w:t>
            </w:r>
          </w:p>
        </w:tc>
        <w:tc>
          <w:tcPr>
            <w:tcW w:w="2105" w:type="dxa"/>
            <w:tcBorders>
              <w:top w:val="nil"/>
              <w:left w:val="nil"/>
              <w:bottom w:val="single" w:color="000000" w:sz="8" w:space="0"/>
              <w:right w:val="single" w:color="000000" w:sz="8" w:space="0"/>
            </w:tcBorders>
            <w:tcMar>
              <w:top w:w="15" w:type="dxa"/>
              <w:left w:w="15" w:type="dxa"/>
              <w:right w:w="15" w:type="dxa"/>
            </w:tcMar>
            <w:vAlign w:val="center"/>
          </w:tcPr>
          <w:p w14:paraId="0BA19E4A">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≥1</w:t>
            </w:r>
            <w:r>
              <w:rPr>
                <w:rStyle w:val="9"/>
                <w:rFonts w:hint="default" w:ascii="宋体" w:hAnsi="宋体" w:eastAsia="宋体"/>
                <w:sz w:val="32"/>
                <w:szCs w:val="32"/>
                <w:lang w:bidi="ar"/>
              </w:rPr>
              <w:t>00%</w:t>
            </w:r>
          </w:p>
        </w:tc>
        <w:tc>
          <w:tcPr>
            <w:tcW w:w="1807" w:type="dxa"/>
            <w:tcBorders>
              <w:top w:val="nil"/>
              <w:left w:val="nil"/>
              <w:bottom w:val="single" w:color="000000" w:sz="8" w:space="0"/>
              <w:right w:val="single" w:color="000000" w:sz="8" w:space="0"/>
            </w:tcBorders>
            <w:tcMar>
              <w:top w:w="15" w:type="dxa"/>
              <w:left w:w="15" w:type="dxa"/>
              <w:right w:w="15" w:type="dxa"/>
            </w:tcMar>
            <w:vAlign w:val="center"/>
          </w:tcPr>
          <w:p w14:paraId="5242300F">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9</w:t>
            </w:r>
            <w:r>
              <w:rPr>
                <w:rFonts w:ascii="宋体" w:hAnsi="宋体" w:eastAsia="宋体"/>
                <w:kern w:val="0"/>
                <w:sz w:val="32"/>
                <w:szCs w:val="32"/>
              </w:rPr>
              <w:t>0%-99%</w:t>
            </w:r>
          </w:p>
        </w:tc>
        <w:tc>
          <w:tcPr>
            <w:tcW w:w="1413" w:type="dxa"/>
            <w:tcBorders>
              <w:top w:val="nil"/>
              <w:left w:val="nil"/>
              <w:bottom w:val="single" w:color="000000" w:sz="8" w:space="0"/>
              <w:right w:val="nil"/>
            </w:tcBorders>
            <w:tcMar>
              <w:top w:w="15" w:type="dxa"/>
              <w:left w:w="15" w:type="dxa"/>
              <w:right w:w="15" w:type="dxa"/>
            </w:tcMar>
            <w:vAlign w:val="center"/>
          </w:tcPr>
          <w:p w14:paraId="503A8B9C">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8</w:t>
            </w:r>
            <w:r>
              <w:rPr>
                <w:rFonts w:ascii="宋体" w:hAnsi="宋体" w:eastAsia="宋体"/>
                <w:kern w:val="0"/>
                <w:sz w:val="32"/>
                <w:szCs w:val="32"/>
              </w:rPr>
              <w:t>0%-89%</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0AC98B">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&lt;80%</w:t>
            </w:r>
          </w:p>
        </w:tc>
      </w:tr>
    </w:tbl>
    <w:p w14:paraId="6886BE60">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（二）执行绩效监控情况。</w:t>
      </w:r>
    </w:p>
    <w:p w14:paraId="13D408B5">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14:paraId="14425659">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（三）资金管理情况。</w:t>
      </w:r>
    </w:p>
    <w:p w14:paraId="76C5A6A5">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项目资金全部为县级资金，已全部到位。项目实施后，资金实际支出100%。</w:t>
      </w:r>
    </w:p>
    <w:p w14:paraId="4FF75645">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（四）绩效管理制度建设及执行情况。</w:t>
      </w:r>
    </w:p>
    <w:p w14:paraId="152C4721">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认真落实上级绩效管理相关制度，细化内控制度，强化管理执行，确保严格落实到位。</w:t>
      </w:r>
    </w:p>
    <w:p w14:paraId="5EB568E9">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（五）风险管理情况。</w:t>
      </w:r>
    </w:p>
    <w:p w14:paraId="5995E6FE">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建立风险评估机制，成立风险评估小组，对项目活动存在的风险进行全面、系统和客观评估，实施监督项目进展。</w:t>
      </w:r>
    </w:p>
    <w:p w14:paraId="7086964C">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14:paraId="7640D1C6">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（一）工作活动(项目)自评组织情况。</w:t>
      </w:r>
    </w:p>
    <w:p w14:paraId="2A90246B">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成立了由单位主管领导任组长，单位财务科室主管任副组长财务工作人员为成员的3人工作项目自评小组，负责项目的绩效自评，确保自评工作的客观、真实、全面。</w:t>
      </w:r>
    </w:p>
    <w:p w14:paraId="2FBC95FD">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（二）工作活动(项目)评价结果。</w:t>
      </w:r>
    </w:p>
    <w:p w14:paraId="6FFA55BA">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根据相关要求，对照绩效目标和相关指标，经认真自评，该项目得分100分，属于优秀等次。</w:t>
      </w:r>
    </w:p>
    <w:p w14:paraId="70D2C487">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14:paraId="60CA6308">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（一）工作活动(项目)实现绩效目标过程中存在的问题。</w:t>
      </w:r>
    </w:p>
    <w:p w14:paraId="3A6EAF0E">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占地补偿项目实现绩效目标过程中存在的主要问题，一是按当年小麦价格补偿的农户，对补偿资金定价解释不到位。二是根据项目情况设置绩效目标为“项目目标未具体细化、细化不足”。</w:t>
      </w:r>
    </w:p>
    <w:p w14:paraId="4F460AA3">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（二）工作活动(项目)实施中改进意见及措施。</w:t>
      </w:r>
    </w:p>
    <w:p w14:paraId="3B70AC56">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突出问题导向和结果导向，一是坚持政府领导，统一思想，进一步强化村级责任意识，支部书记负总责，两委干部具体落实，层层传导压力，强化工作合力，协调联动落实。二是健全完善工作机制，进一明确村两委职责和村级事务年度目标，实行定期调度推进制度。</w:t>
      </w:r>
    </w:p>
    <w:p w14:paraId="4D12FC29">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（三）建议。</w:t>
      </w:r>
    </w:p>
    <w:p w14:paraId="6FDF40B2">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一是县财政部门加大对绩效预算管理改革和绩效自评相关内容学习培训，进一步各单位提升工作人员绩效评价业务水平，促进高质量财政建设。</w:t>
      </w:r>
    </w:p>
    <w:p w14:paraId="62C1EDB0">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14:paraId="44C8710C">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三是严格执行资金申报，强化资金保障。规范项目申报管理，严格要求项目申报单位按规定提供申报材料、填报项目绩效目标，对不合规的项目申报材料不予受理。</w:t>
      </w:r>
    </w:p>
    <w:p w14:paraId="6C608EC7">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047EA"/>
    <w:rsid w:val="000B6188"/>
    <w:rsid w:val="001D2EAA"/>
    <w:rsid w:val="002C71AF"/>
    <w:rsid w:val="002E23D3"/>
    <w:rsid w:val="0032778B"/>
    <w:rsid w:val="0036746E"/>
    <w:rsid w:val="00452E2F"/>
    <w:rsid w:val="00476898"/>
    <w:rsid w:val="00574E7A"/>
    <w:rsid w:val="0058118E"/>
    <w:rsid w:val="00584A12"/>
    <w:rsid w:val="005C0E26"/>
    <w:rsid w:val="00661BB7"/>
    <w:rsid w:val="006A012B"/>
    <w:rsid w:val="006A0A8C"/>
    <w:rsid w:val="006C0284"/>
    <w:rsid w:val="00732C10"/>
    <w:rsid w:val="00767F1C"/>
    <w:rsid w:val="0078532C"/>
    <w:rsid w:val="007A1805"/>
    <w:rsid w:val="008E0144"/>
    <w:rsid w:val="009C2B29"/>
    <w:rsid w:val="009E7E4A"/>
    <w:rsid w:val="00A17715"/>
    <w:rsid w:val="00B05C53"/>
    <w:rsid w:val="00C047EA"/>
    <w:rsid w:val="00C422D3"/>
    <w:rsid w:val="00C569E2"/>
    <w:rsid w:val="00C91487"/>
    <w:rsid w:val="00CA444D"/>
    <w:rsid w:val="00D00C53"/>
    <w:rsid w:val="00D369D7"/>
    <w:rsid w:val="00D432C4"/>
    <w:rsid w:val="00D4578E"/>
    <w:rsid w:val="00E160B9"/>
    <w:rsid w:val="00F53551"/>
    <w:rsid w:val="00FC3534"/>
    <w:rsid w:val="00FE09BC"/>
    <w:rsid w:val="55F859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 w:type="paragraph" w:styleId="8">
    <w:name w:val="List Paragraph"/>
    <w:basedOn w:val="1"/>
    <w:qFormat/>
    <w:uiPriority w:val="34"/>
    <w:pPr>
      <w:ind w:firstLine="420" w:firstLineChars="200"/>
    </w:pPr>
  </w:style>
  <w:style w:type="character" w:customStyle="1" w:styleId="9">
    <w:name w:val="font41"/>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2149</Words>
  <Characters>2190</Characters>
  <Lines>16</Lines>
  <Paragraphs>4</Paragraphs>
  <TotalTime>123</TotalTime>
  <ScaleCrop>false</ScaleCrop>
  <LinksUpToDate>false</LinksUpToDate>
  <CharactersWithSpaces>2206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2022-03-02T02:51:00Z</dcterms:created>
  <dc:creator>lenovo</dc:creator>
  <cp:lastModifiedBy>李孟泽</cp:lastModifiedBy>
  <cp:lastPrinted>2022-03-03T03:27:00Z</cp:lastPrinted>
  <dcterms:modified xsi:type="dcterms:W3CDTF">2025-04-09T03:57:28Z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eyJoZGlkIjoiYTUwN2VjYjRjODZlZTA4YTFlNDAwZGFlODhhNTZhN2EiLCJ1c2VySWQiOiI0MDgxMDA0MzUifQ==</vt:lpwstr>
  </property>
  <property fmtid="{D5CDD505-2E9C-101B-9397-08002B2CF9AE}" pid="3" name="KSOProductBuildVer">
    <vt:lpwstr>2052-12.1.0.20784</vt:lpwstr>
  </property>
  <property fmtid="{D5CDD505-2E9C-101B-9397-08002B2CF9AE}" pid="4" name="ICV">
    <vt:lpwstr>EA5F102E0ACF4768959777A2A9839CFC_12</vt:lpwstr>
  </property>
</Properties>
</file>