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Fonts w:hint="default" w:ascii="Times New Roman" w:hAnsi="Times New Roman" w:eastAsia="方正小标宋简体" w:cs="Times New Roman"/>
          <w:i w:val="0"/>
          <w:color w:val="auto"/>
          <w:sz w:val="44"/>
          <w:szCs w:val="44"/>
          <w:u w:val="none"/>
        </w:rPr>
      </w:pPr>
      <w:r>
        <w:rPr>
          <w:rFonts w:hint="default" w:ascii="Times New Roman" w:hAnsi="Times New Roman" w:eastAsia="方正小标宋简体" w:cs="Times New Roman"/>
          <w:i w:val="0"/>
          <w:color w:val="auto"/>
          <w:spacing w:val="0"/>
          <w:sz w:val="44"/>
          <w:szCs w:val="44"/>
          <w:u w:val="none"/>
          <w:shd w:val="clear" w:fill="FFFFFF"/>
          <w:lang w:eastAsia="zh-CN"/>
        </w:rPr>
        <w:t>隆尧县</w:t>
      </w:r>
      <w:r>
        <w:rPr>
          <w:rFonts w:hint="default" w:ascii="Times New Roman" w:hAnsi="Times New Roman" w:eastAsia="方正小标宋简体" w:cs="Times New Roman"/>
          <w:i w:val="0"/>
          <w:color w:val="auto"/>
          <w:spacing w:val="0"/>
          <w:sz w:val="44"/>
          <w:szCs w:val="44"/>
          <w:u w:val="none"/>
          <w:shd w:val="clear" w:fill="FFFFFF"/>
        </w:rPr>
        <w:t>自然资源和规划局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Fonts w:hint="default" w:ascii="Times New Roman" w:hAnsi="Times New Roman" w:eastAsia="方正小标宋简体" w:cs="Times New Roman"/>
          <w:i w:val="0"/>
          <w:color w:val="auto"/>
          <w:sz w:val="44"/>
          <w:szCs w:val="44"/>
          <w:u w:val="none"/>
        </w:rPr>
      </w:pPr>
      <w:r>
        <w:rPr>
          <w:rFonts w:hint="default" w:ascii="Times New Roman" w:hAnsi="Times New Roman" w:eastAsia="方正小标宋简体" w:cs="Times New Roman"/>
          <w:i w:val="0"/>
          <w:color w:val="auto"/>
          <w:spacing w:val="0"/>
          <w:sz w:val="44"/>
          <w:szCs w:val="44"/>
          <w:u w:val="none"/>
          <w:shd w:val="clear" w:fill="FFFFFF"/>
        </w:rPr>
        <w:t>202</w:t>
      </w:r>
      <w:r>
        <w:rPr>
          <w:rFonts w:hint="default" w:ascii="Times New Roman" w:hAnsi="Times New Roman" w:eastAsia="方正小标宋简体" w:cs="Times New Roman"/>
          <w:i w:val="0"/>
          <w:color w:val="auto"/>
          <w:spacing w:val="0"/>
          <w:sz w:val="44"/>
          <w:szCs w:val="44"/>
          <w:u w:val="none"/>
          <w:shd w:val="clear" w:fill="FFFFFF"/>
          <w:lang w:val="en-US" w:eastAsia="zh-CN"/>
        </w:rPr>
        <w:t>3</w:t>
      </w:r>
      <w:r>
        <w:rPr>
          <w:rFonts w:hint="default" w:ascii="Times New Roman" w:hAnsi="Times New Roman" w:eastAsia="方正小标宋简体" w:cs="Times New Roman"/>
          <w:i w:val="0"/>
          <w:color w:val="auto"/>
          <w:spacing w:val="0"/>
          <w:sz w:val="44"/>
          <w:szCs w:val="44"/>
          <w:u w:val="none"/>
          <w:shd w:val="clear" w:fill="FFFFFF"/>
        </w:rPr>
        <w:t>年政府信息公开工作年度报告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Fonts w:hint="default" w:ascii="Times New Roman" w:hAnsi="Times New Roman" w:eastAsia="微软雅黑" w:cs="Times New Roman"/>
          <w:i w:val="0"/>
          <w:color w:val="auto"/>
          <w:sz w:val="32"/>
          <w:szCs w:val="32"/>
          <w:u w:val="none"/>
        </w:rPr>
      </w:pPr>
      <w:r>
        <w:rPr>
          <w:rStyle w:val="6"/>
          <w:rFonts w:hint="default" w:ascii="Times New Roman" w:hAnsi="Times New Roman" w:eastAsia="宋体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 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Times New Roman" w:hAnsi="Times New Roman" w:eastAsia="微软雅黑" w:cs="Times New Roman"/>
          <w:i w:val="0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</w:rPr>
        <w:t>根据《中华人民共和国政府信息公开条例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  <w:lang w:eastAsia="zh-CN"/>
        </w:rPr>
        <w:t>》《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  <w:lang w:val="en-US" w:eastAsia="zh-CN"/>
        </w:rPr>
        <w:t>河北省实施〈中华人民共和国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  <w:lang w:val="en-US" w:eastAsia="zh-CN"/>
        </w:rPr>
        <w:t>政府信息公开条例〉办法》等规定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</w:rPr>
        <w:t>，结合工作实际，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  <w:lang w:val="en-US" w:eastAsia="zh-CN"/>
        </w:rPr>
        <w:t>编制本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</w:rPr>
        <w:t>报告。本报告中数据的统计期限为202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</w:rPr>
        <w:t>年1月1日至202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</w:rPr>
        <w:t>年12月31日。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Times New Roman" w:hAnsi="Times New Roman" w:eastAsia="微软雅黑" w:cs="Times New Roman"/>
          <w:i w:val="0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黑体" w:cs="Times New Roman"/>
          <w:i w:val="0"/>
          <w:color w:val="auto"/>
          <w:sz w:val="32"/>
          <w:szCs w:val="32"/>
          <w:u w:val="none"/>
        </w:rPr>
        <w:t>一、总体情况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jc w:val="both"/>
        <w:textAlignment w:val="auto"/>
        <w:rPr>
          <w:rFonts w:hint="default" w:ascii="Times New Roman" w:hAnsi="Times New Roman" w:eastAsia="微软雅黑" w:cs="Times New Roman"/>
          <w:i w:val="0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202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年，我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以习近平新时代中国特色社会主义思想和党的二十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大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精神为指导，严格落实党中央、国务院关于全面推进政务公开工作的部署，高度重视政府信息公开工作，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在</w:t>
      </w:r>
      <w:r>
        <w:rPr>
          <w:rFonts w:hint="eastAsia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隆尧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  <w:shd w:val="clear" w:fill="FFFFFF"/>
          <w:lang w:eastAsia="zh-CN"/>
        </w:rPr>
        <w:t>县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  <w:shd w:val="clear" w:fill="FFFFFF"/>
        </w:rPr>
        <w:t>政</w:t>
      </w:r>
      <w:r>
        <w:rPr>
          <w:rFonts w:hint="eastAsia" w:ascii="Times New Roman" w:hAnsi="Times New Roman" w:eastAsia="仿宋_GB2312" w:cs="Times New Roman"/>
          <w:i w:val="0"/>
          <w:color w:val="auto"/>
          <w:sz w:val="32"/>
          <w:szCs w:val="32"/>
          <w:u w:val="none"/>
          <w:shd w:val="clear" w:fill="FFFFFF"/>
          <w:lang w:val="en-US" w:eastAsia="zh-CN"/>
        </w:rPr>
        <w:t>府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  <w:shd w:val="clear" w:fill="FFFFFF"/>
          <w:lang w:eastAsia="zh-CN"/>
        </w:rPr>
        <w:t>信息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  <w:shd w:val="clear" w:fill="FFFFFF"/>
        </w:rPr>
        <w:t>公开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  <w:shd w:val="clear" w:fill="FFFFFF"/>
          <w:lang w:eastAsia="zh-CN"/>
        </w:rPr>
        <w:t>办公室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  <w:shd w:val="clear" w:fill="FFFFFF"/>
        </w:rPr>
        <w:t>的指导下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  <w:shd w:val="clear" w:fill="FFFFFF"/>
          <w:lang w:eastAsia="zh-CN"/>
        </w:rPr>
        <w:t>，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隆尧县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自然资源和规划局不断提高认识站位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，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加强组织领导，进一步加强对本局公开信息的规范化、标准化管理，及时准确公开相关信息，提高工作的透明度，促进依法行政。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jc w:val="both"/>
        <w:textAlignment w:val="auto"/>
        <w:rPr>
          <w:rFonts w:hint="default" w:ascii="Times New Roman" w:hAnsi="Times New Roman" w:eastAsia="微软雅黑" w:cs="Times New Roman"/>
          <w:i w:val="0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楷体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1、主动公开政府信息情况。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202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年，我局在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县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政府信息公开平台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县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自然资源和规划局专版中公开政府信息</w:t>
      </w:r>
      <w:r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  <w:shd w:val="clear" w:fill="FFFFFF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i w:val="0"/>
          <w:color w:val="auto"/>
          <w:sz w:val="32"/>
          <w:szCs w:val="32"/>
          <w:u w:val="none"/>
          <w:shd w:val="clear" w:fill="FFFFFF"/>
          <w:lang w:val="en-US" w:eastAsia="zh-CN"/>
        </w:rPr>
        <w:t>70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条。共承办人大建议和政协提案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件，其中人大建议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件，政协提案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件。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6"/>
        <w:jc w:val="both"/>
        <w:textAlignment w:val="auto"/>
        <w:rPr>
          <w:rFonts w:hint="default" w:ascii="Times New Roman" w:hAnsi="Times New Roman" w:eastAsia="微软雅黑" w:cs="Times New Roman"/>
          <w:i w:val="0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楷体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2、依申请公开政府信息情况。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全年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无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依申请公开件，未收到信息公开类行政诉讼案件，未收到因信息公开引起的群众合理投诉举报情况。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6"/>
        <w:jc w:val="both"/>
        <w:textAlignment w:val="auto"/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default" w:ascii="Times New Roman" w:hAnsi="Times New Roman" w:eastAsia="楷体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3、政</w:t>
      </w:r>
      <w:r>
        <w:rPr>
          <w:rFonts w:hint="default" w:ascii="Times New Roman" w:hAnsi="Times New Roman" w:eastAsia="楷体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府</w:t>
      </w:r>
      <w:r>
        <w:rPr>
          <w:rFonts w:hint="default" w:ascii="Times New Roman" w:hAnsi="Times New Roman" w:eastAsia="楷体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信息管理情况。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一是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严格审核将要发布的政府信息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。严格落实“谁审核谁负责”责任制，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对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政府信息严把关，确保公开信息内容真实、准确、合法、合规。二是常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读网上已经发布的政府信息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。重点排查个人隐私信息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、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错敏字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，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维护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公民个人权益。三是完善整理发布信息形式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，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对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公告公示类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等信息上传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拍照真实版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，增强群众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信任度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。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jc w:val="both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default" w:ascii="Times New Roman" w:hAnsi="Times New Roman" w:eastAsia="楷体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4、</w:t>
      </w:r>
      <w:r>
        <w:rPr>
          <w:rFonts w:hint="default" w:ascii="Times New Roman" w:hAnsi="Times New Roman" w:eastAsia="楷体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推进政府信息公开平台建设</w:t>
      </w:r>
      <w:r>
        <w:rPr>
          <w:rFonts w:hint="default" w:ascii="Times New Roman" w:hAnsi="Times New Roman" w:eastAsia="仿宋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。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按照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国家省市县要求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，积极推进县政府信息公开平台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自然资源和规划局栏目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建设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，在“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公告公示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”栏目，土地使用权拍卖出让、地块动态维护论证、补偿安置方案、相关利害关系人告知书、规划条件核实证明、征地预公告、不动产首次登记公告、批前公示、存量住宅用地等与自然资源和规划相关、在自然资源和规划局职责范围内的政府信息，第一时间在政府网进行公告。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default" w:ascii="Times New Roman" w:hAnsi="Times New Roman" w:eastAsia="楷体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5、</w:t>
      </w:r>
      <w:r>
        <w:rPr>
          <w:rFonts w:hint="default" w:ascii="Times New Roman" w:hAnsi="Times New Roman" w:eastAsia="楷体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加强组织协调监督保障。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我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局建立的网络信息安全应急预案，最大限度减轻网络与信息安全突发事件造成的危害。网站账号使用登记和操作权限管理制度，高效保护用户账号信息。机关网络管理责任人及责任制度，规范协调政府信息发布责任原则。公开的各类政府信息逐级审核后，在政府网公示，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接受社会监督。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Times New Roman" w:hAnsi="Times New Roman" w:eastAsia="黑体" w:cs="Times New Roman"/>
          <w:i w:val="0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黑体" w:cs="Times New Roman"/>
          <w:i w:val="0"/>
          <w:color w:val="auto"/>
          <w:sz w:val="32"/>
          <w:szCs w:val="32"/>
          <w:u w:val="none"/>
        </w:rPr>
        <w:t>二、主动公开政府信息情况</w:t>
      </w:r>
    </w:p>
    <w:tbl>
      <w:tblPr>
        <w:tblStyle w:val="4"/>
        <w:tblW w:w="9149" w:type="dxa"/>
        <w:tblInd w:w="0" w:type="dxa"/>
        <w:tblBorders>
          <w:top w:val="single" w:color="666666" w:sz="6" w:space="0"/>
          <w:left w:val="single" w:color="666666" w:sz="6" w:space="0"/>
          <w:bottom w:val="single" w:color="666666" w:sz="6" w:space="0"/>
          <w:right w:val="single" w:color="666666" w:sz="6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55"/>
        <w:gridCol w:w="2055"/>
        <w:gridCol w:w="2055"/>
        <w:gridCol w:w="2984"/>
      </w:tblGrid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914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32"/>
                <w:szCs w:val="32"/>
                <w:u w:val="none"/>
              </w:rPr>
              <w:t>第二十条第（一）项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信息内容</w:t>
            </w:r>
          </w:p>
        </w:tc>
        <w:tc>
          <w:tcPr>
            <w:tcW w:w="20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本年制发件数</w:t>
            </w:r>
          </w:p>
        </w:tc>
        <w:tc>
          <w:tcPr>
            <w:tcW w:w="205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本年废止件数</w:t>
            </w:r>
          </w:p>
        </w:tc>
        <w:tc>
          <w:tcPr>
            <w:tcW w:w="298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现行有效件数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规章</w:t>
            </w:r>
          </w:p>
        </w:tc>
        <w:tc>
          <w:tcPr>
            <w:tcW w:w="20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20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29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行政规范性文件</w:t>
            </w:r>
          </w:p>
        </w:tc>
        <w:tc>
          <w:tcPr>
            <w:tcW w:w="20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1</w:t>
            </w:r>
          </w:p>
        </w:tc>
        <w:tc>
          <w:tcPr>
            <w:tcW w:w="20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29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9149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第二十条第（五）项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信息内容</w:t>
            </w:r>
          </w:p>
        </w:tc>
        <w:tc>
          <w:tcPr>
            <w:tcW w:w="7094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本年处理决定数量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行政许可</w:t>
            </w:r>
          </w:p>
        </w:tc>
        <w:tc>
          <w:tcPr>
            <w:tcW w:w="7094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12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9149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第二十条第（六）项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信息内容</w:t>
            </w:r>
          </w:p>
        </w:tc>
        <w:tc>
          <w:tcPr>
            <w:tcW w:w="7094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本年处理决定数量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行政处罚</w:t>
            </w:r>
          </w:p>
        </w:tc>
        <w:tc>
          <w:tcPr>
            <w:tcW w:w="7094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行政强制</w:t>
            </w:r>
          </w:p>
        </w:tc>
        <w:tc>
          <w:tcPr>
            <w:tcW w:w="7094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9149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第二十条第（八）项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信息内容</w:t>
            </w:r>
          </w:p>
        </w:tc>
        <w:tc>
          <w:tcPr>
            <w:tcW w:w="7094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本年收费金额（单位：万元）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</w:trPr>
        <w:tc>
          <w:tcPr>
            <w:tcW w:w="205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行政事业性收费</w:t>
            </w:r>
          </w:p>
        </w:tc>
        <w:tc>
          <w:tcPr>
            <w:tcW w:w="7094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jc w:val="both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default" w:ascii="Times New Roman" w:hAnsi="Times New Roman" w:eastAsia="黑体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三、收到和处理政府信息公开申请情况</w:t>
      </w:r>
    </w:p>
    <w:tbl>
      <w:tblPr>
        <w:tblStyle w:val="4"/>
        <w:tblW w:w="9375" w:type="dxa"/>
        <w:tblInd w:w="-196" w:type="dxa"/>
        <w:tblBorders>
          <w:top w:val="single" w:color="666666" w:sz="6" w:space="0"/>
          <w:left w:val="single" w:color="666666" w:sz="6" w:space="0"/>
          <w:bottom w:val="single" w:color="666666" w:sz="6" w:space="0"/>
          <w:right w:val="single" w:color="666666" w:sz="6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6"/>
        <w:gridCol w:w="840"/>
        <w:gridCol w:w="2879"/>
        <w:gridCol w:w="457"/>
        <w:gridCol w:w="653"/>
        <w:gridCol w:w="720"/>
        <w:gridCol w:w="795"/>
        <w:gridCol w:w="720"/>
        <w:gridCol w:w="660"/>
        <w:gridCol w:w="795"/>
      </w:tblGrid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4575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楷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（本列数据的勾稽关系为：第一项加第二项之和，等于第三项加第四项之和）</w:t>
            </w:r>
          </w:p>
        </w:tc>
        <w:tc>
          <w:tcPr>
            <w:tcW w:w="480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申请人情况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4575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45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自然人</w:t>
            </w:r>
          </w:p>
        </w:tc>
        <w:tc>
          <w:tcPr>
            <w:tcW w:w="354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法人或其他组织</w:t>
            </w:r>
          </w:p>
        </w:tc>
        <w:tc>
          <w:tcPr>
            <w:tcW w:w="79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总计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5" w:hRule="atLeast"/>
        </w:trPr>
        <w:tc>
          <w:tcPr>
            <w:tcW w:w="4575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457" w:type="dxa"/>
            <w:vMerge w:val="continue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653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商业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企业</w:t>
            </w: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科研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机构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社会公益组织</w:t>
            </w: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法律服务机构</w:t>
            </w:r>
          </w:p>
        </w:tc>
        <w:tc>
          <w:tcPr>
            <w:tcW w:w="66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其他</w:t>
            </w:r>
          </w:p>
        </w:tc>
        <w:tc>
          <w:tcPr>
            <w:tcW w:w="795" w:type="dxa"/>
            <w:vMerge w:val="continue"/>
            <w:tcBorders>
              <w:top w:val="single" w:color="auto" w:sz="4" w:space="0"/>
              <w:left w:val="nil"/>
              <w:bottom w:val="outset" w:color="auto" w:sz="6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457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一、本年新收政府信息公开申请数量</w:t>
            </w:r>
          </w:p>
        </w:tc>
        <w:tc>
          <w:tcPr>
            <w:tcW w:w="4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4575" w:type="dxa"/>
            <w:gridSpan w:val="3"/>
            <w:tcBorders>
              <w:top w:val="nil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二、上年结转政府信息公开申请数量</w:t>
            </w:r>
          </w:p>
        </w:tc>
        <w:tc>
          <w:tcPr>
            <w:tcW w:w="457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right="0" w:firstLine="280" w:firstLineChars="100"/>
              <w:jc w:val="left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85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三、本年度办理结果</w:t>
            </w:r>
          </w:p>
        </w:tc>
        <w:tc>
          <w:tcPr>
            <w:tcW w:w="37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（一）予以公开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37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（二）部分公开</w:t>
            </w:r>
            <w:r>
              <w:rPr>
                <w:rFonts w:hint="default" w:ascii="Times New Roman" w:hAnsi="Times New Roman" w:eastAsia="楷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（区分处理的，只计这一情形，不计其他情形）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（三）不予公开</w:t>
            </w:r>
          </w:p>
        </w:tc>
        <w:tc>
          <w:tcPr>
            <w:tcW w:w="2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1.属于国家秘密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2.其他法律行政法规禁止公开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3.危及“三安全一稳定”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4.保护第三方合法权益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5.属于三类内部事务信息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6.属于四类过程性信息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7.属于行政执法案卷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8.属于行政查询事项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（四）无法提供</w:t>
            </w:r>
          </w:p>
        </w:tc>
        <w:tc>
          <w:tcPr>
            <w:tcW w:w="2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1.本机关不掌握相关政府信息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2.没有现成信息需要另行制作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3.补正后申请内容仍不明确</w:t>
            </w:r>
          </w:p>
        </w:tc>
        <w:tc>
          <w:tcPr>
            <w:tcW w:w="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856" w:type="dxa"/>
            <w:vMerge w:val="continue"/>
            <w:tcBorders>
              <w:top w:val="single" w:color="auto" w:sz="4" w:space="0"/>
              <w:left w:val="single" w:color="auto" w:sz="4" w:space="0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restart"/>
            <w:tcBorders>
              <w:top w:val="single" w:color="auto" w:sz="4" w:space="0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（五）不予处理</w:t>
            </w:r>
          </w:p>
        </w:tc>
        <w:tc>
          <w:tcPr>
            <w:tcW w:w="287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1.信访举报投诉类申请</w:t>
            </w:r>
          </w:p>
        </w:tc>
        <w:tc>
          <w:tcPr>
            <w:tcW w:w="45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856" w:type="dxa"/>
            <w:vMerge w:val="continue"/>
            <w:tcBorders>
              <w:top w:val="nil"/>
              <w:left w:val="single" w:color="auto" w:sz="4" w:space="0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2.重复申请</w:t>
            </w:r>
          </w:p>
        </w:tc>
        <w:tc>
          <w:tcPr>
            <w:tcW w:w="4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856" w:type="dxa"/>
            <w:vMerge w:val="continue"/>
            <w:tcBorders>
              <w:top w:val="nil"/>
              <w:left w:val="single" w:color="auto" w:sz="4" w:space="0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3.要求提供公开出版物</w:t>
            </w:r>
          </w:p>
        </w:tc>
        <w:tc>
          <w:tcPr>
            <w:tcW w:w="4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856" w:type="dxa"/>
            <w:vMerge w:val="continue"/>
            <w:tcBorders>
              <w:top w:val="nil"/>
              <w:left w:val="single" w:color="auto" w:sz="4" w:space="0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4.无正当理由大量反复申请</w:t>
            </w:r>
          </w:p>
        </w:tc>
        <w:tc>
          <w:tcPr>
            <w:tcW w:w="4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atLeast"/>
        </w:trPr>
        <w:tc>
          <w:tcPr>
            <w:tcW w:w="856" w:type="dxa"/>
            <w:vMerge w:val="continue"/>
            <w:tcBorders>
              <w:top w:val="nil"/>
              <w:left w:val="single" w:color="auto" w:sz="4" w:space="0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both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5.要求行政机关确认或重新出具已获取信息</w:t>
            </w:r>
          </w:p>
        </w:tc>
        <w:tc>
          <w:tcPr>
            <w:tcW w:w="457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5" w:hRule="atLeast"/>
        </w:trPr>
        <w:tc>
          <w:tcPr>
            <w:tcW w:w="856" w:type="dxa"/>
            <w:vMerge w:val="continue"/>
            <w:tcBorders>
              <w:top w:val="nil"/>
              <w:left w:val="single" w:color="auto" w:sz="4" w:space="0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（六）其他处理</w:t>
            </w:r>
          </w:p>
        </w:tc>
        <w:tc>
          <w:tcPr>
            <w:tcW w:w="287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both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1.申请人无正当理由逾期不补正、行政机关不再处理其政府信息公开申请</w:t>
            </w:r>
          </w:p>
        </w:tc>
        <w:tc>
          <w:tcPr>
            <w:tcW w:w="4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0" w:hRule="atLeast"/>
        </w:trPr>
        <w:tc>
          <w:tcPr>
            <w:tcW w:w="856" w:type="dxa"/>
            <w:vMerge w:val="continue"/>
            <w:tcBorders>
              <w:top w:val="nil"/>
              <w:left w:val="single" w:color="auto" w:sz="4" w:space="0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both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2.申请人逾期未按收费通知要求缴纳费用、行政机关不再处理其政府信息公开申请</w:t>
            </w:r>
          </w:p>
        </w:tc>
        <w:tc>
          <w:tcPr>
            <w:tcW w:w="4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856" w:type="dxa"/>
            <w:vMerge w:val="continue"/>
            <w:tcBorders>
              <w:top w:val="nil"/>
              <w:left w:val="single" w:color="auto" w:sz="4" w:space="0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287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3.其他</w:t>
            </w:r>
          </w:p>
        </w:tc>
        <w:tc>
          <w:tcPr>
            <w:tcW w:w="4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856" w:type="dxa"/>
            <w:vMerge w:val="continue"/>
            <w:tcBorders>
              <w:top w:val="nil"/>
              <w:left w:val="single" w:color="auto" w:sz="4" w:space="0"/>
              <w:bottom w:val="outset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 w:ascii="Times New Roman" w:hAnsi="Times New Roman" w:eastAsia="微软雅黑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</w:pPr>
          </w:p>
        </w:tc>
        <w:tc>
          <w:tcPr>
            <w:tcW w:w="3719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（七）总计</w:t>
            </w:r>
          </w:p>
        </w:tc>
        <w:tc>
          <w:tcPr>
            <w:tcW w:w="4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457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四、结转下年度继续办理</w:t>
            </w:r>
          </w:p>
        </w:tc>
        <w:tc>
          <w:tcPr>
            <w:tcW w:w="4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  <w:tc>
          <w:tcPr>
            <w:tcW w:w="6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等线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60" w:type="dxa"/>
              <w:right w:w="60" w:type="dxa"/>
            </w:tcMar>
            <w:vAlign w:val="top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jc w:val="both"/>
        <w:textAlignment w:val="auto"/>
        <w:rPr>
          <w:rFonts w:hint="default" w:ascii="Times New Roman" w:hAnsi="Times New Roman" w:eastAsia="微软雅黑" w:cs="Times New Roman"/>
          <w:i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default" w:ascii="Times New Roman" w:hAnsi="Times New Roman" w:eastAsia="黑体" w:cs="Times New Roman"/>
          <w:i w:val="0"/>
          <w:caps w:val="0"/>
          <w:color w:val="auto"/>
          <w:spacing w:val="0"/>
          <w:sz w:val="32"/>
          <w:szCs w:val="32"/>
          <w:u w:val="none"/>
          <w:shd w:val="clear" w:fill="FFFFFF"/>
        </w:rPr>
        <w:t> 四、政府信息公开行政复议、行政诉讼情况</w:t>
      </w:r>
    </w:p>
    <w:tbl>
      <w:tblPr>
        <w:tblStyle w:val="4"/>
        <w:tblW w:w="9269" w:type="dxa"/>
        <w:tblInd w:w="0" w:type="dxa"/>
        <w:tblBorders>
          <w:top w:val="single" w:color="666666" w:sz="6" w:space="0"/>
          <w:left w:val="single" w:color="666666" w:sz="6" w:space="0"/>
          <w:bottom w:val="single" w:color="666666" w:sz="6" w:space="0"/>
          <w:right w:val="single" w:color="666666" w:sz="6" w:space="0"/>
          <w:insideH w:val="none" w:color="auto" w:sz="0" w:space="0"/>
          <w:insideV w:val="none" w:color="auto" w:sz="0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0"/>
        <w:gridCol w:w="570"/>
        <w:gridCol w:w="570"/>
        <w:gridCol w:w="570"/>
        <w:gridCol w:w="600"/>
        <w:gridCol w:w="570"/>
        <w:gridCol w:w="570"/>
        <w:gridCol w:w="570"/>
        <w:gridCol w:w="570"/>
        <w:gridCol w:w="600"/>
        <w:gridCol w:w="570"/>
        <w:gridCol w:w="659"/>
        <w:gridCol w:w="705"/>
        <w:gridCol w:w="735"/>
        <w:gridCol w:w="840"/>
      </w:tblGrid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288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行政复议</w:t>
            </w:r>
          </w:p>
        </w:tc>
        <w:tc>
          <w:tcPr>
            <w:tcW w:w="6389" w:type="dxa"/>
            <w:gridSpan w:val="10"/>
            <w:tcBorders>
              <w:top w:val="single" w:color="auto" w:sz="6" w:space="0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8"/>
                <w:szCs w:val="28"/>
                <w:u w:val="none"/>
              </w:rPr>
              <w:t>行政诉讼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7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结果维持</w:t>
            </w:r>
          </w:p>
        </w:tc>
        <w:tc>
          <w:tcPr>
            <w:tcW w:w="57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结果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纠正</w:t>
            </w:r>
          </w:p>
        </w:tc>
        <w:tc>
          <w:tcPr>
            <w:tcW w:w="57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其他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结果</w:t>
            </w:r>
          </w:p>
        </w:tc>
        <w:tc>
          <w:tcPr>
            <w:tcW w:w="57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尚未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审结</w:t>
            </w:r>
          </w:p>
        </w:tc>
        <w:tc>
          <w:tcPr>
            <w:tcW w:w="6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总计</w:t>
            </w:r>
          </w:p>
        </w:tc>
        <w:tc>
          <w:tcPr>
            <w:tcW w:w="288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未经复议直接起诉</w:t>
            </w:r>
          </w:p>
        </w:tc>
        <w:tc>
          <w:tcPr>
            <w:tcW w:w="350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复议后起诉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7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</w:p>
        </w:tc>
        <w:tc>
          <w:tcPr>
            <w:tcW w:w="57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</w:p>
        </w:tc>
        <w:tc>
          <w:tcPr>
            <w:tcW w:w="57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</w:p>
        </w:tc>
        <w:tc>
          <w:tcPr>
            <w:tcW w:w="57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结果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维持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结果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纠正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其他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结果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尚未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审结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总计</w:t>
            </w:r>
          </w:p>
        </w:tc>
        <w:tc>
          <w:tcPr>
            <w:tcW w:w="5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结果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维持</w:t>
            </w:r>
          </w:p>
        </w:tc>
        <w:tc>
          <w:tcPr>
            <w:tcW w:w="6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结果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纠正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其他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结果</w:t>
            </w: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尚未</w:t>
            </w:r>
          </w:p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审结</w:t>
            </w:r>
          </w:p>
        </w:tc>
        <w:tc>
          <w:tcPr>
            <w:tcW w:w="840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aps w:val="0"/>
                <w:color w:val="auto"/>
                <w:spacing w:val="0"/>
                <w:sz w:val="24"/>
                <w:szCs w:val="24"/>
                <w:u w:val="none"/>
              </w:rPr>
              <w:t>总计</w:t>
            </w:r>
          </w:p>
        </w:tc>
      </w:tr>
      <w:tr>
        <w:tblPrEx>
          <w:tblBorders>
            <w:top w:val="single" w:color="666666" w:sz="6" w:space="0"/>
            <w:left w:val="single" w:color="666666" w:sz="6" w:space="0"/>
            <w:bottom w:val="single" w:color="666666" w:sz="6" w:space="0"/>
            <w:right w:val="single" w:color="666666" w:sz="6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</w:trPr>
        <w:tc>
          <w:tcPr>
            <w:tcW w:w="570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32"/>
                <w:szCs w:val="32"/>
                <w:u w:val="none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aps w:val="0"/>
                <w:color w:val="auto"/>
                <w:spacing w:val="0"/>
                <w:sz w:val="32"/>
                <w:szCs w:val="32"/>
                <w:u w:val="none"/>
                <w:lang w:val="en-US" w:eastAsia="zh-CN"/>
              </w:rPr>
              <w:t>0</w:t>
            </w:r>
          </w:p>
        </w:tc>
        <w:tc>
          <w:tcPr>
            <w:tcW w:w="57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aps w:val="0"/>
                <w:color w:val="auto"/>
                <w:spacing w:val="0"/>
                <w:sz w:val="32"/>
                <w:szCs w:val="32"/>
                <w:u w:val="none"/>
              </w:rPr>
              <w:t>0</w:t>
            </w:r>
          </w:p>
        </w:tc>
        <w:tc>
          <w:tcPr>
            <w:tcW w:w="57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aps w:val="0"/>
                <w:color w:val="auto"/>
                <w:spacing w:val="0"/>
                <w:sz w:val="32"/>
                <w:szCs w:val="32"/>
                <w:u w:val="none"/>
              </w:rPr>
              <w:t>0</w:t>
            </w:r>
          </w:p>
        </w:tc>
        <w:tc>
          <w:tcPr>
            <w:tcW w:w="57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aps w:val="0"/>
                <w:color w:val="auto"/>
                <w:spacing w:val="0"/>
                <w:sz w:val="32"/>
                <w:szCs w:val="32"/>
                <w:u w:val="none"/>
              </w:rPr>
              <w:t>0</w:t>
            </w:r>
          </w:p>
        </w:tc>
        <w:tc>
          <w:tcPr>
            <w:tcW w:w="60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32"/>
                <w:szCs w:val="32"/>
                <w:u w:val="none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aps w:val="0"/>
                <w:color w:val="auto"/>
                <w:spacing w:val="0"/>
                <w:sz w:val="32"/>
                <w:szCs w:val="32"/>
                <w:u w:val="none"/>
                <w:lang w:val="en-US" w:eastAsia="zh-CN"/>
              </w:rPr>
              <w:t>0</w:t>
            </w:r>
          </w:p>
        </w:tc>
        <w:tc>
          <w:tcPr>
            <w:tcW w:w="57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aps w:val="0"/>
                <w:color w:val="auto"/>
                <w:spacing w:val="0"/>
                <w:sz w:val="32"/>
                <w:szCs w:val="32"/>
                <w:u w:val="none"/>
                <w:lang w:val="en-US" w:eastAsia="zh-CN"/>
              </w:rPr>
              <w:t>0</w:t>
            </w:r>
          </w:p>
        </w:tc>
        <w:tc>
          <w:tcPr>
            <w:tcW w:w="57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32"/>
                <w:szCs w:val="32"/>
                <w:u w:val="none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aps w:val="0"/>
                <w:color w:val="auto"/>
                <w:spacing w:val="0"/>
                <w:sz w:val="32"/>
                <w:szCs w:val="32"/>
                <w:u w:val="none"/>
                <w:lang w:val="en-US" w:eastAsia="zh-CN"/>
              </w:rPr>
              <w:t>0</w:t>
            </w:r>
          </w:p>
        </w:tc>
        <w:tc>
          <w:tcPr>
            <w:tcW w:w="57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32"/>
                <w:szCs w:val="32"/>
                <w:u w:val="none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aps w:val="0"/>
                <w:color w:val="auto"/>
                <w:spacing w:val="0"/>
                <w:sz w:val="32"/>
                <w:szCs w:val="32"/>
                <w:u w:val="none"/>
                <w:lang w:val="en-US" w:eastAsia="zh-CN"/>
              </w:rPr>
              <w:t>0</w:t>
            </w:r>
          </w:p>
        </w:tc>
        <w:tc>
          <w:tcPr>
            <w:tcW w:w="57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32"/>
                <w:szCs w:val="32"/>
                <w:u w:val="none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aps w:val="0"/>
                <w:color w:val="auto"/>
                <w:spacing w:val="0"/>
                <w:sz w:val="32"/>
                <w:szCs w:val="32"/>
                <w:u w:val="none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aps w:val="0"/>
                <w:color w:val="auto"/>
                <w:spacing w:val="0"/>
                <w:sz w:val="32"/>
                <w:szCs w:val="32"/>
                <w:u w:val="none"/>
                <w:lang w:val="en-US" w:eastAsia="zh-CN"/>
              </w:rPr>
              <w:t>0</w:t>
            </w:r>
          </w:p>
        </w:tc>
        <w:tc>
          <w:tcPr>
            <w:tcW w:w="570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aps w:val="0"/>
                <w:color w:val="auto"/>
                <w:spacing w:val="0"/>
                <w:sz w:val="32"/>
                <w:szCs w:val="32"/>
                <w:u w:val="none"/>
              </w:rPr>
              <w:t>0</w:t>
            </w:r>
          </w:p>
        </w:tc>
        <w:tc>
          <w:tcPr>
            <w:tcW w:w="65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aps w:val="0"/>
                <w:color w:val="auto"/>
                <w:spacing w:val="0"/>
                <w:sz w:val="32"/>
                <w:szCs w:val="32"/>
                <w:u w:val="none"/>
              </w:rPr>
              <w:t>0</w:t>
            </w:r>
          </w:p>
        </w:tc>
        <w:tc>
          <w:tcPr>
            <w:tcW w:w="705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aps w:val="0"/>
                <w:color w:val="auto"/>
                <w:spacing w:val="0"/>
                <w:sz w:val="32"/>
                <w:szCs w:val="32"/>
                <w:u w:val="none"/>
              </w:rPr>
              <w:t>0</w:t>
            </w:r>
          </w:p>
        </w:tc>
        <w:tc>
          <w:tcPr>
            <w:tcW w:w="735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aps w:val="0"/>
                <w:color w:val="auto"/>
                <w:spacing w:val="0"/>
                <w:sz w:val="32"/>
                <w:szCs w:val="32"/>
                <w:u w:val="none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>
            <w:pPr>
              <w:pStyle w:val="3"/>
              <w:keepNext w:val="0"/>
              <w:keepLines w:val="0"/>
              <w:pageBreakBefore w:val="0"/>
              <w:widowControl w:val="0"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eastAsia="微软雅黑" w:cs="Times New Roman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aps w:val="0"/>
                <w:color w:val="auto"/>
                <w:spacing w:val="0"/>
                <w:sz w:val="32"/>
                <w:szCs w:val="32"/>
                <w:u w:val="none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Times New Roman" w:hAnsi="Times New Roman" w:eastAsia="微软雅黑" w:cs="Times New Roman"/>
          <w:i w:val="0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黑体" w:cs="Times New Roman"/>
          <w:i w:val="0"/>
          <w:color w:val="auto"/>
          <w:sz w:val="32"/>
          <w:szCs w:val="32"/>
          <w:u w:val="none"/>
        </w:rPr>
        <w:t>五、存在的主要问题及改进情况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6"/>
        <w:jc w:val="both"/>
        <w:textAlignment w:val="auto"/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202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年，我局政府信息公开工作顺利开展，但仍存在一定不足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，一是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信息公开工作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人员专业知识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需要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加强；二是政策解读、规章制度需要更精确；三是创新工作力度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需要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加大。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6"/>
        <w:jc w:val="both"/>
        <w:textAlignment w:val="auto"/>
        <w:rPr>
          <w:rFonts w:hint="default" w:ascii="Times New Roman" w:hAnsi="Times New Roman" w:eastAsia="仿宋_GB2312" w:cs="Times New Roman"/>
          <w:i w:val="0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下一步，我局将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采取以下措施加强政府信息公开工作：一是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加强对《中华人民共和国政府信息公开条例》和政府信息公开相关文件的深入学习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二是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重点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对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自然资源和规划领域的相关文件、政策精神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加强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学习，进一步提高干部职工对政府信息公开工作重要意义的认识，增强政</w:t>
      </w:r>
      <w:r>
        <w:rPr>
          <w:rFonts w:hint="eastAsia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府信息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公开工作的主动性和责任意识，准确把握政策要求。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三加强对政府公开信息的审核管理，规范程序，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按照“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依法公开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，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应公必公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”的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原则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，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无论是依职责还是依申请均做到应公开的尽公开，增强政府信息公开透明度，维护政府信息权威性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。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Times New Roman" w:hAnsi="Times New Roman" w:eastAsia="微软雅黑" w:cs="Times New Roman"/>
          <w:i w:val="0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黑体" w:cs="Times New Roman"/>
          <w:i w:val="0"/>
          <w:color w:val="auto"/>
          <w:sz w:val="32"/>
          <w:szCs w:val="32"/>
          <w:u w:val="none"/>
        </w:rPr>
        <w:t>六、其他需要报告的事项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textAlignment w:val="auto"/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ascii="仿宋_GB2312" w:hAnsi="宋体" w:eastAsia="仿宋_GB2312" w:cs="仿宋_GB2312"/>
          <w:i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认真贯彻执行国务院办公厅《政府信息公开信息处理费管理办法》和《关于政府信息公开处理费管理有关事项的通知》，落细落实信息处理费政策。</w:t>
      </w:r>
      <w:r>
        <w:rPr>
          <w:rFonts w:hint="eastAsia" w:ascii="仿宋_GB2312" w:hAnsi="宋体" w:eastAsia="仿宋_GB2312" w:cs="仿宋_GB2312"/>
          <w:i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2023年</w:t>
      </w:r>
      <w:r>
        <w:rPr>
          <w:rFonts w:hint="eastAsia" w:ascii="仿宋_GB2312" w:hAnsi="宋体" w:eastAsia="仿宋_GB2312" w:cs="仿宋_GB2312"/>
          <w:i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隆尧县自然资源和规划局</w:t>
      </w:r>
      <w:r>
        <w:rPr>
          <w:rFonts w:hint="eastAsia" w:ascii="仿宋_GB2312" w:hAnsi="宋体" w:eastAsia="仿宋_GB2312" w:cs="仿宋_GB2312"/>
          <w:i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未收取信息处理费。</w:t>
      </w:r>
      <w:r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 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textAlignment w:val="auto"/>
        <w:rPr>
          <w:rFonts w:hint="default" w:ascii="Times New Roman" w:hAnsi="Times New Roman" w:eastAsia="仿宋_GB2312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</w:pP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4480" w:firstLineChars="1400"/>
        <w:textAlignment w:val="auto"/>
        <w:rPr>
          <w:rFonts w:hint="default" w:ascii="Times New Roman" w:hAnsi="Times New Roman" w:eastAsia="仿宋" w:cs="Times New Roman"/>
          <w:i w:val="0"/>
          <w:color w:val="auto"/>
          <w:sz w:val="32"/>
          <w:szCs w:val="32"/>
          <w:u w:val="none"/>
        </w:rPr>
      </w:pPr>
      <w:r>
        <w:rPr>
          <w:rFonts w:hint="default" w:ascii="Times New Roman" w:hAnsi="Times New Roman" w:eastAsia="仿宋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隆尧县</w:t>
      </w:r>
      <w:r>
        <w:rPr>
          <w:rFonts w:hint="default" w:ascii="Times New Roman" w:hAnsi="Times New Roman" w:eastAsia="仿宋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自然资源和规划局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5120" w:firstLineChars="1600"/>
        <w:textAlignment w:val="auto"/>
        <w:rPr>
          <w:rFonts w:hint="default" w:ascii="Times New Roman" w:hAnsi="Times New Roman" w:eastAsia="仿宋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default" w:ascii="Times New Roman" w:hAnsi="Times New Roman" w:eastAsia="仿宋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202</w:t>
      </w:r>
      <w:r>
        <w:rPr>
          <w:rFonts w:hint="default" w:ascii="Times New Roman" w:hAnsi="Times New Roman" w:eastAsia="仿宋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4</w:t>
      </w:r>
      <w:r>
        <w:rPr>
          <w:rFonts w:hint="default" w:ascii="Times New Roman" w:hAnsi="Times New Roman" w:eastAsia="仿宋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年1月</w:t>
      </w:r>
      <w:r>
        <w:rPr>
          <w:rFonts w:hint="default" w:ascii="Times New Roman" w:hAnsi="Times New Roman" w:eastAsia="仿宋" w:cs="Times New Roman"/>
          <w:i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19</w:t>
      </w:r>
      <w:r>
        <w:rPr>
          <w:rFonts w:hint="default" w:ascii="Times New Roman" w:hAnsi="Times New Roman" w:eastAsia="仿宋" w:cs="Times New Roman"/>
          <w:i w:val="0"/>
          <w:color w:val="auto"/>
          <w:spacing w:val="0"/>
          <w:sz w:val="32"/>
          <w:szCs w:val="32"/>
          <w:u w:val="none"/>
          <w:shd w:val="clear" w:fill="FFFFFF"/>
        </w:rPr>
        <w:t>日</w:t>
      </w:r>
    </w:p>
    <w:p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textAlignment w:val="auto"/>
        <w:rPr>
          <w:rFonts w:hint="default" w:ascii="Times New Roman" w:hAnsi="Times New Roman" w:cs="Times New Roman" w:eastAsiaTheme="minorEastAsia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微软雅黑" w:cs="Times New Roman"/>
          <w:i w:val="0"/>
          <w:color w:val="auto"/>
          <w:sz w:val="32"/>
          <w:szCs w:val="32"/>
          <w:u w:val="none"/>
          <w:lang w:val="en-US" w:eastAsia="zh-CN"/>
        </w:rPr>
        <w:t xml:space="preserve">                                                                                                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sectPr>
      <w:pgSz w:w="11906" w:h="16838"/>
      <w:pgMar w:top="1984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ZmM2U1NWU4YThiODE4YTQ3MjFiMjM0YmIyNGNhMmMifQ=="/>
  </w:docVars>
  <w:rsids>
    <w:rsidRoot w:val="0C1A0725"/>
    <w:rsid w:val="00B3105F"/>
    <w:rsid w:val="01B72885"/>
    <w:rsid w:val="02415507"/>
    <w:rsid w:val="056F2CF7"/>
    <w:rsid w:val="06C172E0"/>
    <w:rsid w:val="081C235E"/>
    <w:rsid w:val="09A8586C"/>
    <w:rsid w:val="0A2D5D8B"/>
    <w:rsid w:val="0BD91B53"/>
    <w:rsid w:val="0C1A0725"/>
    <w:rsid w:val="10F723BD"/>
    <w:rsid w:val="11B1008F"/>
    <w:rsid w:val="1B732D66"/>
    <w:rsid w:val="1DF257C2"/>
    <w:rsid w:val="23181F66"/>
    <w:rsid w:val="23A03630"/>
    <w:rsid w:val="2618596E"/>
    <w:rsid w:val="26AB1663"/>
    <w:rsid w:val="29835974"/>
    <w:rsid w:val="29C54F5C"/>
    <w:rsid w:val="300B3D5B"/>
    <w:rsid w:val="32BC78B3"/>
    <w:rsid w:val="332308FA"/>
    <w:rsid w:val="34616466"/>
    <w:rsid w:val="37EA5D8A"/>
    <w:rsid w:val="388D76EE"/>
    <w:rsid w:val="390C2D85"/>
    <w:rsid w:val="40691B61"/>
    <w:rsid w:val="4158160D"/>
    <w:rsid w:val="469A457F"/>
    <w:rsid w:val="485F0B9B"/>
    <w:rsid w:val="4DCC1483"/>
    <w:rsid w:val="506E7B6C"/>
    <w:rsid w:val="51686637"/>
    <w:rsid w:val="51B8116E"/>
    <w:rsid w:val="52443E01"/>
    <w:rsid w:val="5A984198"/>
    <w:rsid w:val="5AD641AE"/>
    <w:rsid w:val="5C091528"/>
    <w:rsid w:val="5FC50A09"/>
    <w:rsid w:val="63CF0087"/>
    <w:rsid w:val="64536B60"/>
    <w:rsid w:val="66606E7E"/>
    <w:rsid w:val="67001624"/>
    <w:rsid w:val="67186703"/>
    <w:rsid w:val="69114F63"/>
    <w:rsid w:val="69A34824"/>
    <w:rsid w:val="6D18181E"/>
    <w:rsid w:val="76AB7208"/>
    <w:rsid w:val="77CC0F28"/>
    <w:rsid w:val="77EA49D8"/>
    <w:rsid w:val="79182CA3"/>
    <w:rsid w:val="7A2511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2220</Words>
  <Characters>2269</Characters>
  <Lines>0</Lines>
  <Paragraphs>0</Paragraphs>
  <TotalTime>16</TotalTime>
  <ScaleCrop>false</ScaleCrop>
  <LinksUpToDate>false</LinksUpToDate>
  <CharactersWithSpaces>2732</CharactersWithSpaces>
  <Application>WPS Office_11.8.2.11978_F1E327BC-269C-435d-A152-05C5408002CA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2023-01-20T03:52:00Z</dcterms:created>
  <dc:creator>lenovo</dc:creator>
  <cp:lastModifiedBy>Administrator</cp:lastModifiedBy>
  <cp:lastPrinted>2023-02-08T02:30:00Z</cp:lastPrinted>
  <dcterms:modified xsi:type="dcterms:W3CDTF">2025-04-09T03:38:15Z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2052-11.8.2.11978</vt:lpwstr>
  </property>
  <property fmtid="{D5CDD505-2E9C-101B-9397-08002B2CF9AE}" pid="3" name="ICV">
    <vt:lpwstr>6A6C32DB33D645D0A55EDEA775E318DF</vt:lpwstr>
  </property>
</Properties>
</file>