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pPr>
        <w:jc w:val="center"/>
        <w:rPr>
          <w:rFonts w:ascii="宋体" w:hAnsi="宋体"/>
          <w:b/>
          <w:sz w:val="44"/>
          <w:szCs w:val="44"/>
        </w:rPr>
      </w:pPr>
      <w:r>
        <w:rPr>
          <w:rFonts w:hint="eastAsia" w:ascii="宋体" w:hAnsi="宋体"/>
          <w:b/>
          <w:sz w:val="44"/>
          <w:szCs w:val="44"/>
        </w:rPr>
        <w:t>隆尧县</w:t>
      </w:r>
      <w:r>
        <w:rPr>
          <w:rFonts w:hint="eastAsia" w:ascii="宋体" w:hAnsi="宋体" w:eastAsia="宋体" w:cs="宋体"/>
          <w:b/>
          <w:bCs/>
          <w:sz w:val="44"/>
          <w:szCs w:val="44"/>
          <w:lang w:eastAsia="zh-CN"/>
        </w:rPr>
        <w:t>司法局</w:t>
      </w:r>
      <w:r>
        <w:rPr>
          <w:rFonts w:hint="eastAsia" w:ascii="宋体" w:hAnsi="宋体"/>
          <w:b/>
          <w:sz w:val="44"/>
          <w:szCs w:val="44"/>
        </w:rPr>
        <w:t>2021年</w:t>
      </w:r>
    </w:p>
    <w:p>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单位名称:</w:t>
      </w:r>
      <w:r>
        <w:rPr>
          <w:rFonts w:hint="eastAsia" w:ascii="仿宋" w:hAnsi="仿宋" w:eastAsia="仿宋" w:cs="仿宋"/>
          <w:sz w:val="24"/>
          <w:szCs w:val="24"/>
          <w:lang w:eastAsia="zh-CN"/>
        </w:rPr>
        <w:t>隆尧县司法局</w:t>
      </w:r>
      <w:r>
        <w:rPr>
          <w:rFonts w:hint="eastAsia" w:ascii="仿宋" w:hAnsi="仿宋" w:eastAsia="仿宋" w:cs="仿宋"/>
          <w:sz w:val="24"/>
          <w:szCs w:val="24"/>
        </w:rPr>
        <w:t xml:space="preserve">(公章)         单位负责人:          </w:t>
      </w:r>
    </w:p>
    <w:tbl>
      <w:tblPr>
        <w:tblStyle w:val="11"/>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51"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bookmarkStart w:id="0" w:name="_GoBack"/>
            <w:r>
              <w:rPr>
                <w:rFonts w:hint="eastAsia" w:ascii="仿宋" w:hAnsi="仿宋" w:eastAsia="仿宋" w:cs="仿宋"/>
                <w:color w:val="000000"/>
                <w:kern w:val="0"/>
                <w:szCs w:val="21"/>
              </w:rPr>
              <w:t>“三公”经费</w:t>
            </w:r>
            <w:bookmarkEnd w:id="0"/>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r>
              <w:rPr>
                <w:rFonts w:ascii="仿宋_GB2312" w:hAnsi="新宋体" w:eastAsia="仿宋_GB2312" w:cs="仿宋_GB2312"/>
                <w:kern w:val="0"/>
                <w:szCs w:val="21"/>
              </w:rPr>
              <w:t>符合其中七项（6）；</w:t>
            </w:r>
          </w:p>
          <w:p>
            <w:pPr>
              <w:widowControl/>
              <w:spacing w:line="240" w:lineRule="exact"/>
              <w:jc w:val="left"/>
              <w:rPr>
                <w:szCs w:val="21"/>
              </w:rPr>
            </w:pPr>
            <w:r>
              <w:rPr>
                <w:rFonts w:ascii="仿宋_GB2312" w:hAnsi="新宋体" w:eastAsia="仿宋_GB2312" w:cs="仿宋_GB2312"/>
                <w:kern w:val="0"/>
                <w:szCs w:val="21"/>
              </w:rPr>
              <w:t>符合其中六项（4）；</w:t>
            </w:r>
          </w:p>
          <w:p>
            <w:pPr>
              <w:widowControl/>
              <w:spacing w:line="240" w:lineRule="exact"/>
              <w:jc w:val="left"/>
              <w:rPr>
                <w:szCs w:val="21"/>
              </w:rPr>
            </w:pPr>
            <w:r>
              <w:rPr>
                <w:rFonts w:ascii="仿宋_GB2312" w:hAnsi="新宋体" w:eastAsia="仿宋_GB2312" w:cs="仿宋_GB2312"/>
                <w:kern w:val="0"/>
                <w:szCs w:val="21"/>
              </w:rPr>
              <w:t>符合其中五项（2）；</w:t>
            </w:r>
          </w:p>
          <w:p>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r>
              <w:rPr>
                <w:rFonts w:ascii="仿宋_GB2312" w:hAnsi="新宋体" w:eastAsia="仿宋_GB2312" w:cs="仿宋_GB2312"/>
                <w:kern w:val="0"/>
                <w:szCs w:val="21"/>
              </w:rPr>
              <w:t>符合其中三项（2）；</w:t>
            </w:r>
          </w:p>
          <w:p>
            <w:pPr>
              <w:widowControl/>
              <w:spacing w:line="240" w:lineRule="exact"/>
              <w:jc w:val="left"/>
              <w:rPr>
                <w:szCs w:val="21"/>
              </w:rPr>
            </w:pPr>
            <w:r>
              <w:rPr>
                <w:rFonts w:ascii="仿宋_GB2312" w:hAnsi="新宋体" w:eastAsia="仿宋_GB2312" w:cs="仿宋_GB2312"/>
                <w:kern w:val="0"/>
                <w:szCs w:val="21"/>
              </w:rPr>
              <w:t>符合其中两项（1）；</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w:t>
            </w:r>
            <w:r>
              <w:rPr>
                <w:rFonts w:ascii="仿宋_GB2312" w:hAnsi="新宋体" w:eastAsia="仿宋_GB2312" w:cs="仿宋_GB2312"/>
                <w:kern w:val="0"/>
                <w:szCs w:val="21"/>
              </w:rPr>
              <w:t>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3</w:t>
            </w:r>
          </w:p>
        </w:tc>
      </w:tr>
    </w:tbl>
    <w:p>
      <w:pPr>
        <w:widowControl/>
        <w:spacing w:line="480" w:lineRule="exact"/>
        <w:jc w:val="left"/>
        <w:rPr>
          <w:rFonts w:ascii="仿宋" w:hAnsi="仿宋" w:eastAsia="仿宋" w:cs="仿宋"/>
          <w:kern w:val="0"/>
          <w:sz w:val="32"/>
          <w:szCs w:val="32"/>
          <w:shd w:val="clear" w:color="auto" w:fill="FFFFFF"/>
        </w:rPr>
      </w:pPr>
    </w:p>
    <w:p>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隆尧县</w:t>
      </w:r>
      <w:r>
        <w:rPr>
          <w:rFonts w:hint="eastAsia" w:ascii="宋体" w:hAnsi="宋体" w:eastAsia="宋体" w:cs="宋体"/>
          <w:b/>
          <w:bCs/>
          <w:sz w:val="44"/>
          <w:szCs w:val="44"/>
          <w:lang w:eastAsia="zh-CN"/>
        </w:rPr>
        <w:t>司法局</w:t>
      </w:r>
    </w:p>
    <w:p>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1.承担全面依法治县重大问题的政策研究。组织协调有关方面提出全面依法治县中长期规划建议，负责有关重大决策部署督察工作。</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2.负责县政府规范性文件起草、备案审查工作；负责对县政府政策措施、规范性文件和合同协议的合法性审核工作；负责审查县政府各部门报县政府审核的规范性文件，承办县政府交办的涉法事务。</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承担统筹推进隆尧法治政府建设的责任。开展好县政府依法行政工作；负责综合协调行政执法，承担推进行政执法体制改革有关工作，推进严格规范公正文明执法；依法承办行政复议案件；受县政府委托，代理行政诉讼案件的应诉；受县政府委托，代理由市政府审理的行政复议裁决案件；指导、监督全县行政复议和行政应诉工作。</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承担统筹规划全县法治社会建设的责任。负责拟订全县法治宣传教育规划，组织实施普法宣传工作；推动全县人民参与和促进法治建设；指导全县依法治理和法治创建工作；指导全县调解工作，负责和指导全县人民陪审员、人民监督员管理工作；负责指导全县司法所建设；负责全县社区矫正工作；负责全县刑满释放人员帮教安置工作。</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5.负责制定全县公共法律服务体系建设规划并指导实施，统筹和布局城乡、区域法律服务资源。负责法律援助管理工作；指导、监督全县律师、公证、司法鉴定和基层法律服务管理工作。</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6.负责本系统警车等物资装备管理工作；指导、监督本系统财务、装备、设施、场所等保障工作。</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7.规划、协调、指导全县法治人才队伍建设相关工作。指导、监督本系统队伍建设。</w:t>
      </w:r>
    </w:p>
    <w:p>
      <w:pPr>
        <w:keepNext w:val="0"/>
        <w:keepLines w:val="0"/>
        <w:pageBreakBefore w:val="0"/>
        <w:widowControl w:val="0"/>
        <w:kinsoku/>
        <w:wordWrap/>
        <w:overflowPunct/>
        <w:topLinePunct w:val="0"/>
        <w:autoSpaceDE/>
        <w:autoSpaceDN/>
        <w:bidi w:val="0"/>
        <w:snapToGrid/>
        <w:spacing w:before="0" w:after="0" w:line="600" w:lineRule="exact"/>
        <w:ind w:firstLine="640"/>
        <w:jc w:val="left"/>
        <w:textAlignment w:val="auto"/>
        <w:outlineLvl w:val="9"/>
        <w:rPr>
          <w:rFonts w:hint="eastAsia" w:ascii="仿宋" w:hAnsi="仿宋" w:eastAsia="仿宋" w:cs="仿宋"/>
          <w:sz w:val="32"/>
          <w:szCs w:val="32"/>
        </w:rPr>
      </w:pPr>
      <w:r>
        <w:rPr>
          <w:rFonts w:hint="eastAsia" w:ascii="仿宋" w:hAnsi="仿宋" w:eastAsia="仿宋" w:cs="仿宋"/>
          <w:kern w:val="2"/>
          <w:sz w:val="32"/>
          <w:szCs w:val="32"/>
          <w:lang w:val="en-US" w:eastAsia="zh-CN" w:bidi="ar-SA"/>
        </w:rPr>
        <w:t>8.完成县委、县政府交办的其他任务。</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县司法局设下列内设机构:</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办公室。</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普法和依法治理股。</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社区矫正管理股。</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行政执法和行政复议应诉股。</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人民参与和促进法治股。</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公共法律服务管理股。</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计财装备股。</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政治处。</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lang w:eastAsia="zh-CN"/>
        </w:rPr>
      </w:pPr>
      <w:r>
        <w:rPr>
          <w:rFonts w:hint="eastAsia" w:ascii="仿宋" w:hAnsi="仿宋" w:eastAsia="仿宋" w:cs="仿宋"/>
          <w:sz w:val="32"/>
          <w:szCs w:val="32"/>
        </w:rPr>
        <w:t>派出机构</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1、隆尧县司法局隆尧镇司法所。</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2、隆尧县司法局莲子镇司法所。。</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3、隆尧县司法局尹村司法所。</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4、隆尧县司法局固城司法所。</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5、隆尧县司法局山口司法所。。</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6、隆尧县司法局魏家庄司法所。。</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7、隆尧县司法局东良司法所。</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8、隆尧县司法局大张庄司法所。</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9、隆尧县司法局千户营司法所。</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10、隆尧县司法局牛桥司法所。</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11、隆尧县司法局北楼司法所。</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rPr>
        <w:t>12、隆尧县司法局双碑司法所。</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（二）人员及资产情况。</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隆尧县司法局单位性质为行政，单位规格为正科级，经费保障形式为财政性资金基本保证，现实有人员38人，其中：公务员34人、工人4人。</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lang w:val="en-US" w:eastAsia="zh-CN" w:bidi="ar-SA"/>
        </w:rPr>
        <w:t>本单位2021年资产数为441.89万元，包括固定资产437.5万元，无形资产4.39万元。2021年固定资产比上年增加46.73元，主要是根据政法转移支付资金要求购买部分政法装备，同时</w:t>
      </w:r>
      <w:r>
        <w:rPr>
          <w:rFonts w:hint="eastAsia" w:ascii="仿宋" w:hAnsi="仿宋" w:eastAsia="仿宋" w:cs="仿宋"/>
          <w:kern w:val="2"/>
          <w:sz w:val="32"/>
          <w:szCs w:val="32"/>
          <w:highlight w:val="none"/>
          <w:lang w:val="en-US" w:eastAsia="zh-CN" w:bidi="ar-SA"/>
        </w:rPr>
        <w:t>用县级安排资金购买办公桌椅等。</w:t>
      </w:r>
    </w:p>
    <w:p>
      <w:pPr>
        <w:keepNext w:val="0"/>
        <w:keepLines w:val="0"/>
        <w:pageBreakBefore w:val="0"/>
        <w:widowControl w:val="0"/>
        <w:numPr>
          <w:ilvl w:val="0"/>
          <w:numId w:val="1"/>
        </w:numPr>
        <w:kinsoku/>
        <w:wordWrap/>
        <w:overflowPunct/>
        <w:topLinePunct w:val="0"/>
        <w:autoSpaceDE/>
        <w:autoSpaceDN/>
        <w:bidi w:val="0"/>
        <w:adjustRightInd w:val="0"/>
        <w:snapToGrid/>
        <w:spacing w:line="600" w:lineRule="exact"/>
        <w:ind w:left="480" w:leftChars="0" w:firstLine="0" w:firstLineChars="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部门履职总体目标。</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以习近平新时代中国特色社会主义思想为指导，按照习近平总书记“努力让人民群众在每一个司法案件中都能感受到公平正义”要求，在工作中认真践行习近平总书记要求，落实领导干部、公务员学法用法制度，营造全市“尊法学法用法”氛围，提升全市依法治市水平与执法人员行政执法能力，规范执法行为，保障弱势群体合法权益。统筹规划地方立法工作，做好有关地方性法规与政府规章草案的起草、组织、审查、协调等工作与政府规范性文件的备案审查工作。</w:t>
      </w:r>
    </w:p>
    <w:p>
      <w:pPr>
        <w:keepNext w:val="0"/>
        <w:keepLines w:val="0"/>
        <w:pageBreakBefore w:val="0"/>
        <w:widowControl w:val="0"/>
        <w:numPr>
          <w:ilvl w:val="0"/>
          <w:numId w:val="1"/>
        </w:numPr>
        <w:kinsoku/>
        <w:wordWrap/>
        <w:overflowPunct/>
        <w:topLinePunct w:val="0"/>
        <w:autoSpaceDE/>
        <w:autoSpaceDN/>
        <w:bidi w:val="0"/>
        <w:adjustRightInd w:val="0"/>
        <w:snapToGrid/>
        <w:spacing w:line="600" w:lineRule="exact"/>
        <w:ind w:left="480" w:leftChars="0" w:firstLine="0" w:firstLineChars="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年度整体绩效目标和工作任务。</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通过各项工作的落实，使年内审查的政府法规、规范性文件和法律文书的合法率达到100%，群众对普法宣传的满意度达到90%以上，政府诉讼降低率达到5%以上，对困难群众法律援助案件覆盖率达到95%以上，行政执法人员培训考试合格率达到95%以上，社区矫正人员重新犯罪率控制在0.15%以下。</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sz w:val="32"/>
          <w:szCs w:val="32"/>
          <w:lang w:eastAsia="zh-CN"/>
        </w:rPr>
      </w:pPr>
      <w:r>
        <w:rPr>
          <w:rFonts w:hint="eastAsia" w:ascii="仿宋" w:hAnsi="仿宋" w:eastAsia="仿宋" w:cs="仿宋"/>
          <w:kern w:val="2"/>
          <w:sz w:val="32"/>
          <w:szCs w:val="32"/>
          <w:lang w:val="en-US" w:eastAsia="zh-CN" w:bidi="ar-SA"/>
        </w:rPr>
        <w:t>工作任务：1.</w:t>
      </w:r>
      <w:r>
        <w:rPr>
          <w:rFonts w:hint="eastAsia" w:ascii="仿宋" w:hAnsi="仿宋" w:eastAsia="仿宋" w:cs="仿宋"/>
          <w:sz w:val="32"/>
          <w:szCs w:val="32"/>
        </w:rPr>
        <w:t>组织开展规范性文件清理工作；负责规范性文件备案审查，办理县政府交办的涉法事务；组织办理县政府重大行政决策合法性审查；负责全县行政执法综合协调工作；负责审查指导、监督全县行政执法工作</w:t>
      </w:r>
      <w:r>
        <w:rPr>
          <w:rFonts w:hint="eastAsia" w:ascii="仿宋" w:hAnsi="仿宋" w:eastAsia="仿宋" w:cs="仿宋"/>
          <w:kern w:val="2"/>
          <w:sz w:val="32"/>
          <w:szCs w:val="32"/>
          <w:lang w:val="en-US" w:eastAsia="zh-CN" w:bidi="ar-SA"/>
        </w:rPr>
        <w:t>。2.统筹推进法治政府建设工作，指导监督政府依法行政工作，依法承办行政复议案件，做好受政府委托代理的行政诉讼案件的诉讼工作。3.统筹规划法治社会建设工作，拟定法治宣传教育规划，组织实施普法宣传，负责指导全县人民调解工作与人民监督员管理工作。4.做好全县社区矫正和刑满释放人员帮教安置工作。5.做好完成县本级法律援助案件办理工作；完成县公共法律服务中心及12348热线值守工作，为群众提供专业的公共法律服务。</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（五）预算资金支出情况。</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1.项目资金到位情况分析。2021年我局各项资金均按时拨付到位。</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2.项目资金执行情况分析。</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（1）收入支出预算安排情况</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2021年年初预算安排715.75万元，实际收入743.5万元。实际收入较上年增加31.93万元。</w:t>
      </w:r>
    </w:p>
    <w:p>
      <w:pPr>
        <w:keepNext w:val="0"/>
        <w:keepLines w:val="0"/>
        <w:pageBreakBefore w:val="0"/>
        <w:widowControl w:val="0"/>
        <w:kinsoku/>
        <w:wordWrap/>
        <w:overflowPunct/>
        <w:topLinePunct w:val="0"/>
        <w:autoSpaceDE/>
        <w:autoSpaceDN/>
        <w:bidi w:val="0"/>
        <w:adjustRightInd w:val="0"/>
        <w:snapToGrid/>
        <w:spacing w:line="600" w:lineRule="exact"/>
        <w:ind w:left="638" w:leftChars="304" w:firstLine="0" w:firstLineChars="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（2）收入支出执行情况</w:t>
      </w:r>
      <w:r>
        <w:rPr>
          <w:rFonts w:hint="eastAsia" w:ascii="仿宋" w:hAnsi="仿宋" w:eastAsia="仿宋" w:cs="仿宋"/>
          <w:kern w:val="2"/>
          <w:sz w:val="32"/>
          <w:szCs w:val="32"/>
          <w:lang w:val="en-US" w:eastAsia="zh-CN" w:bidi="ar-SA"/>
        </w:rPr>
        <w:br w:type="textWrapping"/>
      </w:r>
      <w:r>
        <w:rPr>
          <w:rFonts w:hint="eastAsia" w:ascii="仿宋" w:hAnsi="仿宋" w:eastAsia="仿宋" w:cs="仿宋"/>
          <w:kern w:val="2"/>
          <w:sz w:val="32"/>
          <w:szCs w:val="32"/>
          <w:lang w:val="en-US" w:eastAsia="zh-CN" w:bidi="ar-SA"/>
        </w:rPr>
        <w:t>①收入支出与预算对比分析</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本单位支出基本情况：2020年支出数为715.19万元，2021年支出数为743.5万元，比上年增加了28.31万元，主要原因追加政府法律顾问为中央政法转移支付资金等项目支出。</w:t>
      </w:r>
    </w:p>
    <w:p>
      <w:pPr>
        <w:keepNext w:val="0"/>
        <w:keepLines w:val="0"/>
        <w:pageBreakBefore w:val="0"/>
        <w:widowControl w:val="0"/>
        <w:kinsoku/>
        <w:wordWrap/>
        <w:overflowPunct/>
        <w:topLinePunct w:val="0"/>
        <w:autoSpaceDE/>
        <w:autoSpaceDN/>
        <w:bidi w:val="0"/>
        <w:adjustRightInd w:val="0"/>
        <w:snapToGrid/>
        <w:spacing w:line="600" w:lineRule="exact"/>
        <w:ind w:firstLine="641"/>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②收入支出结构分析</w:t>
      </w:r>
      <w:r>
        <w:rPr>
          <w:rFonts w:hint="eastAsia" w:ascii="仿宋" w:hAnsi="仿宋" w:eastAsia="仿宋" w:cs="仿宋"/>
          <w:kern w:val="2"/>
          <w:sz w:val="32"/>
          <w:szCs w:val="32"/>
          <w:lang w:val="en-US" w:eastAsia="zh-CN" w:bidi="ar-SA"/>
        </w:rPr>
        <w:br w:type="textWrapping"/>
      </w:r>
      <w:r>
        <w:rPr>
          <w:rFonts w:hint="eastAsia" w:ascii="仿宋" w:hAnsi="仿宋" w:eastAsia="仿宋" w:cs="仿宋"/>
          <w:kern w:val="2"/>
          <w:sz w:val="32"/>
          <w:szCs w:val="32"/>
          <w:lang w:val="en-US" w:eastAsia="zh-CN" w:bidi="ar-SA"/>
        </w:rPr>
        <w:t xml:space="preserve">    本单位收入基本情况：2021年总收入为743.5万元（其中公共安全654.02万元、社会保障和就业41.87万元、卫生健康16.77万元、住房保障30.84万元），全部为公共财政预算拨款。</w:t>
      </w:r>
      <w:r>
        <w:rPr>
          <w:rFonts w:hint="eastAsia" w:ascii="仿宋" w:hAnsi="仿宋" w:eastAsia="仿宋" w:cs="仿宋"/>
          <w:kern w:val="2"/>
          <w:sz w:val="32"/>
          <w:szCs w:val="32"/>
          <w:lang w:val="en-US" w:eastAsia="zh-CN" w:bidi="ar-SA"/>
        </w:rPr>
        <w:br w:type="textWrapping"/>
      </w:r>
      <w:r>
        <w:rPr>
          <w:rFonts w:hint="eastAsia" w:ascii="仿宋" w:hAnsi="仿宋" w:eastAsia="仿宋" w:cs="仿宋"/>
          <w:kern w:val="2"/>
          <w:sz w:val="32"/>
          <w:szCs w:val="32"/>
          <w:lang w:val="en-US" w:eastAsia="zh-CN" w:bidi="ar-SA"/>
        </w:rPr>
        <w:t xml:space="preserve">    本单位支出基本情况：2021年总支出为743.5万元余。公共安全支出654.02万元，比上年增加62.25万元，主要是追加项目。社区保障和就业支出41.87万元，比上年减少24.59万元，主要原因是调整部分预算科目。卫生和健康支出16.77万元，比上年增加2.01万元，因为基数调整和人员增加。住房和保障支出30.84万元，较上年增加5.21万元，因为基数调整。</w:t>
      </w:r>
    </w:p>
    <w:p>
      <w:pPr>
        <w:keepNext w:val="0"/>
        <w:keepLines w:val="0"/>
        <w:pageBreakBefore w:val="0"/>
        <w:widowControl w:val="0"/>
        <w:kinsoku/>
        <w:wordWrap/>
        <w:overflowPunct/>
        <w:topLinePunct w:val="0"/>
        <w:autoSpaceDE/>
        <w:autoSpaceDN/>
        <w:bidi w:val="0"/>
        <w:adjustRightInd w:val="0"/>
        <w:snapToGrid/>
        <w:spacing w:line="600" w:lineRule="exact"/>
        <w:ind w:firstLine="641"/>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3.项目资金管理情况分析。对各项专项资金在使用中都能够按照有关文件和财政部门及我局有关财务管理制度要求使用，做到专款专用，不存在超范围支出和资产流失情况。</w:t>
      </w:r>
    </w:p>
    <w:p>
      <w:pPr>
        <w:pStyle w:val="20"/>
        <w:numPr>
          <w:ilvl w:val="0"/>
          <w:numId w:val="0"/>
        </w:numPr>
        <w:ind w:left="630" w:leftChars="0"/>
        <w:rPr>
          <w:rFonts w:ascii="黑体" w:hAnsi="黑体" w:eastAsia="黑体" w:cs="仿宋"/>
          <w:sz w:val="32"/>
          <w:szCs w:val="32"/>
        </w:rPr>
      </w:pPr>
      <w:r>
        <w:rPr>
          <w:rFonts w:hint="eastAsia" w:ascii="黑体" w:hAnsi="黑体" w:eastAsia="黑体" w:cs="仿宋"/>
          <w:sz w:val="32"/>
          <w:szCs w:val="32"/>
          <w:lang w:eastAsia="zh-CN"/>
        </w:rPr>
        <w:t>二、</w:t>
      </w:r>
      <w:r>
        <w:rPr>
          <w:rFonts w:hint="eastAsia" w:ascii="黑体" w:hAnsi="黑体" w:eastAsia="黑体" w:cs="仿宋"/>
          <w:sz w:val="32"/>
          <w:szCs w:val="32"/>
        </w:rPr>
        <w:t>预算绩效管理开展及整体绩效实现情况。</w:t>
      </w:r>
    </w:p>
    <w:p>
      <w:pPr>
        <w:keepNext w:val="0"/>
        <w:keepLines w:val="0"/>
        <w:pageBreakBefore w:val="0"/>
        <w:widowControl w:val="0"/>
        <w:numPr>
          <w:ilvl w:val="0"/>
          <w:numId w:val="2"/>
        </w:numPr>
        <w:kinsoku/>
        <w:wordWrap/>
        <w:overflowPunct/>
        <w:topLinePunct w:val="0"/>
        <w:autoSpaceDE/>
        <w:autoSpaceDN/>
        <w:bidi w:val="0"/>
        <w:adjustRightInd w:val="0"/>
        <w:snapToGrid/>
        <w:spacing w:line="600" w:lineRule="exact"/>
        <w:ind w:firstLine="480" w:firstLineChars="15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部门开展预算绩效管理情况。</w:t>
      </w:r>
    </w:p>
    <w:p>
      <w:pPr>
        <w:keepNext w:val="0"/>
        <w:keepLines w:val="0"/>
        <w:pageBreakBefore w:val="0"/>
        <w:widowControl w:val="0"/>
        <w:numPr>
          <w:ilvl w:val="0"/>
          <w:numId w:val="0"/>
        </w:numPr>
        <w:kinsoku/>
        <w:wordWrap/>
        <w:overflowPunct/>
        <w:topLinePunct w:val="0"/>
        <w:autoSpaceDE/>
        <w:autoSpaceDN/>
        <w:bidi w:val="0"/>
        <w:adjustRightInd w:val="0"/>
        <w:snapToGrid/>
        <w:spacing w:line="6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1、及时落实了《关于开展2021年度县级项目支出绩效自评和部门整体支出绩效自评工作的通知》。明确了预算绩效目标管理对象，并要求各部门自行开展部门整体支出绩效评价。</w:t>
      </w:r>
    </w:p>
    <w:p>
      <w:pPr>
        <w:keepNext w:val="0"/>
        <w:keepLines w:val="0"/>
        <w:pageBreakBefore w:val="0"/>
        <w:widowControl w:val="0"/>
        <w:numPr>
          <w:ilvl w:val="0"/>
          <w:numId w:val="0"/>
        </w:numPr>
        <w:kinsoku/>
        <w:wordWrap/>
        <w:overflowPunct/>
        <w:topLinePunct w:val="0"/>
        <w:autoSpaceDE/>
        <w:autoSpaceDN/>
        <w:bidi w:val="0"/>
        <w:adjustRightInd w:val="0"/>
        <w:snapToGrid/>
        <w:spacing w:line="6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2、召开了2021年度预算绩效目标管理编报工作专题布置会，传达了县级预算绩效目标管理编报的相关文件精神，对绩效目标申报的流程填报节围及内容等提出了规范化要求。</w:t>
      </w:r>
    </w:p>
    <w:p>
      <w:pPr>
        <w:keepNext w:val="0"/>
        <w:keepLines w:val="0"/>
        <w:pageBreakBefore w:val="0"/>
        <w:widowControl w:val="0"/>
        <w:numPr>
          <w:ilvl w:val="0"/>
          <w:numId w:val="0"/>
        </w:numPr>
        <w:kinsoku/>
        <w:wordWrap/>
        <w:overflowPunct/>
        <w:topLinePunct w:val="0"/>
        <w:autoSpaceDE/>
        <w:autoSpaceDN/>
        <w:bidi w:val="0"/>
        <w:adjustRightInd w:val="0"/>
        <w:snapToGrid/>
        <w:spacing w:line="600" w:lineRule="exact"/>
        <w:ind w:firstLine="640" w:firstLineChars="200"/>
        <w:textAlignment w:val="auto"/>
        <w:rPr>
          <w:rFonts w:hint="default" w:ascii="微软雅黑" w:hAnsi="微软雅黑" w:eastAsia="微软雅黑" w:cs="微软雅黑"/>
          <w:i w:val="0"/>
          <w:caps w:val="0"/>
          <w:color w:val="000000"/>
          <w:spacing w:val="0"/>
          <w:sz w:val="32"/>
          <w:szCs w:val="32"/>
          <w:lang w:val="en-US"/>
        </w:rPr>
      </w:pPr>
      <w:r>
        <w:rPr>
          <w:rFonts w:hint="eastAsia" w:ascii="仿宋" w:hAnsi="仿宋" w:eastAsia="仿宋" w:cs="仿宋"/>
          <w:kern w:val="2"/>
          <w:sz w:val="32"/>
          <w:szCs w:val="32"/>
          <w:lang w:val="en-US" w:eastAsia="zh-CN" w:bidi="ar-SA"/>
        </w:rPr>
        <w:t>3、做好了有关科室绩效目标管理编制资料收集审核工作，对未按规定要求如实填报的科室，要求其及时整改后再重新上报，保证了我局绩效目标管理工作的有效性、准确性、真实性。通过有效开展2021年度具级预算绩效目标管理编报工作，进一步强化了我县绩效目标与预算管理的有机结合，促进了财政管理的科学化和精细化。</w:t>
      </w:r>
    </w:p>
    <w:p>
      <w:pPr>
        <w:keepNext w:val="0"/>
        <w:keepLines w:val="0"/>
        <w:pageBreakBefore w:val="0"/>
        <w:widowControl w:val="0"/>
        <w:numPr>
          <w:ilvl w:val="0"/>
          <w:numId w:val="2"/>
        </w:numPr>
        <w:kinsoku/>
        <w:wordWrap/>
        <w:overflowPunct/>
        <w:topLinePunct w:val="0"/>
        <w:autoSpaceDE/>
        <w:autoSpaceDN/>
        <w:bidi w:val="0"/>
        <w:adjustRightInd w:val="0"/>
        <w:snapToGrid/>
        <w:spacing w:line="600" w:lineRule="exact"/>
        <w:ind w:left="0" w:leftChars="0" w:firstLine="480" w:firstLineChars="150"/>
        <w:textAlignment w:val="auto"/>
        <w:rPr>
          <w:rFonts w:hint="default" w:ascii="微软雅黑" w:hAnsi="微软雅黑" w:eastAsia="微软雅黑" w:cs="微软雅黑"/>
          <w:i w:val="0"/>
          <w:caps w:val="0"/>
          <w:color w:val="000000"/>
          <w:spacing w:val="0"/>
          <w:sz w:val="32"/>
          <w:szCs w:val="32"/>
          <w:lang w:val="en-US"/>
        </w:rPr>
      </w:pPr>
      <w:r>
        <w:rPr>
          <w:rFonts w:hint="eastAsia" w:ascii="仿宋" w:hAnsi="仿宋" w:eastAsia="仿宋" w:cs="仿宋"/>
          <w:kern w:val="2"/>
          <w:sz w:val="32"/>
          <w:szCs w:val="32"/>
          <w:lang w:val="en-US" w:eastAsia="zh-CN" w:bidi="ar-SA"/>
        </w:rPr>
        <w:t>工作履行活动完成情况。</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sz w:val="32"/>
          <w:szCs w:val="32"/>
          <w:highlight w:val="none"/>
          <w:lang w:val="en-US" w:eastAsia="zh-CN"/>
        </w:rPr>
      </w:pPr>
      <w:r>
        <w:rPr>
          <w:rFonts w:hint="eastAsia" w:ascii="仿宋" w:hAnsi="仿宋" w:eastAsia="仿宋" w:cs="仿宋"/>
          <w:kern w:val="2"/>
          <w:sz w:val="32"/>
          <w:szCs w:val="32"/>
          <w:lang w:val="en-US" w:eastAsia="zh-CN" w:bidi="ar-SA"/>
        </w:rPr>
        <w:t>2021年以来，我局坚持以习近平新时代中国特色社会主义思想为指导，深入学习贯彻党的十九大和十九届二中、三中、四中、五中、六中全会精神，紧紧围绕县委、县政府中心工作，忠诚履行职责使命，求证务实、开拓创新，</w:t>
      </w:r>
      <w:r>
        <w:rPr>
          <w:rFonts w:hint="default" w:ascii="仿宋" w:hAnsi="仿宋" w:eastAsia="仿宋" w:cs="仿宋"/>
          <w:kern w:val="2"/>
          <w:sz w:val="32"/>
          <w:szCs w:val="32"/>
          <w:lang w:val="en-US" w:eastAsia="zh-CN" w:bidi="ar-SA"/>
        </w:rPr>
        <w:t>有效推动了</w:t>
      </w:r>
      <w:r>
        <w:rPr>
          <w:rFonts w:hint="eastAsia" w:ascii="仿宋" w:hAnsi="仿宋" w:eastAsia="仿宋" w:cs="仿宋"/>
          <w:kern w:val="2"/>
          <w:sz w:val="32"/>
          <w:szCs w:val="32"/>
          <w:lang w:val="en-US" w:eastAsia="zh-CN" w:bidi="ar-SA"/>
        </w:rPr>
        <w:t>全县</w:t>
      </w:r>
      <w:r>
        <w:rPr>
          <w:rFonts w:hint="default" w:ascii="仿宋" w:hAnsi="仿宋" w:eastAsia="仿宋" w:cs="仿宋"/>
          <w:kern w:val="2"/>
          <w:sz w:val="32"/>
          <w:szCs w:val="32"/>
          <w:lang w:val="en-US" w:eastAsia="zh-CN" w:bidi="ar-SA"/>
        </w:rPr>
        <w:t>司法行政工作不断创新发展</w:t>
      </w:r>
      <w:r>
        <w:rPr>
          <w:rFonts w:hint="eastAsia" w:ascii="仿宋" w:hAnsi="仿宋" w:eastAsia="仿宋" w:cs="仿宋"/>
          <w:kern w:val="2"/>
          <w:sz w:val="32"/>
          <w:szCs w:val="32"/>
          <w:lang w:val="en-US" w:eastAsia="zh-CN" w:bidi="ar-SA"/>
        </w:rPr>
        <w:t>。在</w:t>
      </w:r>
      <w:r>
        <w:rPr>
          <w:rFonts w:hint="default" w:ascii="仿宋" w:hAnsi="仿宋" w:eastAsia="仿宋" w:cs="仿宋"/>
          <w:kern w:val="2"/>
          <w:sz w:val="32"/>
          <w:szCs w:val="32"/>
          <w:lang w:val="en-US" w:eastAsia="zh-CN" w:bidi="ar-SA"/>
        </w:rPr>
        <w:t>邢台市法治政府示范创建专项督察</w:t>
      </w:r>
      <w:r>
        <w:rPr>
          <w:rFonts w:hint="eastAsia" w:ascii="仿宋" w:hAnsi="仿宋" w:eastAsia="仿宋" w:cs="仿宋"/>
          <w:kern w:val="2"/>
          <w:sz w:val="32"/>
          <w:szCs w:val="32"/>
          <w:lang w:val="en-US" w:eastAsia="zh-CN" w:bidi="ar-SA"/>
        </w:rPr>
        <w:t>中</w:t>
      </w:r>
      <w:r>
        <w:rPr>
          <w:rFonts w:hint="default" w:ascii="仿宋" w:hAnsi="仿宋" w:eastAsia="仿宋" w:cs="仿宋"/>
          <w:kern w:val="2"/>
          <w:sz w:val="32"/>
          <w:szCs w:val="32"/>
          <w:lang w:val="en-US" w:eastAsia="zh-CN" w:bidi="ar-SA"/>
        </w:rPr>
        <w:t>，隆尧县荣获全市第4名；隆尧县政府连续两年被评为全市依法行政优秀单位；固村镇小孟村通过全国民主法治示范村</w:t>
      </w:r>
      <w:r>
        <w:rPr>
          <w:rFonts w:hint="eastAsia" w:ascii="仿宋" w:hAnsi="仿宋" w:eastAsia="仿宋" w:cs="仿宋"/>
          <w:kern w:val="2"/>
          <w:sz w:val="32"/>
          <w:szCs w:val="32"/>
          <w:lang w:val="en-US" w:eastAsia="zh-CN" w:bidi="ar-SA"/>
        </w:rPr>
        <w:t>复</w:t>
      </w:r>
      <w:r>
        <w:rPr>
          <w:rFonts w:hint="default" w:ascii="仿宋" w:hAnsi="仿宋" w:eastAsia="仿宋" w:cs="仿宋"/>
          <w:kern w:val="2"/>
          <w:sz w:val="32"/>
          <w:szCs w:val="32"/>
          <w:lang w:val="en-US" w:eastAsia="zh-CN" w:bidi="ar-SA"/>
        </w:rPr>
        <w:t>核</w:t>
      </w:r>
      <w:r>
        <w:rPr>
          <w:rFonts w:hint="eastAsia" w:ascii="仿宋" w:hAnsi="仿宋" w:eastAsia="仿宋" w:cs="仿宋"/>
          <w:kern w:val="2"/>
          <w:sz w:val="32"/>
          <w:szCs w:val="32"/>
          <w:lang w:val="en-US" w:eastAsia="zh-CN" w:bidi="ar-SA"/>
        </w:rPr>
        <w:t>，隆尧镇东关村等4个村获评“河北省民主法治示范村”；东良镇</w:t>
      </w:r>
      <w:r>
        <w:rPr>
          <w:rFonts w:hint="default" w:ascii="仿宋" w:hAnsi="仿宋" w:eastAsia="仿宋" w:cs="仿宋"/>
          <w:kern w:val="2"/>
          <w:sz w:val="32"/>
          <w:szCs w:val="32"/>
          <w:lang w:val="en-US" w:eastAsia="zh-CN" w:bidi="ar-SA"/>
        </w:rPr>
        <w:t>陈庄村“全国依法治理创建活动先进单位”</w:t>
      </w:r>
      <w:r>
        <w:rPr>
          <w:rFonts w:hint="eastAsia" w:ascii="仿宋" w:hAnsi="仿宋" w:eastAsia="仿宋" w:cs="仿宋"/>
          <w:kern w:val="2"/>
          <w:sz w:val="32"/>
          <w:szCs w:val="32"/>
          <w:lang w:val="en-US" w:eastAsia="zh-CN" w:bidi="ar-SA"/>
        </w:rPr>
        <w:t>已推荐至</w:t>
      </w:r>
      <w:r>
        <w:rPr>
          <w:rFonts w:hint="default" w:ascii="仿宋" w:hAnsi="仿宋" w:eastAsia="仿宋" w:cs="仿宋"/>
          <w:kern w:val="2"/>
          <w:sz w:val="32"/>
          <w:szCs w:val="32"/>
          <w:lang w:val="en-US" w:eastAsia="zh-CN" w:bidi="ar-SA"/>
        </w:rPr>
        <w:t>司法</w:t>
      </w:r>
      <w:r>
        <w:rPr>
          <w:rFonts w:hint="eastAsia" w:ascii="仿宋" w:hAnsi="仿宋" w:eastAsia="仿宋" w:cs="仿宋"/>
          <w:kern w:val="2"/>
          <w:sz w:val="32"/>
          <w:szCs w:val="32"/>
          <w:lang w:val="en-US" w:eastAsia="zh-CN" w:bidi="ar-SA"/>
        </w:rPr>
        <w:t>部</w:t>
      </w:r>
      <w:r>
        <w:rPr>
          <w:rFonts w:hint="default" w:ascii="仿宋" w:hAnsi="仿宋" w:eastAsia="仿宋" w:cs="仿宋"/>
          <w:kern w:val="2"/>
          <w:sz w:val="32"/>
          <w:szCs w:val="32"/>
          <w:lang w:val="en-US" w:eastAsia="zh-CN" w:bidi="ar-SA"/>
        </w:rPr>
        <w:t>，全市仅2家；</w:t>
      </w:r>
      <w:r>
        <w:rPr>
          <w:rFonts w:hint="eastAsia" w:ascii="仿宋" w:hAnsi="仿宋" w:eastAsia="仿宋" w:cs="仿宋"/>
          <w:kern w:val="2"/>
          <w:sz w:val="32"/>
          <w:szCs w:val="32"/>
          <w:highlight w:val="none"/>
          <w:lang w:val="en-US" w:eastAsia="zh-CN" w:bidi="ar-SA"/>
        </w:rPr>
        <w:t>牛桥司法所所长杜志博被司法部评定为“全国司法所模范个人”。</w:t>
      </w:r>
    </w:p>
    <w:p>
      <w:pPr>
        <w:pStyle w:val="20"/>
        <w:numPr>
          <w:ilvl w:val="0"/>
          <w:numId w:val="0"/>
        </w:numPr>
        <w:ind w:left="630" w:leftChars="0"/>
        <w:rPr>
          <w:rFonts w:ascii="黑体" w:hAnsi="黑体" w:eastAsia="黑体" w:cs="仿宋"/>
          <w:sz w:val="32"/>
          <w:szCs w:val="32"/>
          <w:highlight w:val="none"/>
        </w:rPr>
      </w:pPr>
      <w:r>
        <w:rPr>
          <w:rFonts w:hint="eastAsia" w:ascii="黑体" w:hAnsi="黑体" w:eastAsia="黑体" w:cs="仿宋"/>
          <w:sz w:val="32"/>
          <w:szCs w:val="32"/>
          <w:highlight w:val="none"/>
          <w:lang w:eastAsia="zh-CN"/>
        </w:rPr>
        <w:t>三、</w:t>
      </w:r>
      <w:r>
        <w:rPr>
          <w:rFonts w:hint="eastAsia" w:ascii="黑体" w:hAnsi="黑体" w:eastAsia="黑体" w:cs="仿宋"/>
          <w:sz w:val="32"/>
          <w:szCs w:val="32"/>
          <w:highlight w:val="none"/>
        </w:rPr>
        <w:t>绩效评价的组织实施情况</w:t>
      </w:r>
    </w:p>
    <w:p>
      <w:pPr>
        <w:keepNext w:val="0"/>
        <w:keepLines w:val="0"/>
        <w:pageBreakBefore w:val="0"/>
        <w:widowControl w:val="0"/>
        <w:numPr>
          <w:ilvl w:val="0"/>
          <w:numId w:val="3"/>
        </w:numPr>
        <w:kinsoku/>
        <w:wordWrap/>
        <w:overflowPunct/>
        <w:topLinePunct w:val="0"/>
        <w:autoSpaceDE/>
        <w:autoSpaceDN/>
        <w:bidi w:val="0"/>
        <w:adjustRightInd w:val="0"/>
        <w:snapToGrid/>
        <w:spacing w:line="600" w:lineRule="exact"/>
        <w:ind w:firstLine="480" w:firstLineChars="15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评价对象绩效目标。</w:t>
      </w:r>
    </w:p>
    <w:p>
      <w:pPr>
        <w:pStyle w:val="10"/>
        <w:keepNext w:val="0"/>
        <w:keepLines w:val="0"/>
        <w:pageBreakBefore w:val="0"/>
        <w:widowControl w:val="0"/>
        <w:numPr>
          <w:ilvl w:val="0"/>
          <w:numId w:val="0"/>
        </w:numPr>
        <w:kinsoku/>
        <w:wordWrap/>
        <w:overflowPunct/>
        <w:topLinePunct w:val="0"/>
        <w:autoSpaceDE/>
        <w:autoSpaceDN/>
        <w:bidi w:val="0"/>
        <w:snapToGrid/>
        <w:spacing w:line="6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目标1：保障职工工资、福利正常发放,提高工作积极性，确保司法局各项工作正常运转，促进司法事业更快更好发展。</w:t>
      </w:r>
    </w:p>
    <w:p>
      <w:pPr>
        <w:pStyle w:val="10"/>
        <w:keepNext w:val="0"/>
        <w:keepLines w:val="0"/>
        <w:pageBreakBefore w:val="0"/>
        <w:widowControl w:val="0"/>
        <w:numPr>
          <w:ilvl w:val="0"/>
          <w:numId w:val="0"/>
        </w:numPr>
        <w:kinsoku/>
        <w:wordWrap/>
        <w:overflowPunct/>
        <w:topLinePunct w:val="0"/>
        <w:autoSpaceDE/>
        <w:autoSpaceDN/>
        <w:bidi w:val="0"/>
        <w:snapToGrid/>
        <w:spacing w:line="6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目标2：保障必要办公条件,提高工作效率,确保司法局各项工作正常运转，促进司法事业更快更好发展。</w:t>
      </w:r>
    </w:p>
    <w:p>
      <w:pPr>
        <w:pStyle w:val="10"/>
        <w:keepNext w:val="0"/>
        <w:keepLines w:val="0"/>
        <w:pageBreakBefore w:val="0"/>
        <w:widowControl w:val="0"/>
        <w:numPr>
          <w:ilvl w:val="0"/>
          <w:numId w:val="0"/>
        </w:numPr>
        <w:kinsoku/>
        <w:wordWrap/>
        <w:overflowPunct/>
        <w:topLinePunct w:val="0"/>
        <w:autoSpaceDE/>
        <w:autoSpaceDN/>
        <w:bidi w:val="0"/>
        <w:snapToGrid/>
        <w:spacing w:line="6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目标3：统筹规划法治社会建设工作，拟定法治宣传教育规划，组织实施普法宣传，负责指导全县人民调解工作与人民陪审员、监督员管理工作。</w:t>
      </w:r>
    </w:p>
    <w:p>
      <w:pPr>
        <w:pStyle w:val="10"/>
        <w:keepNext w:val="0"/>
        <w:keepLines w:val="0"/>
        <w:pageBreakBefore w:val="0"/>
        <w:widowControl w:val="0"/>
        <w:numPr>
          <w:ilvl w:val="0"/>
          <w:numId w:val="0"/>
        </w:numPr>
        <w:kinsoku/>
        <w:wordWrap/>
        <w:overflowPunct/>
        <w:topLinePunct w:val="0"/>
        <w:autoSpaceDE/>
        <w:autoSpaceDN/>
        <w:bidi w:val="0"/>
        <w:snapToGrid/>
        <w:spacing w:line="6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目标4：做好全县社区矫正和刑满释放人员帮教安置工作。</w:t>
      </w:r>
    </w:p>
    <w:p>
      <w:pPr>
        <w:pStyle w:val="10"/>
        <w:keepNext w:val="0"/>
        <w:keepLines w:val="0"/>
        <w:pageBreakBefore w:val="0"/>
        <w:widowControl w:val="0"/>
        <w:numPr>
          <w:ilvl w:val="0"/>
          <w:numId w:val="0"/>
        </w:numPr>
        <w:kinsoku/>
        <w:wordWrap/>
        <w:overflowPunct/>
        <w:topLinePunct w:val="0"/>
        <w:autoSpaceDE/>
        <w:autoSpaceDN/>
        <w:bidi w:val="0"/>
        <w:snapToGrid/>
        <w:spacing w:line="6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目标5：做好律师、公证、法律援助、司法鉴定和基层法律服务管理工作。                                                                                                                                                                                                                                                                                               </w:t>
      </w:r>
    </w:p>
    <w:p>
      <w:pPr>
        <w:pStyle w:val="10"/>
        <w:keepNext w:val="0"/>
        <w:keepLines w:val="0"/>
        <w:pageBreakBefore w:val="0"/>
        <w:widowControl w:val="0"/>
        <w:numPr>
          <w:ilvl w:val="0"/>
          <w:numId w:val="0"/>
        </w:numPr>
        <w:kinsoku/>
        <w:wordWrap/>
        <w:overflowPunct/>
        <w:topLinePunct w:val="0"/>
        <w:autoSpaceDE/>
        <w:autoSpaceDN/>
        <w:bidi w:val="0"/>
        <w:snapToGrid/>
        <w:spacing w:line="6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目标6:统筹推进法治政府建设工作，指导监督政府依法行政工作，依法承办行政复议案件，做好受政府委托代理的行政诉讼案件的诉讼工作。    </w:t>
      </w:r>
    </w:p>
    <w:p>
      <w:pPr>
        <w:pStyle w:val="10"/>
        <w:keepNext w:val="0"/>
        <w:keepLines w:val="0"/>
        <w:pageBreakBefore w:val="0"/>
        <w:widowControl w:val="0"/>
        <w:numPr>
          <w:ilvl w:val="0"/>
          <w:numId w:val="0"/>
        </w:numPr>
        <w:kinsoku/>
        <w:wordWrap/>
        <w:overflowPunct/>
        <w:topLinePunct w:val="0"/>
        <w:autoSpaceDE/>
        <w:autoSpaceDN/>
        <w:bidi w:val="0"/>
        <w:snapToGrid/>
        <w:spacing w:line="6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目标7:扎实推进工作稳步开展，确保将我县行政执法监督工作打造成全市、全省样板，实现严格规范公正文明执法。 </w:t>
      </w:r>
    </w:p>
    <w:p>
      <w:pPr>
        <w:keepNext w:val="0"/>
        <w:keepLines w:val="0"/>
        <w:pageBreakBefore w:val="0"/>
        <w:widowControl w:val="0"/>
        <w:kinsoku/>
        <w:wordWrap/>
        <w:overflowPunct/>
        <w:topLinePunct w:val="0"/>
        <w:autoSpaceDE/>
        <w:autoSpaceDN/>
        <w:bidi w:val="0"/>
        <w:adjustRightInd w:val="0"/>
        <w:spacing w:line="600" w:lineRule="exact"/>
        <w:ind w:firstLine="480" w:firstLineChars="15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（二）绩效指标。</w:t>
      </w:r>
    </w:p>
    <w:p>
      <w:pPr>
        <w:pStyle w:val="2"/>
        <w:keepNext w:val="0"/>
        <w:keepLines w:val="0"/>
        <w:pageBreakBefore w:val="0"/>
        <w:widowControl w:val="0"/>
        <w:kinsoku/>
        <w:wordWrap/>
        <w:overflowPunct/>
        <w:topLinePunct w:val="0"/>
        <w:autoSpaceDE/>
        <w:autoSpaceDN/>
        <w:bidi w:val="0"/>
        <w:adjustRightInd/>
        <w:spacing w:line="6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年内审查的政府法规、规范性文件和法律文书的合法率达到100%，对重大行政决策事项所提出法律意见的办结率达80%以上，代理行政复议、诉讼、仲裁及其他法律事务的完成率达80%以上，政府诉讼降低率达到5%以上。</w:t>
      </w:r>
    </w:p>
    <w:p>
      <w:pPr>
        <w:keepNext w:val="0"/>
        <w:keepLines w:val="0"/>
        <w:pageBreakBefore w:val="0"/>
        <w:widowControl w:val="0"/>
        <w:kinsoku/>
        <w:wordWrap/>
        <w:overflowPunct/>
        <w:topLinePunct w:val="0"/>
        <w:autoSpaceDE/>
        <w:autoSpaceDN/>
        <w:bidi w:val="0"/>
        <w:adjustRightInd/>
        <w:spacing w:line="600" w:lineRule="exact"/>
        <w:ind w:firstLine="63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对行政执法案卷评查1次以上，培训行政执法人员占比95%以上，案卷评查优秀率达到5%。开展行政复议与应诉人员培训，提高行政复议与应诉人员工作水平，提高行政复议案件办结及时率，降低行政诉讼败诉率。</w:t>
      </w:r>
    </w:p>
    <w:p>
      <w:pPr>
        <w:keepNext w:val="0"/>
        <w:keepLines w:val="0"/>
        <w:pageBreakBefore w:val="0"/>
        <w:widowControl w:val="0"/>
        <w:kinsoku/>
        <w:wordWrap/>
        <w:overflowPunct/>
        <w:topLinePunct w:val="0"/>
        <w:autoSpaceDE/>
        <w:autoSpaceDN/>
        <w:bidi w:val="0"/>
        <w:adjustRightInd/>
        <w:spacing w:line="600" w:lineRule="exact"/>
        <w:ind w:firstLine="630"/>
        <w:textAlignment w:val="auto"/>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组织开展“12·4”国家宪法日集中宣传活动，印发普法宣传的印刷品。在全社会营造尊崇宪法、学习宪法、遵守宪法、维护宪法、运用宪法的良好氛围。组织培训1次，加强组织培训，提升普法队伍水平，参训人员满意度90%以上。通过培训提高人民调解员和人民监督员素养，提高调解成功率，提高司法机关公信力，减少矛盾纠纷，促进社会和谐稳定</w:t>
      </w:r>
    </w:p>
    <w:p>
      <w:pPr>
        <w:keepNext w:val="0"/>
        <w:keepLines w:val="0"/>
        <w:pageBreakBefore w:val="0"/>
        <w:widowControl w:val="0"/>
        <w:kinsoku/>
        <w:wordWrap/>
        <w:overflowPunct/>
        <w:topLinePunct w:val="0"/>
        <w:autoSpaceDE/>
        <w:autoSpaceDN/>
        <w:bidi w:val="0"/>
        <w:adjustRightInd/>
        <w:spacing w:line="600" w:lineRule="exact"/>
        <w:ind w:firstLine="63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社区矫正工作人员执法培训参加比率100%、合格率90%以上，社区矫正人员重新犯罪率0.15%以下。</w:t>
      </w:r>
    </w:p>
    <w:p>
      <w:pPr>
        <w:keepNext w:val="0"/>
        <w:keepLines w:val="0"/>
        <w:pageBreakBefore w:val="0"/>
        <w:widowControl w:val="0"/>
        <w:kinsoku/>
        <w:wordWrap/>
        <w:overflowPunct/>
        <w:topLinePunct w:val="0"/>
        <w:autoSpaceDE/>
        <w:autoSpaceDN/>
        <w:bidi w:val="0"/>
        <w:adjustRightInd/>
        <w:spacing w:line="600" w:lineRule="exact"/>
        <w:ind w:firstLine="63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法律援助案件受理率95%以上，按时提供法律援助案件90%以上，“12348”法律服务热线畅通率95%以上。</w:t>
      </w:r>
    </w:p>
    <w:p>
      <w:pPr>
        <w:keepNext w:val="0"/>
        <w:keepLines w:val="0"/>
        <w:pageBreakBefore w:val="0"/>
        <w:widowControl w:val="0"/>
        <w:numPr>
          <w:ilvl w:val="0"/>
          <w:numId w:val="3"/>
        </w:numPr>
        <w:kinsoku/>
        <w:wordWrap/>
        <w:overflowPunct/>
        <w:topLinePunct w:val="0"/>
        <w:autoSpaceDE/>
        <w:autoSpaceDN/>
        <w:bidi w:val="0"/>
        <w:adjustRightInd w:val="0"/>
        <w:spacing w:line="600" w:lineRule="exact"/>
        <w:ind w:left="0" w:leftChars="0" w:firstLine="480" w:firstLineChars="15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评价标准和评价方法。</w:t>
      </w:r>
    </w:p>
    <w:p>
      <w:pPr>
        <w:pStyle w:val="10"/>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通过对各项项目的绩效评价，了解和掌握项目实施的具体情况，评价其项目资金安排的科学性、合理性、规范性和资金使用成效，及时总结项目管理经验，完善项目管理办法，提高项目管理水平和资金的使用效益。</w:t>
      </w:r>
    </w:p>
    <w:p>
      <w:pPr>
        <w:pStyle w:val="10"/>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sz w:val="32"/>
          <w:szCs w:val="32"/>
        </w:rPr>
      </w:pPr>
      <w:r>
        <w:rPr>
          <w:rFonts w:hint="eastAsia" w:ascii="仿宋" w:hAnsi="仿宋" w:eastAsia="仿宋" w:cs="仿宋"/>
          <w:kern w:val="2"/>
          <w:sz w:val="32"/>
          <w:szCs w:val="32"/>
          <w:lang w:val="en-US" w:eastAsia="zh-CN" w:bidi="ar-SA"/>
        </w:rPr>
        <w:t>2.促使项目承担单位根据绩效评价中发现的问题，认真加以整改，及时调整和完善单位的工作计划和绩效目标并加强项目管理,提高管理水平,同时为项目后续资金投入、分配和管理提供决策依据。</w:t>
      </w:r>
    </w:p>
    <w:p>
      <w:pPr>
        <w:pStyle w:val="20"/>
        <w:numPr>
          <w:ilvl w:val="0"/>
          <w:numId w:val="0"/>
        </w:numPr>
        <w:ind w:left="630" w:leftChars="0"/>
        <w:rPr>
          <w:rFonts w:ascii="黑体" w:hAnsi="黑体" w:eastAsia="黑体" w:cs="仿宋"/>
          <w:sz w:val="32"/>
          <w:szCs w:val="32"/>
          <w:highlight w:val="none"/>
        </w:rPr>
      </w:pPr>
      <w:r>
        <w:rPr>
          <w:rFonts w:hint="eastAsia" w:ascii="黑体" w:hAnsi="黑体" w:eastAsia="黑体" w:cs="仿宋"/>
          <w:sz w:val="32"/>
          <w:szCs w:val="32"/>
          <w:highlight w:val="none"/>
          <w:lang w:eastAsia="zh-CN"/>
        </w:rPr>
        <w:t>四、</w:t>
      </w:r>
      <w:r>
        <w:rPr>
          <w:rFonts w:hint="eastAsia" w:ascii="黑体" w:hAnsi="黑体" w:eastAsia="黑体" w:cs="仿宋"/>
          <w:sz w:val="32"/>
          <w:szCs w:val="32"/>
          <w:highlight w:val="none"/>
        </w:rPr>
        <w:t>各项绩效目标的实现程度及差异性原因分析</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1.产出指标完成情况分析：已全面完成年初各项预算目标。</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数量指标。1.开展主题宣传活动次数年度绩效指标大于等于3次，2021年度完成80次；2.法律援助案件受理数量年度绩效指标大于等于120件，2021年度内完成197件；3.推选新的民主法治示范村全年实际完成1个；4.人民调解案件总数全年实际完成1960件，高于标准值1800件。</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质量指标。1.刑满释放人员安置帮教率100%；2.购置业务设备合格率2021年度达到100%；3.公共法律服务实施标准覆盖率2021年度已达成100%；4.会议系统等设备保障率2021年度已达成100%；5.司法鉴定机构抽检率2021年度达到10%。</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（3）时效指标。法律文书审查办结率、行政复议案件办结率均达到100%的年度绩效指标；法律援助案件办结率年度绩效指标要求大于等于90%，2021年度达到100%。</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（4）成本指标。业务维修、司法行政机关业务用房和司法所维修成本，均控制在预算确定的成本内。</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2.效益指标完成情况分析。</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（1）经济效益。2021年度展开的宪法知识普及取得显著效果，群众对宪法知识知晓率大于等于85%。</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（2）社会效益。社区矫正人员重新犯罪率达到年度绩效指标0.15%以下，2021年度无重新犯罪人员。</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（3）可持续影响。严格落实民间矛盾纠纷排调制度，健全防范机制，</w:t>
      </w:r>
      <w:r>
        <w:rPr>
          <w:rFonts w:hint="eastAsia" w:ascii="仿宋" w:hAnsi="仿宋" w:eastAsia="仿宋" w:cs="仿宋"/>
          <w:kern w:val="2"/>
          <w:sz w:val="32"/>
          <w:szCs w:val="32"/>
          <w:lang w:val="zh-CN" w:eastAsia="zh-CN" w:bidi="ar-SA"/>
        </w:rPr>
        <w:t>竭力把矛盾纠纷消灭在萌芽状态，因此</w:t>
      </w:r>
      <w:r>
        <w:rPr>
          <w:rFonts w:hint="eastAsia" w:ascii="仿宋" w:hAnsi="仿宋" w:eastAsia="仿宋" w:cs="仿宋"/>
          <w:kern w:val="2"/>
          <w:sz w:val="32"/>
          <w:szCs w:val="32"/>
          <w:lang w:val="en-US" w:eastAsia="zh-CN" w:bidi="ar-SA"/>
        </w:rPr>
        <w:t>调解成功率高达99%；今年以来共办理法律援助案件197件，提供法律咨询2250人次，且案件受援人投诉率在5%以下。</w:t>
      </w:r>
    </w:p>
    <w:p>
      <w:pPr>
        <w:keepNext w:val="0"/>
        <w:keepLines w:val="0"/>
        <w:pageBreakBefore w:val="0"/>
        <w:widowControl w:val="0"/>
        <w:kinsoku/>
        <w:wordWrap/>
        <w:overflowPunct/>
        <w:topLinePunct w:val="0"/>
        <w:autoSpaceDE/>
        <w:autoSpaceDN/>
        <w:bidi w:val="0"/>
        <w:adjustRightInd w:val="0"/>
        <w:snapToGrid/>
        <w:spacing w:line="600" w:lineRule="exact"/>
        <w:ind w:firstLine="64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3.满意度指标完成情况分析。通过进校园、进企业、进单位、进乡村等，宣传法律知识，增强法治观念，推动全县法治建设健康开展，普法宣传对象满意度大于等于90%。</w:t>
      </w:r>
    </w:p>
    <w:p>
      <w:pPr>
        <w:pStyle w:val="20"/>
        <w:keepNext w:val="0"/>
        <w:keepLines w:val="0"/>
        <w:pageBreakBefore w:val="0"/>
        <w:widowControl w:val="0"/>
        <w:numPr>
          <w:ilvl w:val="0"/>
          <w:numId w:val="0"/>
        </w:numPr>
        <w:kinsoku/>
        <w:wordWrap/>
        <w:overflowPunct/>
        <w:topLinePunct w:val="0"/>
        <w:autoSpaceDE/>
        <w:autoSpaceDN/>
        <w:bidi w:val="0"/>
        <w:snapToGrid/>
        <w:spacing w:line="600" w:lineRule="exact"/>
        <w:ind w:firstLine="640" w:firstLineChars="200"/>
        <w:textAlignment w:val="auto"/>
        <w:rPr>
          <w:rFonts w:ascii="黑体" w:hAnsi="黑体" w:eastAsia="黑体" w:cs="仿宋"/>
          <w:sz w:val="32"/>
          <w:szCs w:val="32"/>
          <w:highlight w:val="none"/>
        </w:rPr>
      </w:pPr>
      <w:r>
        <w:rPr>
          <w:rFonts w:hint="eastAsia" w:ascii="仿宋" w:hAnsi="仿宋" w:eastAsia="仿宋" w:cs="仿宋"/>
          <w:kern w:val="2"/>
          <w:sz w:val="32"/>
          <w:szCs w:val="32"/>
          <w:highlight w:val="none"/>
          <w:lang w:val="en-US" w:eastAsia="zh-CN" w:bidi="ar-SA"/>
        </w:rPr>
        <w:t>4.差异性原因分析：支出较慢，部分项目完成后未及时结算资金。</w:t>
      </w:r>
    </w:p>
    <w:p>
      <w:pPr>
        <w:pStyle w:val="20"/>
        <w:numPr>
          <w:ilvl w:val="0"/>
          <w:numId w:val="0"/>
        </w:numPr>
        <w:tabs>
          <w:tab w:val="left" w:pos="1283"/>
        </w:tabs>
        <w:ind w:left="630" w:leftChars="0"/>
        <w:rPr>
          <w:rFonts w:ascii="黑体" w:hAnsi="黑体" w:eastAsia="黑体" w:cs="仿宋"/>
          <w:sz w:val="32"/>
          <w:szCs w:val="32"/>
        </w:rPr>
      </w:pPr>
      <w:r>
        <w:rPr>
          <w:rFonts w:hint="eastAsia" w:ascii="黑体" w:hAnsi="黑体" w:eastAsia="黑体" w:cs="仿宋"/>
          <w:sz w:val="32"/>
          <w:szCs w:val="32"/>
          <w:lang w:eastAsia="zh-CN"/>
        </w:rPr>
        <w:t>五、</w:t>
      </w:r>
      <w:r>
        <w:rPr>
          <w:rFonts w:hint="eastAsia" w:ascii="黑体" w:hAnsi="黑体" w:eastAsia="黑体" w:cs="仿宋"/>
          <w:sz w:val="32"/>
          <w:szCs w:val="32"/>
        </w:rPr>
        <w:t>存在问题</w:t>
      </w:r>
      <w:r>
        <w:rPr>
          <w:rFonts w:hint="eastAsia" w:ascii="黑体" w:hAnsi="黑体" w:eastAsia="黑体" w:cs="仿宋"/>
          <w:sz w:val="32"/>
          <w:szCs w:val="32"/>
          <w:lang w:eastAsia="zh-CN"/>
        </w:rPr>
        <w:t>。</w:t>
      </w:r>
    </w:p>
    <w:p>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firstLine="480" w:firstLineChars="15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（1）对于绩效评价的认识不够深入，把预算绩效简单等同于工作目标、工作考核和业务管理。</w:t>
      </w:r>
    </w:p>
    <w:p>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firstLine="480" w:firstLineChars="15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（2）绩效目标和指标往往根据项目实际完成情况制定，对项目执行过程有效约束不够，存在一定的偏差。</w:t>
      </w:r>
    </w:p>
    <w:p>
      <w:pPr>
        <w:pStyle w:val="20"/>
        <w:numPr>
          <w:ilvl w:val="0"/>
          <w:numId w:val="0"/>
        </w:numPr>
        <w:ind w:left="630" w:leftChars="0"/>
        <w:rPr>
          <w:rFonts w:ascii="黑体" w:hAnsi="黑体" w:eastAsia="黑体" w:cs="仿宋"/>
          <w:sz w:val="32"/>
          <w:szCs w:val="32"/>
        </w:rPr>
      </w:pPr>
      <w:r>
        <w:rPr>
          <w:rFonts w:hint="eastAsia" w:ascii="黑体" w:hAnsi="黑体" w:eastAsia="黑体" w:cs="仿宋"/>
          <w:sz w:val="32"/>
          <w:szCs w:val="32"/>
          <w:lang w:eastAsia="zh-CN"/>
        </w:rPr>
        <w:t>六、</w:t>
      </w:r>
      <w:r>
        <w:rPr>
          <w:rFonts w:hint="eastAsia" w:ascii="黑体" w:hAnsi="黑体" w:eastAsia="黑体" w:cs="仿宋"/>
          <w:sz w:val="32"/>
          <w:szCs w:val="32"/>
        </w:rPr>
        <w:t>采取的纠偏措施及改进绩效管理建议。</w:t>
      </w:r>
    </w:p>
    <w:p>
      <w:pPr>
        <w:keepNext w:val="0"/>
        <w:keepLines w:val="0"/>
        <w:pageBreakBefore w:val="0"/>
        <w:widowControl w:val="0"/>
        <w:kinsoku/>
        <w:wordWrap/>
        <w:overflowPunct/>
        <w:topLinePunct w:val="0"/>
        <w:autoSpaceDE/>
        <w:autoSpaceDN/>
        <w:bidi w:val="0"/>
        <w:adjustRightInd w:val="0"/>
        <w:snapToGrid/>
        <w:spacing w:line="600" w:lineRule="exact"/>
        <w:ind w:firstLine="641"/>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1.进一步健全和完善财务管理制度及内部控制制度，创新管理手段，用新思路、新方法，改进和完善财务管理办法，不断提高财务人员业务水平，进一步加强资金使用规范和效益。</w:t>
      </w:r>
    </w:p>
    <w:p>
      <w:pPr>
        <w:keepNext w:val="0"/>
        <w:keepLines w:val="0"/>
        <w:pageBreakBefore w:val="0"/>
        <w:widowControl w:val="0"/>
        <w:kinsoku/>
        <w:wordWrap/>
        <w:overflowPunct/>
        <w:topLinePunct w:val="0"/>
        <w:autoSpaceDE/>
        <w:autoSpaceDN/>
        <w:bidi w:val="0"/>
        <w:adjustRightInd w:val="0"/>
        <w:snapToGrid/>
        <w:spacing w:line="600" w:lineRule="exact"/>
        <w:ind w:firstLine="641"/>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2.按照财政支出绩效管理的要求，建立科学的财政资金效益考评制度，不断提高财政资金使用管理水平和效率。</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0000000000000000000"/>
    <w:charset w:val="86"/>
    <w:family w:val="modern"/>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新宋体">
    <w:altName w:val="方正书宋_GBK"/>
    <w:panose1 w:val="02010609030101010101"/>
    <w:charset w:val="86"/>
    <w:family w:val="modern"/>
    <w:pitch w:val="default"/>
    <w:sig w:usb0="00000000" w:usb1="00000000" w:usb2="00000006" w:usb3="00000000" w:csb0="00040001" w:csb1="00000000"/>
  </w:font>
  <w:font w:name="微软雅黑">
    <w:altName w:val="方正黑体_GBK"/>
    <w:panose1 w:val="020B0503020204020204"/>
    <w:charset w:val="86"/>
    <w:family w:val="auto"/>
    <w:pitch w:val="default"/>
    <w:sig w:usb0="00000000" w:usb1="00000000" w:usb2="00000016" w:usb3="00000000" w:csb0="0004001F"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Fonts w:ascii="宋体" w:hAnsi="宋体" w:eastAsia="宋体"/>
        <w:sz w:val="28"/>
        <w:szCs w:val="28"/>
      </w:rPr>
    </w:pPr>
    <w:r>
      <w:rPr>
        <w:rStyle w:val="14"/>
        <w:rFonts w:hint="eastAsia" w:ascii="宋体" w:hAnsi="宋体" w:eastAsia="宋体"/>
        <w:sz w:val="28"/>
        <w:szCs w:val="28"/>
      </w:rPr>
      <w:t>-</w:t>
    </w:r>
    <w:r>
      <w:rPr>
        <w:rStyle w:val="14"/>
        <w:rFonts w:ascii="宋体" w:hAnsi="宋体" w:eastAsia="宋体"/>
        <w:sz w:val="28"/>
        <w:szCs w:val="28"/>
      </w:rPr>
      <w:fldChar w:fldCharType="begin"/>
    </w:r>
    <w:r>
      <w:rPr>
        <w:rStyle w:val="14"/>
        <w:rFonts w:ascii="宋体" w:hAnsi="宋体" w:eastAsia="宋体"/>
        <w:sz w:val="28"/>
        <w:szCs w:val="28"/>
      </w:rPr>
      <w:instrText xml:space="preserve">PAGE  </w:instrText>
    </w:r>
    <w:r>
      <w:rPr>
        <w:rStyle w:val="14"/>
        <w:rFonts w:ascii="宋体" w:hAnsi="宋体" w:eastAsia="宋体"/>
        <w:sz w:val="28"/>
        <w:szCs w:val="28"/>
      </w:rPr>
      <w:fldChar w:fldCharType="separate"/>
    </w:r>
    <w:r>
      <w:rPr>
        <w:rStyle w:val="14"/>
        <w:rFonts w:ascii="宋体" w:hAnsi="宋体" w:eastAsia="宋体"/>
        <w:sz w:val="28"/>
        <w:szCs w:val="28"/>
      </w:rPr>
      <w:t>7</w:t>
    </w:r>
    <w:r>
      <w:rPr>
        <w:rStyle w:val="14"/>
        <w:rFonts w:ascii="宋体" w:hAnsi="宋体" w:eastAsia="宋体"/>
        <w:sz w:val="28"/>
        <w:szCs w:val="28"/>
      </w:rPr>
      <w:fldChar w:fldCharType="end"/>
    </w:r>
    <w:r>
      <w:rPr>
        <w:rStyle w:val="14"/>
        <w:rFonts w:hint="eastAsia" w:ascii="宋体" w:hAnsi="宋体" w:eastAsia="宋体"/>
        <w:sz w:val="28"/>
        <w:szCs w:val="28"/>
      </w:rPr>
      <w:t>-</w:t>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A55F3D"/>
    <w:multiLevelType w:val="singleLevel"/>
    <w:tmpl w:val="23A55F3D"/>
    <w:lvl w:ilvl="0" w:tentative="0">
      <w:start w:val="3"/>
      <w:numFmt w:val="chineseCounting"/>
      <w:suff w:val="nothing"/>
      <w:lvlText w:val="（%1）"/>
      <w:lvlJc w:val="left"/>
      <w:pPr>
        <w:ind w:left="480" w:leftChars="0" w:firstLine="0" w:firstLineChars="0"/>
      </w:pPr>
      <w:rPr>
        <w:rFonts w:hint="eastAsia"/>
      </w:rPr>
    </w:lvl>
  </w:abstractNum>
  <w:abstractNum w:abstractNumId="1">
    <w:nsid w:val="2902DDC8"/>
    <w:multiLevelType w:val="singleLevel"/>
    <w:tmpl w:val="2902DDC8"/>
    <w:lvl w:ilvl="0" w:tentative="0">
      <w:start w:val="1"/>
      <w:numFmt w:val="chineseCounting"/>
      <w:suff w:val="nothing"/>
      <w:lvlText w:val="（%1）"/>
      <w:lvlJc w:val="left"/>
      <w:rPr>
        <w:rFonts w:hint="eastAsia"/>
      </w:rPr>
    </w:lvl>
  </w:abstractNum>
  <w:abstractNum w:abstractNumId="2">
    <w:nsid w:val="5EBBBC7F"/>
    <w:multiLevelType w:val="singleLevel"/>
    <w:tmpl w:val="5EBBBC7F"/>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77316DA"/>
    <w:rsid w:val="0C8F0285"/>
    <w:rsid w:val="0F8F6BFC"/>
    <w:rsid w:val="107166F3"/>
    <w:rsid w:val="11921224"/>
    <w:rsid w:val="1B5A7502"/>
    <w:rsid w:val="1C841DE7"/>
    <w:rsid w:val="1FE97AA5"/>
    <w:rsid w:val="28784CE5"/>
    <w:rsid w:val="2B932BBB"/>
    <w:rsid w:val="3791647A"/>
    <w:rsid w:val="3DDF35D7"/>
    <w:rsid w:val="3EC9686C"/>
    <w:rsid w:val="40D31470"/>
    <w:rsid w:val="4201567C"/>
    <w:rsid w:val="449831BC"/>
    <w:rsid w:val="455969D8"/>
    <w:rsid w:val="48725571"/>
    <w:rsid w:val="4BDB04ED"/>
    <w:rsid w:val="4BE447B1"/>
    <w:rsid w:val="51515DF4"/>
    <w:rsid w:val="526A3656"/>
    <w:rsid w:val="53CD5365"/>
    <w:rsid w:val="56680B8D"/>
    <w:rsid w:val="5D643D56"/>
    <w:rsid w:val="64283056"/>
    <w:rsid w:val="68AD219C"/>
    <w:rsid w:val="69BD0A47"/>
    <w:rsid w:val="71A911C9"/>
    <w:rsid w:val="7793669D"/>
    <w:rsid w:val="7A9F42A7"/>
    <w:rsid w:val="7AF900C7"/>
    <w:rsid w:val="7CCC213E"/>
    <w:rsid w:val="DFCA180E"/>
    <w:rsid w:val="F7EFD2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18"/>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footer"/>
    <w:basedOn w:val="1"/>
    <w:next w:val="3"/>
    <w:link w:val="16"/>
    <w:unhideWhenUsed/>
    <w:qFormat/>
    <w:uiPriority w:val="99"/>
    <w:pPr>
      <w:tabs>
        <w:tab w:val="center" w:pos="4153"/>
        <w:tab w:val="right" w:pos="8306"/>
      </w:tabs>
      <w:snapToGrid w:val="0"/>
      <w:jc w:val="left"/>
    </w:pPr>
    <w:rPr>
      <w:sz w:val="18"/>
      <w:szCs w:val="18"/>
    </w:rPr>
  </w:style>
  <w:style w:type="paragraph" w:styleId="3">
    <w:name w:val="Normal Indent"/>
    <w:basedOn w:val="1"/>
    <w:qFormat/>
    <w:uiPriority w:val="0"/>
    <w:pPr>
      <w:ind w:firstLine="420" w:firstLineChars="200"/>
    </w:pPr>
  </w:style>
  <w:style w:type="paragraph" w:styleId="5">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6">
    <w:name w:val="Body Text Indent"/>
    <w:basedOn w:val="1"/>
    <w:qFormat/>
    <w:uiPriority w:val="0"/>
    <w:pPr>
      <w:spacing w:after="120"/>
      <w:ind w:left="420" w:leftChars="200"/>
    </w:pPr>
  </w:style>
  <w:style w:type="paragraph" w:styleId="7">
    <w:name w:val="Plain Text"/>
    <w:basedOn w:val="1"/>
    <w:link w:val="17"/>
    <w:qFormat/>
    <w:uiPriority w:val="0"/>
    <w:rPr>
      <w:rFonts w:ascii="宋体" w:hAnsi="Courier New" w:eastAsia="宋体" w:cs="Courier New"/>
      <w:szCs w:val="21"/>
    </w:rPr>
  </w:style>
  <w:style w:type="paragraph" w:styleId="8">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2"/>
    <w:basedOn w:val="6"/>
    <w:qFormat/>
    <w:uiPriority w:val="0"/>
    <w:pPr>
      <w:ind w:firstLine="420" w:firstLineChars="200"/>
    </w:pPr>
  </w:style>
  <w:style w:type="character" w:styleId="13">
    <w:name w:val="Strong"/>
    <w:basedOn w:val="12"/>
    <w:qFormat/>
    <w:uiPriority w:val="22"/>
    <w:rPr>
      <w:b/>
      <w:bCs/>
    </w:rPr>
  </w:style>
  <w:style w:type="character" w:styleId="14">
    <w:name w:val="page number"/>
    <w:basedOn w:val="12"/>
    <w:semiHidden/>
    <w:unhideWhenUsed/>
    <w:qFormat/>
    <w:uiPriority w:val="99"/>
  </w:style>
  <w:style w:type="character" w:customStyle="1" w:styleId="15">
    <w:name w:val="页眉 Char"/>
    <w:basedOn w:val="12"/>
    <w:link w:val="8"/>
    <w:qFormat/>
    <w:uiPriority w:val="99"/>
    <w:rPr>
      <w:sz w:val="18"/>
      <w:szCs w:val="18"/>
    </w:rPr>
  </w:style>
  <w:style w:type="character" w:customStyle="1" w:styleId="16">
    <w:name w:val="页脚 Char"/>
    <w:basedOn w:val="12"/>
    <w:link w:val="2"/>
    <w:qFormat/>
    <w:uiPriority w:val="99"/>
    <w:rPr>
      <w:sz w:val="18"/>
      <w:szCs w:val="18"/>
    </w:rPr>
  </w:style>
  <w:style w:type="character" w:customStyle="1" w:styleId="17">
    <w:name w:val="纯文本 Char"/>
    <w:basedOn w:val="12"/>
    <w:link w:val="7"/>
    <w:qFormat/>
    <w:uiPriority w:val="0"/>
    <w:rPr>
      <w:rFonts w:ascii="宋体" w:hAnsi="Courier New" w:eastAsia="宋体" w:cs="Courier New"/>
      <w:szCs w:val="21"/>
    </w:rPr>
  </w:style>
  <w:style w:type="character" w:customStyle="1" w:styleId="18">
    <w:name w:val="标题 1 Char"/>
    <w:basedOn w:val="12"/>
    <w:link w:val="4"/>
    <w:qFormat/>
    <w:uiPriority w:val="9"/>
    <w:rPr>
      <w:rFonts w:ascii="宋体" w:hAnsi="宋体" w:eastAsia="宋体" w:cs="宋体"/>
      <w:b/>
      <w:kern w:val="44"/>
      <w:sz w:val="48"/>
      <w:szCs w:val="48"/>
    </w:rPr>
  </w:style>
  <w:style w:type="character" w:customStyle="1" w:styleId="19">
    <w:name w:val="font31"/>
    <w:basedOn w:val="12"/>
    <w:qFormat/>
    <w:uiPriority w:val="0"/>
    <w:rPr>
      <w:rFonts w:hint="eastAsia" w:ascii="宋体" w:hAnsi="宋体" w:eastAsia="宋体" w:cs="宋体"/>
      <w:b/>
      <w:color w:val="000000"/>
      <w:sz w:val="36"/>
      <w:szCs w:val="36"/>
      <w:u w:val="none"/>
    </w:rPr>
  </w:style>
  <w:style w:type="paragraph" w:styleId="20">
    <w:name w:val="List Paragraph"/>
    <w:basedOn w:val="1"/>
    <w:unhideWhenUsed/>
    <w:qFormat/>
    <w:uiPriority w:val="99"/>
    <w:pPr>
      <w:ind w:firstLine="420" w:firstLineChars="200"/>
    </w:pPr>
  </w:style>
  <w:style w:type="paragraph" w:customStyle="1" w:styleId="2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17</Pages>
  <Words>9493</Words>
  <Characters>10128</Characters>
  <Lines>40</Lines>
  <Paragraphs>11</Paragraphs>
  <TotalTime>14</TotalTime>
  <ScaleCrop>false</ScaleCrop>
  <LinksUpToDate>false</LinksUpToDate>
  <CharactersWithSpaces>10485</CharactersWithSpaces>
  <Application>WPS Office_11.8.2.10505_F1E327BC-269C-435d-A152-05C5408002CA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2016-02-22T23:07:00Z</dcterms:created>
  <dc:creator>Administrator</dc:creator>
  <cp:lastModifiedBy>HUAWEI</cp:lastModifiedBy>
  <cp:lastPrinted>2018-11-29T19:23:00Z</cp:lastPrinted>
  <dcterms:modified xsi:type="dcterms:W3CDTF">2025-04-09T11:11:26Z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2052-11.8.2.10505</vt:lpwstr>
  </property>
  <property fmtid="{D5CDD505-2E9C-101B-9397-08002B2CF9AE}" pid="3" name="ICV">
    <vt:lpwstr>C6CB504E115B44DEA1DF9FF036706876</vt:lpwstr>
  </property>
</Properties>
</file>