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CD99FFD">
      <w:pPr>
        <w:widowControl/>
        <w:spacing w:line="400" w:lineRule="exact"/>
        <w:jc w:val="left"/>
        <w:rPr>
          <w:rFonts w:ascii="仿宋" w:hAnsi="仿宋" w:eastAsia="仿宋" w:cs="仿宋"/>
          <w:kern w:val="0"/>
          <w:sz w:val="32"/>
          <w:szCs w:val="32"/>
          <w:shd w:val="clear" w:color="auto" w:fill="FFFFFF"/>
        </w:rPr>
      </w:pPr>
      <w:r>
        <w:rPr>
          <w:rFonts w:hint="eastAsia" w:ascii="仿宋" w:hAnsi="仿宋" w:eastAsia="仿宋" w:cs="仿宋"/>
          <w:kern w:val="0"/>
          <w:sz w:val="32"/>
          <w:szCs w:val="32"/>
          <w:shd w:val="clear" w:color="auto" w:fill="FFFFFF"/>
        </w:rPr>
        <w:t xml:space="preserve">  附件4：</w:t>
      </w:r>
    </w:p>
    <w:p w14:paraId="78821FFD">
      <w:pPr>
        <w:spacing w:line="480" w:lineRule="exact"/>
        <w:jc w:val="center"/>
        <w:rPr>
          <w:rFonts w:ascii="宋体" w:hAnsi="宋体"/>
          <w:b/>
          <w:sz w:val="44"/>
          <w:szCs w:val="44"/>
        </w:rPr>
      </w:pPr>
      <w:r>
        <w:rPr>
          <w:rFonts w:hint="eastAsia" w:ascii="宋体" w:hAnsi="宋体"/>
          <w:b/>
          <w:sz w:val="44"/>
          <w:szCs w:val="44"/>
        </w:rPr>
        <w:t>隆尧县</w:t>
      </w:r>
      <w:r>
        <w:rPr>
          <w:rFonts w:hint="eastAsia" w:ascii="宋体" w:hAnsi="宋体"/>
          <w:b/>
          <w:sz w:val="44"/>
          <w:szCs w:val="44"/>
          <w:lang w:eastAsia="zh-CN"/>
        </w:rPr>
        <w:t>委老干部局</w:t>
      </w:r>
      <w:r>
        <w:rPr>
          <w:rFonts w:hint="eastAsia" w:ascii="宋体" w:hAnsi="宋体"/>
          <w:b/>
          <w:sz w:val="44"/>
          <w:szCs w:val="44"/>
        </w:rPr>
        <w:t>2021年</w:t>
      </w:r>
    </w:p>
    <w:p w14:paraId="1FAAD488">
      <w:pPr>
        <w:spacing w:line="480" w:lineRule="exact"/>
        <w:jc w:val="center"/>
        <w:rPr>
          <w:rFonts w:ascii="宋体" w:hAnsi="宋体" w:eastAsia="宋体" w:cs="宋体"/>
          <w:b/>
          <w:color w:val="000000"/>
          <w:kern w:val="0"/>
          <w:sz w:val="44"/>
          <w:szCs w:val="44"/>
          <w:shd w:val="clear" w:color="auto" w:fill="FFFFFF"/>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rPr>
        <w:t>指标体系评分表</w:t>
      </w:r>
    </w:p>
    <w:p w14:paraId="742346F1">
      <w:pPr>
        <w:spacing w:line="480" w:lineRule="exact"/>
        <w:jc w:val="left"/>
        <w:rPr>
          <w:rFonts w:ascii="仿宋" w:hAnsi="仿宋" w:eastAsia="仿宋" w:cs="仿宋"/>
          <w:sz w:val="24"/>
          <w:szCs w:val="24"/>
        </w:rPr>
      </w:pPr>
      <w:r>
        <w:rPr>
          <w:rFonts w:hint="eastAsia" w:ascii="仿宋" w:hAnsi="仿宋" w:eastAsia="仿宋" w:cs="仿宋"/>
          <w:sz w:val="24"/>
          <w:szCs w:val="24"/>
        </w:rPr>
        <w:t>单位名称:</w:t>
      </w:r>
      <w:r>
        <w:rPr>
          <w:rFonts w:hint="eastAsia" w:ascii="仿宋" w:hAnsi="仿宋" w:eastAsia="仿宋" w:cs="仿宋"/>
          <w:sz w:val="24"/>
          <w:szCs w:val="24"/>
          <w:lang w:eastAsia="zh-CN"/>
        </w:rPr>
        <w:t>隆尧县委老干部局</w:t>
      </w:r>
      <w:r>
        <w:rPr>
          <w:rFonts w:hint="eastAsia" w:ascii="仿宋" w:hAnsi="仿宋" w:eastAsia="仿宋" w:cs="仿宋"/>
          <w:sz w:val="24"/>
          <w:szCs w:val="24"/>
        </w:rPr>
        <w:t xml:space="preserve"> (公章)         单位负责人:          </w:t>
      </w:r>
    </w:p>
    <w:tbl>
      <w:tblPr>
        <w:tblStyle w:val="8"/>
        <w:tblW w:w="960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817"/>
        <w:gridCol w:w="851"/>
        <w:gridCol w:w="1559"/>
        <w:gridCol w:w="3260"/>
        <w:gridCol w:w="2552"/>
        <w:gridCol w:w="567"/>
      </w:tblGrid>
      <w:tr w14:paraId="2E44CC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4FBD390">
            <w:pPr>
              <w:widowControl/>
              <w:spacing w:line="240" w:lineRule="exact"/>
              <w:jc w:val="center"/>
              <w:rPr>
                <w:b/>
              </w:rPr>
            </w:pPr>
            <w:r>
              <w:rPr>
                <w:rFonts w:ascii="仿宋_GB2312" w:hAnsi="新宋体" w:eastAsia="仿宋_GB2312" w:cs="仿宋_GB2312"/>
                <w:b/>
                <w:kern w:val="0"/>
                <w:sz w:val="24"/>
                <w:szCs w:val="24"/>
              </w:rPr>
              <w:t>一级指标</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362ED8F4">
            <w:pPr>
              <w:widowControl/>
              <w:spacing w:line="240" w:lineRule="exact"/>
              <w:jc w:val="center"/>
              <w:rPr>
                <w:b/>
              </w:rPr>
            </w:pPr>
            <w:r>
              <w:rPr>
                <w:rFonts w:ascii="仿宋_GB2312" w:hAnsi="新宋体" w:eastAsia="仿宋_GB2312" w:cs="仿宋_GB2312"/>
                <w:b/>
                <w:kern w:val="0"/>
                <w:sz w:val="24"/>
                <w:szCs w:val="24"/>
              </w:rPr>
              <w:t>二级指标</w:t>
            </w:r>
          </w:p>
        </w:tc>
        <w:tc>
          <w:tcPr>
            <w:tcW w:w="4819" w:type="dxa"/>
            <w:gridSpan w:val="2"/>
            <w:tcBorders>
              <w:top w:val="single" w:color="000000" w:sz="4" w:space="0"/>
              <w:left w:val="single" w:color="000000" w:sz="4" w:space="0"/>
              <w:bottom w:val="single" w:color="000000" w:sz="4" w:space="0"/>
              <w:right w:val="single" w:color="auto" w:sz="4" w:space="0"/>
            </w:tcBorders>
            <w:vAlign w:val="center"/>
          </w:tcPr>
          <w:p w14:paraId="4D2C6464">
            <w:pPr>
              <w:widowControl/>
              <w:spacing w:line="240" w:lineRule="exact"/>
              <w:jc w:val="center"/>
              <w:rPr>
                <w:b/>
              </w:rPr>
            </w:pPr>
            <w:r>
              <w:rPr>
                <w:rFonts w:ascii="仿宋_GB2312" w:hAnsi="新宋体" w:eastAsia="仿宋_GB2312" w:cs="仿宋_GB2312"/>
                <w:b/>
                <w:kern w:val="0"/>
                <w:sz w:val="24"/>
                <w:szCs w:val="24"/>
              </w:rPr>
              <w:t>三级指标</w:t>
            </w:r>
          </w:p>
        </w:tc>
        <w:tc>
          <w:tcPr>
            <w:tcW w:w="2552" w:type="dxa"/>
            <w:vMerge w:val="restart"/>
            <w:tcBorders>
              <w:top w:val="single" w:color="000000" w:sz="4" w:space="0"/>
              <w:left w:val="single" w:color="auto" w:sz="4" w:space="0"/>
              <w:bottom w:val="single" w:color="000000" w:sz="4" w:space="0"/>
              <w:right w:val="single" w:color="auto" w:sz="4" w:space="0"/>
            </w:tcBorders>
            <w:vAlign w:val="center"/>
          </w:tcPr>
          <w:p w14:paraId="0EFCF3F4">
            <w:pPr>
              <w:widowControl/>
              <w:spacing w:line="240" w:lineRule="exact"/>
              <w:jc w:val="center"/>
              <w:rPr>
                <w:b/>
              </w:rPr>
            </w:pPr>
            <w:r>
              <w:rPr>
                <w:rFonts w:ascii="仿宋_GB2312" w:hAnsi="新宋体" w:eastAsia="仿宋_GB2312" w:cs="仿宋_GB2312"/>
                <w:b/>
                <w:kern w:val="0"/>
                <w:sz w:val="24"/>
                <w:szCs w:val="24"/>
              </w:rPr>
              <w:t>评分标准</w:t>
            </w:r>
          </w:p>
        </w:tc>
        <w:tc>
          <w:tcPr>
            <w:tcW w:w="567" w:type="dxa"/>
            <w:vMerge w:val="restart"/>
            <w:tcBorders>
              <w:top w:val="single" w:color="000000" w:sz="4" w:space="0"/>
              <w:left w:val="single" w:color="auto" w:sz="4" w:space="0"/>
              <w:bottom w:val="single" w:color="000000" w:sz="4" w:space="0"/>
              <w:right w:val="single" w:color="auto" w:sz="4" w:space="0"/>
            </w:tcBorders>
            <w:vAlign w:val="center"/>
          </w:tcPr>
          <w:p w14:paraId="5C7012B3">
            <w:pPr>
              <w:widowControl/>
              <w:spacing w:line="240" w:lineRule="exact"/>
              <w:jc w:val="left"/>
              <w:rPr>
                <w:b/>
              </w:rPr>
            </w:pPr>
            <w:r>
              <w:rPr>
                <w:rFonts w:ascii="仿宋_GB2312" w:hAnsi="新宋体" w:eastAsia="仿宋_GB2312" w:cs="仿宋_GB2312"/>
                <w:b/>
                <w:kern w:val="0"/>
                <w:sz w:val="24"/>
                <w:szCs w:val="24"/>
              </w:rPr>
              <w:t>得分</w:t>
            </w:r>
          </w:p>
        </w:tc>
      </w:tr>
      <w:tr w14:paraId="1A3DC1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076AA4A">
            <w:pPr>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E0B76BD">
            <w:pPr>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69CADC15">
            <w:pPr>
              <w:widowControl/>
              <w:spacing w:line="240" w:lineRule="exact"/>
              <w:jc w:val="center"/>
              <w:rPr>
                <w:b/>
              </w:rPr>
            </w:pPr>
            <w:r>
              <w:rPr>
                <w:rFonts w:ascii="仿宋_GB2312" w:hAnsi="新宋体" w:eastAsia="仿宋_GB2312" w:cs="仿宋_GB2312"/>
                <w:b/>
                <w:kern w:val="0"/>
                <w:sz w:val="24"/>
                <w:szCs w:val="24"/>
              </w:rPr>
              <w:t>指标名称</w:t>
            </w:r>
          </w:p>
        </w:tc>
        <w:tc>
          <w:tcPr>
            <w:tcW w:w="3260" w:type="dxa"/>
            <w:tcBorders>
              <w:top w:val="single" w:color="000000" w:sz="4" w:space="0"/>
              <w:left w:val="single" w:color="auto" w:sz="4" w:space="0"/>
              <w:bottom w:val="single" w:color="000000" w:sz="4" w:space="0"/>
              <w:right w:val="single" w:color="auto" w:sz="4" w:space="0"/>
            </w:tcBorders>
            <w:vAlign w:val="center"/>
          </w:tcPr>
          <w:p w14:paraId="00EC8F0E">
            <w:pPr>
              <w:widowControl/>
              <w:spacing w:line="240" w:lineRule="exact"/>
              <w:jc w:val="center"/>
              <w:rPr>
                <w:b/>
              </w:rPr>
            </w:pPr>
            <w:r>
              <w:rPr>
                <w:rFonts w:ascii="仿宋_GB2312" w:hAnsi="新宋体" w:eastAsia="仿宋_GB2312" w:cs="仿宋_GB2312"/>
                <w:b/>
                <w:kern w:val="0"/>
                <w:sz w:val="24"/>
                <w:szCs w:val="24"/>
              </w:rPr>
              <w:t>指标解释说明</w:t>
            </w:r>
          </w:p>
        </w:tc>
        <w:tc>
          <w:tcPr>
            <w:tcW w:w="2552" w:type="dxa"/>
            <w:vMerge w:val="continue"/>
            <w:tcBorders>
              <w:top w:val="single" w:color="000000" w:sz="4" w:space="0"/>
              <w:left w:val="single" w:color="auto" w:sz="4" w:space="0"/>
              <w:bottom w:val="single" w:color="000000" w:sz="4" w:space="0"/>
              <w:right w:val="single" w:color="auto" w:sz="4" w:space="0"/>
            </w:tcBorders>
            <w:vAlign w:val="center"/>
          </w:tcPr>
          <w:p w14:paraId="7BB336AA">
            <w:pPr>
              <w:rPr>
                <w:rFonts w:ascii="宋体"/>
                <w:szCs w:val="21"/>
              </w:rPr>
            </w:pPr>
          </w:p>
        </w:tc>
        <w:tc>
          <w:tcPr>
            <w:tcW w:w="567" w:type="dxa"/>
            <w:vMerge w:val="continue"/>
            <w:tcBorders>
              <w:top w:val="single" w:color="000000" w:sz="4" w:space="0"/>
              <w:left w:val="single" w:color="auto" w:sz="4" w:space="0"/>
              <w:bottom w:val="single" w:color="000000" w:sz="4" w:space="0"/>
              <w:right w:val="single" w:color="auto" w:sz="4" w:space="0"/>
            </w:tcBorders>
            <w:vAlign w:val="center"/>
          </w:tcPr>
          <w:p w14:paraId="17A391C2">
            <w:pPr>
              <w:rPr>
                <w:rFonts w:ascii="宋体"/>
                <w:szCs w:val="21"/>
              </w:rPr>
            </w:pPr>
          </w:p>
        </w:tc>
      </w:tr>
      <w:tr w14:paraId="16D803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67" w:hRule="atLeast"/>
        </w:trPr>
        <w:tc>
          <w:tcPr>
            <w:tcW w:w="9039" w:type="dxa"/>
            <w:gridSpan w:val="5"/>
            <w:tcBorders>
              <w:top w:val="single" w:color="000000" w:sz="4" w:space="0"/>
              <w:left w:val="single" w:color="000000" w:sz="4" w:space="0"/>
              <w:bottom w:val="single" w:color="000000" w:sz="4" w:space="0"/>
              <w:right w:val="single" w:color="auto" w:sz="4" w:space="0"/>
            </w:tcBorders>
            <w:vAlign w:val="center"/>
          </w:tcPr>
          <w:p w14:paraId="68158ABE">
            <w:pPr>
              <w:widowControl/>
              <w:spacing w:line="240" w:lineRule="exact"/>
              <w:jc w:val="center"/>
              <w:rPr>
                <w:rFonts w:ascii="仿宋_GB2312" w:hAnsi="新宋体" w:eastAsia="仿宋_GB2312" w:cs="仿宋_GB2312"/>
                <w:b/>
                <w:kern w:val="0"/>
                <w:sz w:val="24"/>
                <w:szCs w:val="24"/>
              </w:rPr>
            </w:pPr>
            <w:r>
              <w:rPr>
                <w:rFonts w:hint="eastAsia" w:ascii="仿宋_GB2312" w:hAnsi="新宋体" w:eastAsia="仿宋_GB2312" w:cs="仿宋_GB2312"/>
                <w:b/>
                <w:kern w:val="0"/>
                <w:sz w:val="24"/>
                <w:szCs w:val="24"/>
              </w:rPr>
              <w:t>自评总分</w:t>
            </w:r>
          </w:p>
        </w:tc>
        <w:tc>
          <w:tcPr>
            <w:tcW w:w="567" w:type="dxa"/>
            <w:tcBorders>
              <w:top w:val="single" w:color="000000" w:sz="4" w:space="0"/>
              <w:left w:val="single" w:color="auto" w:sz="4" w:space="0"/>
              <w:bottom w:val="single" w:color="auto" w:sz="4" w:space="0"/>
              <w:right w:val="single" w:color="000000" w:sz="4" w:space="0"/>
            </w:tcBorders>
            <w:vAlign w:val="center"/>
          </w:tcPr>
          <w:p w14:paraId="677264B1">
            <w:pPr>
              <w:widowControl/>
              <w:spacing w:line="240" w:lineRule="exact"/>
              <w:jc w:val="left"/>
              <w:rPr>
                <w:rFonts w:hint="default" w:eastAsiaTheme="minorEastAsia"/>
                <w:szCs w:val="21"/>
                <w:lang w:val="en-US" w:eastAsia="zh-CN"/>
              </w:rPr>
            </w:pPr>
            <w:r>
              <w:rPr>
                <w:rFonts w:hint="eastAsia"/>
                <w:szCs w:val="21"/>
                <w:lang w:val="en-US" w:eastAsia="zh-CN"/>
              </w:rPr>
              <w:t>95</w:t>
            </w:r>
          </w:p>
        </w:tc>
      </w:tr>
      <w:tr w14:paraId="35C0341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29"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76D8D72F">
            <w:pPr>
              <w:widowControl/>
              <w:spacing w:line="240" w:lineRule="exact"/>
              <w:jc w:val="left"/>
              <w:rPr>
                <w:szCs w:val="21"/>
              </w:rPr>
            </w:pPr>
            <w:r>
              <w:rPr>
                <w:rFonts w:ascii="仿宋_GB2312" w:hAnsi="新宋体" w:eastAsia="仿宋_GB2312" w:cs="仿宋_GB2312"/>
                <w:kern w:val="0"/>
                <w:szCs w:val="21"/>
              </w:rPr>
              <w:t>投入（1</w:t>
            </w:r>
            <w:r>
              <w:rPr>
                <w:rFonts w:hint="eastAsia" w:ascii="仿宋_GB2312" w:hAnsi="新宋体" w:eastAsia="仿宋_GB2312" w:cs="仿宋_GB2312"/>
                <w:kern w:val="0"/>
                <w:szCs w:val="21"/>
              </w:rPr>
              <w:t>0分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4953EFA4">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绩效</w:t>
            </w:r>
            <w:r>
              <w:rPr>
                <w:rFonts w:ascii="仿宋_GB2312" w:hAnsi="新宋体" w:eastAsia="仿宋_GB2312" w:cs="仿宋_GB2312"/>
                <w:kern w:val="0"/>
                <w:szCs w:val="21"/>
              </w:rPr>
              <w:t>目标设定</w:t>
            </w:r>
            <w:r>
              <w:rPr>
                <w:rFonts w:hint="eastAsia" w:ascii="仿宋_GB2312" w:hAnsi="新宋体" w:eastAsia="仿宋_GB2312" w:cs="仿宋_GB2312"/>
                <w:kern w:val="0"/>
                <w:szCs w:val="21"/>
              </w:rPr>
              <w:t>情</w:t>
            </w:r>
          </w:p>
          <w:p w14:paraId="55410EC3">
            <w:pPr>
              <w:widowControl/>
              <w:spacing w:line="240" w:lineRule="exact"/>
              <w:jc w:val="left"/>
              <w:rPr>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3FDB6373">
            <w:pPr>
              <w:widowControl/>
              <w:spacing w:line="240" w:lineRule="exact"/>
              <w:jc w:val="left"/>
              <w:rPr>
                <w:rFonts w:ascii="仿宋_GB2312" w:hAnsi="新宋体" w:eastAsia="仿宋_GB2312" w:cs="仿宋_GB2312"/>
                <w:kern w:val="0"/>
                <w:szCs w:val="21"/>
              </w:rPr>
            </w:pPr>
          </w:p>
          <w:p w14:paraId="5EA89A9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职责明确</w:t>
            </w:r>
          </w:p>
          <w:p w14:paraId="001E5C81">
            <w:pPr>
              <w:widowControl/>
              <w:spacing w:line="240" w:lineRule="exact"/>
              <w:jc w:val="left"/>
              <w:rPr>
                <w:szCs w:val="21"/>
              </w:rPr>
            </w:pPr>
            <w:r>
              <w:rPr>
                <w:rFonts w:ascii="仿宋_GB2312" w:hAnsi="新宋体" w:eastAsia="仿宋_GB2312" w:cs="仿宋_GB2312"/>
                <w:kern w:val="0"/>
                <w:szCs w:val="21"/>
              </w:rPr>
              <w:t>（1</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77A359B4">
            <w:pPr>
              <w:widowControl/>
              <w:spacing w:line="240" w:lineRule="exact"/>
              <w:jc w:val="left"/>
              <w:rPr>
                <w:szCs w:val="21"/>
              </w:rPr>
            </w:pPr>
            <w:r>
              <w:rPr>
                <w:rFonts w:ascii="仿宋_GB2312" w:hAnsi="新宋体" w:eastAsia="仿宋_GB2312" w:cs="仿宋_GB2312"/>
                <w:kern w:val="0"/>
                <w:szCs w:val="21"/>
              </w:rPr>
              <w:t>部门的职责设定是否符合“三定”方案中所赋予的职责，用以反映和评价部门工作的目的性与计划性。</w:t>
            </w:r>
          </w:p>
        </w:tc>
        <w:tc>
          <w:tcPr>
            <w:tcW w:w="2552" w:type="dxa"/>
            <w:tcBorders>
              <w:top w:val="single" w:color="000000" w:sz="4" w:space="0"/>
              <w:left w:val="single" w:color="auto" w:sz="4" w:space="0"/>
              <w:bottom w:val="single" w:color="auto" w:sz="4" w:space="0"/>
              <w:right w:val="single" w:color="auto" w:sz="4" w:space="0"/>
            </w:tcBorders>
            <w:vAlign w:val="center"/>
          </w:tcPr>
          <w:p w14:paraId="366A357E">
            <w:pPr>
              <w:widowControl/>
              <w:spacing w:line="240" w:lineRule="exact"/>
              <w:jc w:val="left"/>
              <w:rPr>
                <w:szCs w:val="21"/>
              </w:rPr>
            </w:pPr>
            <w:r>
              <w:rPr>
                <w:rFonts w:ascii="仿宋_GB2312" w:hAnsi="新宋体" w:eastAsia="仿宋_GB2312" w:cs="仿宋_GB2312"/>
                <w:kern w:val="0"/>
                <w:szCs w:val="21"/>
              </w:rPr>
              <w:t>符合（1）；</w:t>
            </w:r>
          </w:p>
          <w:p w14:paraId="4A590FD9">
            <w:pPr>
              <w:widowControl/>
              <w:spacing w:line="240" w:lineRule="exact"/>
              <w:jc w:val="left"/>
              <w:rPr>
                <w:szCs w:val="21"/>
              </w:rPr>
            </w:pPr>
            <w:r>
              <w:rPr>
                <w:rFonts w:ascii="仿宋_GB2312" w:hAnsi="新宋体" w:eastAsia="仿宋_GB2312" w:cs="仿宋_GB2312"/>
                <w:kern w:val="0"/>
                <w:szCs w:val="21"/>
              </w:rPr>
              <w:t>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12DF14DE">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497853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535"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D6CE95B">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0948F85">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61D5EDD2">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活动合规性</w:t>
            </w:r>
          </w:p>
          <w:p w14:paraId="1433EA06">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61A9090C">
            <w:pPr>
              <w:widowControl/>
              <w:spacing w:line="240" w:lineRule="exact"/>
              <w:jc w:val="left"/>
              <w:rPr>
                <w:szCs w:val="21"/>
              </w:rPr>
            </w:pPr>
            <w:r>
              <w:rPr>
                <w:rFonts w:ascii="仿宋_GB2312" w:hAnsi="新宋体" w:eastAsia="仿宋_GB2312" w:cs="仿宋_GB2312"/>
                <w:kern w:val="0"/>
                <w:szCs w:val="21"/>
              </w:rPr>
              <w:t>部门的活动是否在职责范围之内并符合部门中长期规划，用以反映和评价部门活动目标与部门履职、年度工作任务的相符性情况。</w:t>
            </w:r>
          </w:p>
          <w:p w14:paraId="32A4D8E4">
            <w:pPr>
              <w:widowControl/>
              <w:spacing w:line="240" w:lineRule="exact"/>
              <w:jc w:val="left"/>
              <w:rPr>
                <w:szCs w:val="21"/>
              </w:rPr>
            </w:pPr>
            <w:r>
              <w:rPr>
                <w:rFonts w:ascii="仿宋_GB2312" w:hAnsi="新宋体" w:eastAsia="仿宋_GB2312" w:cs="仿宋_GB2312"/>
                <w:kern w:val="0"/>
                <w:szCs w:val="21"/>
              </w:rPr>
              <w:t>评价要点：</w:t>
            </w:r>
          </w:p>
          <w:p w14:paraId="7E7F551C">
            <w:pPr>
              <w:widowControl/>
              <w:spacing w:line="240" w:lineRule="exact"/>
              <w:jc w:val="left"/>
              <w:rPr>
                <w:szCs w:val="21"/>
              </w:rPr>
            </w:pPr>
            <w:r>
              <w:rPr>
                <w:rFonts w:ascii="仿宋_GB2312" w:hAnsi="新宋体" w:eastAsia="仿宋_GB2312" w:cs="仿宋_GB2312"/>
                <w:kern w:val="0"/>
                <w:szCs w:val="21"/>
              </w:rPr>
              <w:t>1.部门活动的设定在部门所确定的职责范围之内；</w:t>
            </w:r>
          </w:p>
          <w:p w14:paraId="42DCE481">
            <w:pPr>
              <w:widowControl/>
              <w:spacing w:line="240" w:lineRule="exact"/>
              <w:jc w:val="left"/>
              <w:rPr>
                <w:szCs w:val="21"/>
              </w:rPr>
            </w:pPr>
            <w:r>
              <w:rPr>
                <w:rFonts w:ascii="仿宋_GB2312" w:hAnsi="新宋体" w:eastAsia="仿宋_GB2312" w:cs="仿宋_GB2312"/>
                <w:kern w:val="0"/>
                <w:szCs w:val="21"/>
              </w:rPr>
              <w:t>2.部门活动符合</w:t>
            </w:r>
            <w:r>
              <w:rPr>
                <w:rFonts w:hint="eastAsia" w:ascii="仿宋_GB2312" w:hAnsi="新宋体" w:eastAsia="仿宋_GB2312" w:cs="仿宋_GB2312"/>
                <w:kern w:val="0"/>
                <w:szCs w:val="21"/>
              </w:rPr>
              <w:t>市</w:t>
            </w:r>
            <w:r>
              <w:rPr>
                <w:rFonts w:ascii="仿宋_GB2312" w:hAnsi="新宋体" w:eastAsia="仿宋_GB2312" w:cs="仿宋_GB2312"/>
                <w:kern w:val="0"/>
                <w:szCs w:val="21"/>
              </w:rPr>
              <w:t>委、</w:t>
            </w:r>
            <w:r>
              <w:rPr>
                <w:rFonts w:hint="eastAsia" w:ascii="仿宋_GB2312" w:hAnsi="新宋体" w:eastAsia="仿宋_GB2312" w:cs="仿宋_GB2312"/>
                <w:kern w:val="0"/>
                <w:szCs w:val="21"/>
              </w:rPr>
              <w:t>市</w:t>
            </w:r>
            <w:r>
              <w:rPr>
                <w:rFonts w:ascii="仿宋_GB2312" w:hAnsi="新宋体" w:eastAsia="仿宋_GB2312" w:cs="仿宋_GB2312"/>
                <w:kern w:val="0"/>
                <w:szCs w:val="21"/>
              </w:rPr>
              <w:t>政府的发展规划及本部门的年度工作安排与发展规划。</w:t>
            </w:r>
          </w:p>
        </w:tc>
        <w:tc>
          <w:tcPr>
            <w:tcW w:w="2552" w:type="dxa"/>
            <w:tcBorders>
              <w:top w:val="single" w:color="000000" w:sz="4" w:space="0"/>
              <w:left w:val="single" w:color="auto" w:sz="4" w:space="0"/>
              <w:bottom w:val="single" w:color="auto" w:sz="4" w:space="0"/>
              <w:right w:val="single" w:color="auto" w:sz="4" w:space="0"/>
            </w:tcBorders>
            <w:vAlign w:val="center"/>
          </w:tcPr>
          <w:p w14:paraId="682F5E7F">
            <w:pPr>
              <w:widowControl/>
              <w:spacing w:line="240" w:lineRule="exact"/>
              <w:jc w:val="left"/>
              <w:rPr>
                <w:szCs w:val="21"/>
              </w:rPr>
            </w:pPr>
            <w:r>
              <w:rPr>
                <w:rFonts w:ascii="仿宋_GB2312" w:hAnsi="新宋体" w:eastAsia="仿宋_GB2312" w:cs="仿宋_GB2312"/>
                <w:kern w:val="0"/>
                <w:szCs w:val="21"/>
              </w:rPr>
              <w:t>全部符合（2）；</w:t>
            </w:r>
          </w:p>
          <w:p w14:paraId="39A2AF9B">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3EB95422">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1552F20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270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4D9A95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6A0F4ACE">
            <w:pPr>
              <w:spacing w:line="240" w:lineRule="exact"/>
              <w:rPr>
                <w:rFonts w:ascii="宋体"/>
                <w:szCs w:val="21"/>
              </w:rPr>
            </w:pPr>
          </w:p>
        </w:tc>
        <w:tc>
          <w:tcPr>
            <w:tcW w:w="1559" w:type="dxa"/>
            <w:tcBorders>
              <w:top w:val="single" w:color="000000" w:sz="4" w:space="0"/>
              <w:left w:val="single" w:color="000000" w:sz="4" w:space="0"/>
              <w:bottom w:val="single" w:color="auto" w:sz="4" w:space="0"/>
              <w:right w:val="single" w:color="auto" w:sz="4" w:space="0"/>
            </w:tcBorders>
            <w:vAlign w:val="center"/>
          </w:tcPr>
          <w:p w14:paraId="26D912E6">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活动合理性</w:t>
            </w:r>
          </w:p>
          <w:p w14:paraId="125C2423">
            <w:pPr>
              <w:widowControl/>
              <w:spacing w:line="240" w:lineRule="exact"/>
              <w:jc w:val="left"/>
              <w:rPr>
                <w:szCs w:val="21"/>
              </w:rPr>
            </w:pPr>
            <w:r>
              <w:rPr>
                <w:rFonts w:ascii="仿宋_GB2312" w:hAnsi="新宋体" w:eastAsia="仿宋_GB2312" w:cs="仿宋_GB2312"/>
                <w:kern w:val="0"/>
                <w:szCs w:val="21"/>
              </w:rPr>
              <w:t>（2</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1691316B">
            <w:pPr>
              <w:widowControl/>
              <w:spacing w:line="240" w:lineRule="exact"/>
              <w:jc w:val="left"/>
              <w:rPr>
                <w:szCs w:val="21"/>
              </w:rPr>
            </w:pPr>
            <w:r>
              <w:rPr>
                <w:rFonts w:ascii="仿宋_GB2312" w:hAnsi="新宋体" w:eastAsia="仿宋_GB2312" w:cs="仿宋_GB2312"/>
                <w:kern w:val="0"/>
                <w:szCs w:val="21"/>
              </w:rPr>
              <w:t>部门所设立的活动是否明确合理、活动的关键性指标设置是否可衡量，用以反映和评价部门活动目标设定的合理性。</w:t>
            </w:r>
          </w:p>
          <w:p w14:paraId="1A1E3EDF">
            <w:pPr>
              <w:widowControl/>
              <w:spacing w:line="240" w:lineRule="exact"/>
              <w:jc w:val="left"/>
              <w:rPr>
                <w:szCs w:val="21"/>
              </w:rPr>
            </w:pPr>
            <w:r>
              <w:rPr>
                <w:rFonts w:ascii="仿宋_GB2312" w:hAnsi="新宋体" w:eastAsia="仿宋_GB2312" w:cs="仿宋_GB2312"/>
                <w:kern w:val="0"/>
                <w:szCs w:val="21"/>
              </w:rPr>
              <w:t>评价要点：</w:t>
            </w:r>
          </w:p>
          <w:p w14:paraId="1F9E717B">
            <w:pPr>
              <w:widowControl/>
              <w:spacing w:line="240" w:lineRule="exact"/>
              <w:jc w:val="left"/>
              <w:rPr>
                <w:szCs w:val="21"/>
              </w:rPr>
            </w:pPr>
            <w:r>
              <w:rPr>
                <w:rFonts w:ascii="仿宋_GB2312" w:hAnsi="新宋体" w:eastAsia="仿宋_GB2312" w:cs="仿宋_GB2312"/>
                <w:kern w:val="0"/>
                <w:szCs w:val="21"/>
              </w:rPr>
              <w:t>1.活动目标的设定是可量化的，可通过清晰、可衡量的关键指标值予以体现；</w:t>
            </w:r>
          </w:p>
          <w:p w14:paraId="40D413DC">
            <w:pPr>
              <w:widowControl/>
              <w:spacing w:line="240" w:lineRule="exact"/>
              <w:jc w:val="left"/>
              <w:rPr>
                <w:szCs w:val="21"/>
              </w:rPr>
            </w:pPr>
            <w:r>
              <w:rPr>
                <w:rFonts w:ascii="仿宋_GB2312" w:hAnsi="新宋体" w:eastAsia="仿宋_GB2312" w:cs="仿宋_GB2312"/>
                <w:kern w:val="0"/>
                <w:szCs w:val="21"/>
              </w:rPr>
              <w:t>2.在活动目标设定时，将关键指标明细分解为具体的达成目标与工作任务。</w:t>
            </w:r>
          </w:p>
        </w:tc>
        <w:tc>
          <w:tcPr>
            <w:tcW w:w="2552" w:type="dxa"/>
            <w:tcBorders>
              <w:top w:val="single" w:color="000000" w:sz="4" w:space="0"/>
              <w:left w:val="single" w:color="auto" w:sz="4" w:space="0"/>
              <w:bottom w:val="single" w:color="auto" w:sz="4" w:space="0"/>
              <w:right w:val="single" w:color="auto" w:sz="4" w:space="0"/>
            </w:tcBorders>
            <w:vAlign w:val="center"/>
          </w:tcPr>
          <w:p w14:paraId="77972147">
            <w:pPr>
              <w:widowControl/>
              <w:spacing w:line="240" w:lineRule="exact"/>
              <w:jc w:val="left"/>
              <w:rPr>
                <w:szCs w:val="21"/>
              </w:rPr>
            </w:pPr>
            <w:r>
              <w:rPr>
                <w:rFonts w:ascii="仿宋_GB2312" w:hAnsi="新宋体" w:eastAsia="仿宋_GB2312" w:cs="仿宋_GB2312"/>
                <w:kern w:val="0"/>
                <w:szCs w:val="21"/>
              </w:rPr>
              <w:t>全部符合（2）；</w:t>
            </w:r>
          </w:p>
          <w:p w14:paraId="57EE24C0">
            <w:pPr>
              <w:widowControl/>
              <w:spacing w:line="240" w:lineRule="exact"/>
              <w:jc w:val="left"/>
              <w:rPr>
                <w:szCs w:val="21"/>
              </w:rPr>
            </w:pPr>
            <w:r>
              <w:rPr>
                <w:rFonts w:ascii="仿宋_GB2312" w:hAnsi="新宋体" w:eastAsia="仿宋_GB2312" w:cs="仿宋_GB2312"/>
                <w:kern w:val="0"/>
                <w:szCs w:val="21"/>
              </w:rPr>
              <w:t>其中一项不符合（0）。</w:t>
            </w:r>
          </w:p>
        </w:tc>
        <w:tc>
          <w:tcPr>
            <w:tcW w:w="567" w:type="dxa"/>
            <w:tcBorders>
              <w:top w:val="single" w:color="000000" w:sz="4" w:space="0"/>
              <w:left w:val="single" w:color="auto" w:sz="4" w:space="0"/>
              <w:bottom w:val="single" w:color="auto" w:sz="4" w:space="0"/>
              <w:right w:val="single" w:color="000000" w:sz="4" w:space="0"/>
            </w:tcBorders>
            <w:vAlign w:val="center"/>
          </w:tcPr>
          <w:p w14:paraId="593B2DF0">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7201FB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251"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C64C2B6">
            <w:pPr>
              <w:spacing w:line="240" w:lineRule="exact"/>
              <w:rPr>
                <w:rFonts w:ascii="宋体"/>
                <w:szCs w:val="21"/>
              </w:rPr>
            </w:pPr>
          </w:p>
        </w:tc>
        <w:tc>
          <w:tcPr>
            <w:tcW w:w="851" w:type="dxa"/>
            <w:vMerge w:val="restart"/>
            <w:tcBorders>
              <w:top w:val="single" w:color="000000" w:sz="4" w:space="0"/>
              <w:left w:val="single" w:color="000000" w:sz="4" w:space="0"/>
              <w:right w:val="single" w:color="000000" w:sz="4" w:space="0"/>
            </w:tcBorders>
            <w:vAlign w:val="center"/>
          </w:tcPr>
          <w:p w14:paraId="7C38D345">
            <w:pPr>
              <w:widowControl/>
              <w:spacing w:line="240" w:lineRule="exact"/>
              <w:jc w:val="left"/>
              <w:rPr>
                <w:szCs w:val="21"/>
              </w:rPr>
            </w:pPr>
            <w:r>
              <w:rPr>
                <w:rFonts w:ascii="仿宋_GB2312" w:hAnsi="新宋体" w:eastAsia="仿宋_GB2312" w:cs="仿宋_GB2312"/>
                <w:kern w:val="0"/>
                <w:szCs w:val="21"/>
              </w:rPr>
              <w:t>预算配置</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1559" w:type="dxa"/>
            <w:tcBorders>
              <w:top w:val="single" w:color="auto" w:sz="4" w:space="0"/>
              <w:left w:val="single" w:color="000000" w:sz="4" w:space="0"/>
              <w:right w:val="single" w:color="auto" w:sz="4" w:space="0"/>
            </w:tcBorders>
            <w:vAlign w:val="center"/>
          </w:tcPr>
          <w:p w14:paraId="2E9B5170">
            <w:pPr>
              <w:widowControl/>
              <w:spacing w:line="240" w:lineRule="exact"/>
              <w:jc w:val="left"/>
              <w:rPr>
                <w:szCs w:val="21"/>
              </w:rPr>
            </w:pPr>
            <w:r>
              <w:rPr>
                <w:rFonts w:ascii="仿宋_GB2312" w:hAnsi="新宋体" w:eastAsia="仿宋_GB2312" w:cs="仿宋_GB2312"/>
                <w:kern w:val="0"/>
                <w:szCs w:val="21"/>
              </w:rPr>
              <w:t>在职人员控制率（</w:t>
            </w:r>
            <w:r>
              <w:rPr>
                <w:rFonts w:hint="eastAsia" w:ascii="仿宋_GB2312" w:hAnsi="新宋体" w:eastAsia="仿宋_GB2312" w:cs="仿宋_GB2312"/>
                <w:kern w:val="0"/>
                <w:szCs w:val="21"/>
              </w:rPr>
              <w:t>1分</w:t>
            </w:r>
            <w:r>
              <w:rPr>
                <w:rFonts w:ascii="仿宋_GB2312" w:hAnsi="新宋体" w:eastAsia="仿宋_GB2312" w:cs="仿宋_GB2312"/>
                <w:kern w:val="0"/>
                <w:szCs w:val="21"/>
              </w:rPr>
              <w:t>）</w:t>
            </w:r>
          </w:p>
        </w:tc>
        <w:tc>
          <w:tcPr>
            <w:tcW w:w="3260" w:type="dxa"/>
            <w:tcBorders>
              <w:top w:val="single" w:color="auto" w:sz="4" w:space="0"/>
              <w:left w:val="single" w:color="auto" w:sz="4" w:space="0"/>
              <w:right w:val="single" w:color="auto" w:sz="4" w:space="0"/>
            </w:tcBorders>
            <w:vAlign w:val="center"/>
          </w:tcPr>
          <w:p w14:paraId="71832E4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部门本年度实际在职人员数与编制数的比率，用以反映和评价部门对人员成本的控制程度。</w:t>
            </w:r>
          </w:p>
          <w:p w14:paraId="4778435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在职人员控制率=（在职人员数/编制数）×100%。</w:t>
            </w:r>
          </w:p>
          <w:p w14:paraId="4ADF21A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在职人员数：部门实际在职人数，以财政部确定的部门决算编制口径为准，由编制部门和人劳部门批复同意的临聘人员除外。</w:t>
            </w:r>
          </w:p>
          <w:p w14:paraId="5DE97F8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编制数：机构编制部门核定批复的部门人员编制数。</w:t>
            </w:r>
          </w:p>
        </w:tc>
        <w:tc>
          <w:tcPr>
            <w:tcW w:w="2552" w:type="dxa"/>
            <w:tcBorders>
              <w:top w:val="single" w:color="auto" w:sz="4" w:space="0"/>
              <w:left w:val="single" w:color="auto" w:sz="4" w:space="0"/>
              <w:right w:val="single" w:color="auto" w:sz="4" w:space="0"/>
            </w:tcBorders>
            <w:vAlign w:val="center"/>
          </w:tcPr>
          <w:p w14:paraId="6EF58F8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1.在职人员控制率小于或等于100%的，得满分；</w:t>
            </w:r>
          </w:p>
          <w:p w14:paraId="50B3652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2.在职人员控制率大于或等于115%的，得0分；</w:t>
            </w:r>
          </w:p>
          <w:p w14:paraId="7F9F512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3.在职人员控制率在100%-115%之间的，在0分和满分之间计算确定：</w:t>
            </w:r>
          </w:p>
          <w:p w14:paraId="09196D7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得分=[max（在职人员控制率）－某部门在职人员控制率]/[max（在职人员控制率）－min（在职人员控制率）]×该指标分值。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73155FAD">
            <w:pPr>
              <w:widowControl/>
              <w:spacing w:line="240" w:lineRule="exact"/>
              <w:jc w:val="left"/>
              <w:rPr>
                <w:rFonts w:hint="eastAsia" w:eastAsiaTheme="minorEastAsia"/>
                <w:szCs w:val="21"/>
                <w:lang w:val="en-US" w:eastAsia="zh-CN"/>
              </w:rPr>
            </w:pPr>
            <w:r>
              <w:rPr>
                <w:rFonts w:hint="eastAsia"/>
                <w:szCs w:val="21"/>
                <w:lang w:val="en-US" w:eastAsia="zh-CN"/>
              </w:rPr>
              <w:t>1</w:t>
            </w:r>
          </w:p>
        </w:tc>
      </w:tr>
      <w:tr w14:paraId="153A885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restart"/>
            <w:tcBorders>
              <w:top w:val="single" w:color="000000" w:sz="4" w:space="0"/>
              <w:left w:val="single" w:color="000000" w:sz="4" w:space="0"/>
              <w:right w:val="single" w:color="000000" w:sz="4" w:space="0"/>
            </w:tcBorders>
            <w:vAlign w:val="center"/>
          </w:tcPr>
          <w:p w14:paraId="5C424984">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5F74D63D">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1E69C3F1">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“三公”经费变动率（2分）</w:t>
            </w:r>
          </w:p>
        </w:tc>
        <w:tc>
          <w:tcPr>
            <w:tcW w:w="3260" w:type="dxa"/>
            <w:tcBorders>
              <w:top w:val="single" w:color="auto" w:sz="4" w:space="0"/>
              <w:left w:val="single" w:color="auto" w:sz="4" w:space="0"/>
              <w:right w:val="single" w:color="auto" w:sz="4" w:space="0"/>
            </w:tcBorders>
            <w:vAlign w:val="center"/>
          </w:tcPr>
          <w:p w14:paraId="2B67958F">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“三公”经费：年度预算安排的因公出国（境）费、公务车辆购置及运行费和公务招待费。</w:t>
            </w:r>
          </w:p>
        </w:tc>
        <w:tc>
          <w:tcPr>
            <w:tcW w:w="2552" w:type="dxa"/>
            <w:tcBorders>
              <w:top w:val="single" w:color="auto" w:sz="4" w:space="0"/>
              <w:left w:val="single" w:color="auto" w:sz="4" w:space="0"/>
              <w:right w:val="single" w:color="auto" w:sz="4" w:space="0"/>
            </w:tcBorders>
            <w:vAlign w:val="center"/>
          </w:tcPr>
          <w:p w14:paraId="6FF27A0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小于或等于</w:t>
            </w:r>
            <w:r>
              <w:rPr>
                <w:rFonts w:hint="eastAsia" w:ascii="仿宋_GB2312" w:hAnsi="新宋体" w:eastAsia="仿宋_GB2312" w:cs="仿宋_GB2312"/>
                <w:kern w:val="0"/>
                <w:szCs w:val="21"/>
              </w:rPr>
              <w:t>-5</w:t>
            </w:r>
            <w:r>
              <w:rPr>
                <w:rFonts w:ascii="仿宋_GB2312" w:hAnsi="新宋体" w:eastAsia="仿宋_GB2312" w:cs="仿宋_GB2312"/>
                <w:kern w:val="0"/>
                <w:szCs w:val="21"/>
              </w:rPr>
              <w:t>%的，得满分；</w:t>
            </w:r>
          </w:p>
          <w:p w14:paraId="410AF6C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大于或等于1</w:t>
            </w:r>
            <w:r>
              <w:rPr>
                <w:rFonts w:hint="eastAsia" w:ascii="仿宋_GB2312" w:hAnsi="新宋体" w:eastAsia="仿宋_GB2312" w:cs="仿宋_GB2312"/>
                <w:kern w:val="0"/>
                <w:szCs w:val="21"/>
              </w:rPr>
              <w:t>0</w:t>
            </w:r>
            <w:r>
              <w:rPr>
                <w:rFonts w:ascii="仿宋_GB2312" w:hAnsi="新宋体" w:eastAsia="仿宋_GB2312" w:cs="仿宋_GB2312"/>
                <w:kern w:val="0"/>
                <w:szCs w:val="21"/>
              </w:rPr>
              <w:t>%的，得0分；</w:t>
            </w:r>
          </w:p>
          <w:p w14:paraId="44B69749">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3.在职人员控制率在</w:t>
            </w:r>
            <w:r>
              <w:rPr>
                <w:rFonts w:hint="eastAsia" w:ascii="仿宋_GB2312" w:hAnsi="新宋体" w:eastAsia="仿宋_GB2312" w:cs="仿宋_GB2312"/>
                <w:kern w:val="0"/>
                <w:szCs w:val="21"/>
              </w:rPr>
              <w:t>-5</w:t>
            </w:r>
            <w:r>
              <w:rPr>
                <w:rFonts w:ascii="仿宋_GB2312" w:hAnsi="新宋体" w:eastAsia="仿宋_GB2312" w:cs="仿宋_GB2312"/>
                <w:kern w:val="0"/>
                <w:szCs w:val="21"/>
              </w:rPr>
              <w:t>%-</w:t>
            </w:r>
            <w:r>
              <w:rPr>
                <w:rFonts w:hint="eastAsia" w:ascii="仿宋_GB2312" w:hAnsi="新宋体" w:eastAsia="仿宋_GB2312" w:cs="仿宋_GB2312"/>
                <w:kern w:val="0"/>
                <w:szCs w:val="21"/>
              </w:rPr>
              <w:t>10</w:t>
            </w:r>
            <w:r>
              <w:rPr>
                <w:rFonts w:ascii="仿宋_GB2312" w:hAnsi="新宋体" w:eastAsia="仿宋_GB2312" w:cs="仿宋_GB2312"/>
                <w:kern w:val="0"/>
                <w:szCs w:val="21"/>
              </w:rPr>
              <w:t>%之间的，在0分和满分之间计算确定：</w:t>
            </w:r>
          </w:p>
          <w:p w14:paraId="4259C708">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]/[max（</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）－min（</w:t>
            </w:r>
            <w:r>
              <w:rPr>
                <w:rFonts w:hint="eastAsia" w:ascii="仿宋" w:hAnsi="仿宋" w:eastAsia="仿宋" w:cs="仿宋"/>
                <w:color w:val="000000"/>
                <w:kern w:val="0"/>
                <w:szCs w:val="21"/>
              </w:rPr>
              <w:t>“三公”经费变动率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53C29CFB">
            <w:pPr>
              <w:widowControl/>
              <w:spacing w:line="240" w:lineRule="exact"/>
              <w:jc w:val="left"/>
              <w:rPr>
                <w:rFonts w:hint="default" w:eastAsiaTheme="minorEastAsia"/>
                <w:szCs w:val="21"/>
                <w:lang w:val="en-US" w:eastAsia="zh-CN"/>
              </w:rPr>
            </w:pPr>
            <w:r>
              <w:rPr>
                <w:rFonts w:hint="eastAsia"/>
                <w:szCs w:val="21"/>
                <w:lang w:val="en-US" w:eastAsia="zh-CN"/>
              </w:rPr>
              <w:t>2</w:t>
            </w:r>
          </w:p>
        </w:tc>
      </w:tr>
      <w:tr w14:paraId="2461D0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817" w:type="dxa"/>
            <w:vMerge w:val="continue"/>
            <w:tcBorders>
              <w:left w:val="single" w:color="000000" w:sz="4" w:space="0"/>
              <w:bottom w:val="single" w:color="000000" w:sz="4" w:space="0"/>
              <w:right w:val="single" w:color="000000" w:sz="4" w:space="0"/>
            </w:tcBorders>
            <w:vAlign w:val="center"/>
          </w:tcPr>
          <w:p w14:paraId="4768D445">
            <w:pPr>
              <w:spacing w:line="240" w:lineRule="exact"/>
              <w:rPr>
                <w:rFonts w:ascii="宋体"/>
                <w:szCs w:val="21"/>
              </w:rPr>
            </w:pPr>
          </w:p>
        </w:tc>
        <w:tc>
          <w:tcPr>
            <w:tcW w:w="851" w:type="dxa"/>
            <w:vMerge w:val="continue"/>
            <w:tcBorders>
              <w:left w:val="single" w:color="000000" w:sz="4" w:space="0"/>
              <w:bottom w:val="single" w:color="000000" w:sz="4" w:space="0"/>
              <w:right w:val="single" w:color="000000" w:sz="4" w:space="0"/>
            </w:tcBorders>
            <w:vAlign w:val="center"/>
          </w:tcPr>
          <w:p w14:paraId="1737B8E5">
            <w:pPr>
              <w:widowControl/>
              <w:spacing w:line="240" w:lineRule="exact"/>
              <w:jc w:val="left"/>
              <w:rPr>
                <w:rFonts w:ascii="仿宋_GB2312" w:hAnsi="新宋体" w:eastAsia="仿宋_GB2312" w:cs="仿宋_GB2312"/>
                <w:kern w:val="0"/>
                <w:szCs w:val="21"/>
              </w:rPr>
            </w:pPr>
          </w:p>
        </w:tc>
        <w:tc>
          <w:tcPr>
            <w:tcW w:w="1559" w:type="dxa"/>
            <w:tcBorders>
              <w:top w:val="single" w:color="auto" w:sz="4" w:space="0"/>
              <w:left w:val="single" w:color="000000" w:sz="4" w:space="0"/>
              <w:right w:val="single" w:color="auto" w:sz="4" w:space="0"/>
            </w:tcBorders>
            <w:vAlign w:val="center"/>
          </w:tcPr>
          <w:p w14:paraId="1B871CDC">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重点支出安排率（2分）</w:t>
            </w:r>
          </w:p>
        </w:tc>
        <w:tc>
          <w:tcPr>
            <w:tcW w:w="3260" w:type="dxa"/>
            <w:tcBorders>
              <w:top w:val="single" w:color="auto" w:sz="4" w:space="0"/>
              <w:left w:val="single" w:color="auto" w:sz="4" w:space="0"/>
              <w:right w:val="single" w:color="auto" w:sz="4" w:space="0"/>
            </w:tcBorders>
            <w:vAlign w:val="center"/>
          </w:tcPr>
          <w:p w14:paraId="2B6606DA">
            <w:pPr>
              <w:widowControl/>
              <w:spacing w:line="240" w:lineRule="exact"/>
              <w:jc w:val="left"/>
              <w:textAlignment w:val="center"/>
              <w:rPr>
                <w:rFonts w:ascii="仿宋" w:hAnsi="仿宋" w:eastAsia="仿宋" w:cs="仿宋"/>
                <w:kern w:val="0"/>
                <w:szCs w:val="21"/>
              </w:rPr>
            </w:pPr>
            <w:r>
              <w:rPr>
                <w:rFonts w:hint="eastAsia" w:ascii="仿宋" w:hAnsi="仿宋" w:eastAsia="仿宋" w:cs="仿宋"/>
                <w:color w:val="000000"/>
                <w:kern w:val="0"/>
                <w:szCs w:val="21"/>
              </w:rPr>
              <w:t>部门本年度预算安排的重点项目支出与部门项目总支出的比率，用以反映和考核部门对履行主要职责或完成重点任务的保障程度。重点支出安排率=（重点项目支出/项目总支出）×100%。</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重点项目支出：部门（单位）年度预算安排的，与本部门履职和发展密切相关、具有明显社会和经济影响、党委政府关心或社会比较关注的项目支出总额。</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项目总支出：部门（单位）年度预算安排的项目支出总额。</w:t>
            </w:r>
          </w:p>
        </w:tc>
        <w:tc>
          <w:tcPr>
            <w:tcW w:w="2552" w:type="dxa"/>
            <w:tcBorders>
              <w:top w:val="single" w:color="auto" w:sz="4" w:space="0"/>
              <w:left w:val="single" w:color="auto" w:sz="4" w:space="0"/>
              <w:right w:val="single" w:color="auto" w:sz="4" w:space="0"/>
            </w:tcBorders>
            <w:vAlign w:val="center"/>
          </w:tcPr>
          <w:p w14:paraId="0EEE25A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大于或等于95%的，得满分；</w:t>
            </w:r>
          </w:p>
          <w:p w14:paraId="1BB1AD0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小于或等于85%的，得0分；</w:t>
            </w:r>
          </w:p>
          <w:p w14:paraId="10E50DB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在85%-95%之间的，在0分和满分之间计算确定：</w:t>
            </w:r>
          </w:p>
          <w:p w14:paraId="1B46BC45">
            <w:pPr>
              <w:widowControl/>
              <w:spacing w:line="240" w:lineRule="exact"/>
              <w:jc w:val="left"/>
              <w:textAlignment w:val="center"/>
              <w:rPr>
                <w:rFonts w:ascii="仿宋" w:hAnsi="仿宋" w:eastAsia="仿宋" w:cs="仿宋"/>
                <w:kern w:val="0"/>
                <w:szCs w:val="21"/>
              </w:rPr>
            </w:pPr>
            <w:r>
              <w:rPr>
                <w:rFonts w:ascii="仿宋_GB2312" w:hAnsi="新宋体" w:eastAsia="仿宋_GB2312" w:cs="仿宋_GB2312"/>
                <w:kern w:val="0"/>
                <w:szCs w:val="21"/>
              </w:rPr>
              <w:t>得分=[某部门</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）]/[max（</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）－min（</w:t>
            </w:r>
            <w:r>
              <w:rPr>
                <w:rFonts w:hint="eastAsia" w:ascii="仿宋" w:hAnsi="仿宋" w:eastAsia="仿宋" w:cs="仿宋"/>
                <w:color w:val="000000"/>
                <w:kern w:val="0"/>
                <w:szCs w:val="21"/>
              </w:rPr>
              <w:t>重点支出安排率</w:t>
            </w:r>
            <w:r>
              <w:rPr>
                <w:rFonts w:ascii="仿宋_GB2312" w:hAnsi="新宋体" w:eastAsia="仿宋_GB2312" w:cs="仿宋_GB2312"/>
                <w:kern w:val="0"/>
                <w:szCs w:val="21"/>
              </w:rPr>
              <w:t>）]×该指标分值。</w:t>
            </w:r>
          </w:p>
        </w:tc>
        <w:tc>
          <w:tcPr>
            <w:tcW w:w="567" w:type="dxa"/>
            <w:tcBorders>
              <w:top w:val="single" w:color="auto" w:sz="4" w:space="0"/>
              <w:left w:val="single" w:color="auto" w:sz="4" w:space="0"/>
              <w:bottom w:val="single" w:color="000000" w:sz="4" w:space="0"/>
              <w:right w:val="single" w:color="000000" w:sz="4" w:space="0"/>
            </w:tcBorders>
            <w:vAlign w:val="center"/>
          </w:tcPr>
          <w:p w14:paraId="0E0DA56C">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613691B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32F4E150">
            <w:pPr>
              <w:widowControl/>
              <w:spacing w:line="240" w:lineRule="exact"/>
              <w:jc w:val="left"/>
              <w:rPr>
                <w:szCs w:val="21"/>
              </w:rPr>
            </w:pPr>
            <w:r>
              <w:rPr>
                <w:rFonts w:ascii="仿宋_GB2312" w:hAnsi="新宋体" w:eastAsia="仿宋_GB2312" w:cs="仿宋_GB2312"/>
                <w:kern w:val="0"/>
                <w:szCs w:val="21"/>
              </w:rPr>
              <w:t>过程(</w:t>
            </w:r>
            <w:r>
              <w:rPr>
                <w:rFonts w:hint="eastAsia" w:ascii="仿宋_GB2312" w:hAnsi="新宋体" w:eastAsia="仿宋_GB2312" w:cs="仿宋_GB2312"/>
                <w:kern w:val="0"/>
                <w:szCs w:val="21"/>
              </w:rPr>
              <w:t>45分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256CB81">
            <w:pPr>
              <w:widowControl/>
              <w:spacing w:line="240" w:lineRule="exact"/>
              <w:jc w:val="left"/>
              <w:rPr>
                <w:szCs w:val="21"/>
              </w:rPr>
            </w:pPr>
            <w:r>
              <w:rPr>
                <w:rFonts w:ascii="仿宋_GB2312" w:hAnsi="新宋体" w:eastAsia="仿宋_GB2312" w:cs="仿宋_GB2312"/>
                <w:kern w:val="0"/>
                <w:szCs w:val="21"/>
              </w:rPr>
              <w:t>预算执行</w:t>
            </w:r>
            <w:r>
              <w:rPr>
                <w:rFonts w:hint="eastAsia" w:ascii="仿宋_GB2312" w:hAnsi="新宋体" w:eastAsia="仿宋_GB2312" w:cs="仿宋_GB2312"/>
                <w:kern w:val="0"/>
                <w:szCs w:val="21"/>
              </w:rPr>
              <w:t>情况</w:t>
            </w:r>
            <w:r>
              <w:rPr>
                <w:rFonts w:ascii="仿宋_GB2312" w:hAnsi="新宋体" w:eastAsia="仿宋_GB2312" w:cs="仿宋_GB2312"/>
                <w:kern w:val="0"/>
                <w:szCs w:val="21"/>
              </w:rPr>
              <w:t>(</w:t>
            </w:r>
            <w:r>
              <w:rPr>
                <w:rFonts w:hint="eastAsia" w:ascii="仿宋_GB2312" w:hAnsi="新宋体" w:eastAsia="仿宋_GB2312" w:cs="仿宋_GB2312"/>
                <w:kern w:val="0"/>
                <w:szCs w:val="21"/>
              </w:rPr>
              <w:t>25分</w:t>
            </w:r>
            <w:r>
              <w:rPr>
                <w:rFonts w:ascii="仿宋_GB2312" w:hAnsi="新宋体" w:eastAsia="仿宋_GB2312" w:cs="仿宋_GB2312"/>
                <w:kern w:val="0"/>
                <w:szCs w:val="21"/>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24A0027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预算完成率</w:t>
            </w:r>
          </w:p>
          <w:p w14:paraId="10C364FB">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3A0208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通过对部门本年度预算完成数与预算数的比较，反映和评价部门预算的完成程度。</w:t>
            </w:r>
          </w:p>
          <w:p w14:paraId="0133508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预算完成率=（预算完成数/预算数）×100%。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6187DD3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1.预算完成率大于或等于95%的，得满分；</w:t>
            </w:r>
          </w:p>
          <w:p w14:paraId="6C94BC5A">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2.预算完成率小于或等于85%的，得0分；</w:t>
            </w:r>
          </w:p>
          <w:p w14:paraId="05378A9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3.预算完成率在85%-95%之间的，在0分和满分之间计算确定：</w:t>
            </w:r>
          </w:p>
          <w:p w14:paraId="50A53E9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得分=[某部门预算完成率-min（预算完成率）]/[max（预算完成率）－min（预算完成率）]×该指标分值。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4D57D288">
            <w:pPr>
              <w:widowControl/>
              <w:spacing w:line="240" w:lineRule="exact"/>
              <w:jc w:val="left"/>
              <w:rPr>
                <w:rFonts w:hint="default" w:eastAsiaTheme="minorEastAsia"/>
                <w:szCs w:val="21"/>
                <w:lang w:val="en-US" w:eastAsia="zh-CN"/>
              </w:rPr>
            </w:pPr>
            <w:r>
              <w:rPr>
                <w:rFonts w:hint="eastAsia"/>
                <w:szCs w:val="21"/>
                <w:lang w:val="en-US" w:eastAsia="zh-CN"/>
              </w:rPr>
              <w:t>3</w:t>
            </w:r>
          </w:p>
        </w:tc>
      </w:tr>
      <w:tr w14:paraId="38B5C86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23"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417C2E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2DC1C34E">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72842C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预算调整率</w:t>
            </w:r>
          </w:p>
          <w:p w14:paraId="2A37EA43">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5D90EFAB">
            <w:pPr>
              <w:widowControl/>
              <w:spacing w:line="240" w:lineRule="exact"/>
              <w:jc w:val="left"/>
              <w:rPr>
                <w:szCs w:val="21"/>
              </w:rPr>
            </w:pPr>
            <w:r>
              <w:rPr>
                <w:rFonts w:ascii="仿宋_GB2312" w:hAnsi="新宋体" w:eastAsia="仿宋_GB2312" w:cs="仿宋_GB2312"/>
                <w:kern w:val="0"/>
                <w:szCs w:val="21"/>
              </w:rPr>
              <w:t>部门本年度预算调整数与预算数的比率，用以反映和评价部门预算的调整程度。</w:t>
            </w:r>
          </w:p>
          <w:p w14:paraId="06E13221">
            <w:pPr>
              <w:widowControl/>
              <w:spacing w:line="240" w:lineRule="exact"/>
              <w:jc w:val="left"/>
              <w:rPr>
                <w:szCs w:val="21"/>
              </w:rPr>
            </w:pPr>
            <w:r>
              <w:rPr>
                <w:rFonts w:ascii="仿宋_GB2312" w:hAnsi="新宋体" w:eastAsia="仿宋_GB2312" w:cs="仿宋_GB2312"/>
                <w:kern w:val="0"/>
                <w:szCs w:val="21"/>
              </w:rPr>
              <w:t>预算调整率=（预算调整数/预算数）×100%。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5FC20F11">
            <w:pPr>
              <w:widowControl/>
              <w:spacing w:line="240" w:lineRule="exact"/>
              <w:jc w:val="left"/>
              <w:rPr>
                <w:szCs w:val="21"/>
              </w:rPr>
            </w:pPr>
            <w:r>
              <w:rPr>
                <w:rFonts w:ascii="仿宋_GB2312" w:hAnsi="新宋体" w:eastAsia="仿宋_GB2312" w:cs="仿宋_GB2312"/>
                <w:kern w:val="0"/>
                <w:szCs w:val="21"/>
              </w:rPr>
              <w:t xml:space="preserve">1.预算调整率等于0的，得满分； </w:t>
            </w:r>
          </w:p>
          <w:p w14:paraId="4CD85341">
            <w:pPr>
              <w:widowControl/>
              <w:spacing w:line="240" w:lineRule="exact"/>
              <w:jc w:val="left"/>
              <w:rPr>
                <w:szCs w:val="21"/>
              </w:rPr>
            </w:pPr>
            <w:r>
              <w:rPr>
                <w:rFonts w:ascii="仿宋_GB2312" w:hAnsi="新宋体" w:eastAsia="仿宋_GB2312" w:cs="仿宋_GB2312"/>
                <w:kern w:val="0"/>
                <w:szCs w:val="21"/>
              </w:rPr>
              <w:t>2.预算调整率大于或等于10%的，得0分；</w:t>
            </w:r>
          </w:p>
          <w:p w14:paraId="09CE25D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3.预算调整率在0-10%之间的，在0分和满分之间确定：</w:t>
            </w:r>
          </w:p>
          <w:p w14:paraId="23A0ABE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得分=［max（预算调整率）-某部门预算调整率］/［max（预算调整率）-min（预算调整率）］×该指标分值。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41C86C5">
            <w:pPr>
              <w:widowControl/>
              <w:spacing w:line="240" w:lineRule="exact"/>
              <w:jc w:val="left"/>
              <w:rPr>
                <w:rFonts w:hint="default" w:eastAsiaTheme="minorEastAsia"/>
                <w:szCs w:val="21"/>
                <w:lang w:val="en-US" w:eastAsia="zh-CN"/>
              </w:rPr>
            </w:pPr>
            <w:r>
              <w:rPr>
                <w:rFonts w:hint="eastAsia"/>
                <w:szCs w:val="21"/>
                <w:lang w:val="en-US" w:eastAsia="zh-CN"/>
              </w:rPr>
              <w:t>2</w:t>
            </w:r>
          </w:p>
        </w:tc>
      </w:tr>
      <w:tr w14:paraId="174E8F6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92"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3B96EE3">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8E18747">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0C9E93AA">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支付进度率</w:t>
            </w:r>
          </w:p>
          <w:p w14:paraId="1D6F2DBA">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E0BC88D">
            <w:pPr>
              <w:widowControl/>
              <w:spacing w:line="240" w:lineRule="exact"/>
              <w:jc w:val="left"/>
              <w:rPr>
                <w:szCs w:val="21"/>
              </w:rPr>
            </w:pPr>
            <w:r>
              <w:rPr>
                <w:rFonts w:ascii="仿宋_GB2312" w:hAnsi="新宋体" w:eastAsia="仿宋_GB2312" w:cs="仿宋_GB2312"/>
                <w:kern w:val="0"/>
                <w:szCs w:val="21"/>
              </w:rPr>
              <w:t>部门</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度支付数与</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度任务数的比率，用以反映和评价部门预算执行的及时和均衡程度。</w:t>
            </w:r>
          </w:p>
          <w:p w14:paraId="1CD8E5EE">
            <w:pPr>
              <w:widowControl/>
              <w:spacing w:line="240" w:lineRule="exact"/>
              <w:jc w:val="left"/>
              <w:rPr>
                <w:szCs w:val="21"/>
              </w:rPr>
            </w:pPr>
            <w:r>
              <w:rPr>
                <w:rFonts w:ascii="仿宋_GB2312" w:hAnsi="新宋体" w:eastAsia="仿宋_GB2312" w:cs="仿宋_GB2312"/>
                <w:kern w:val="0"/>
                <w:szCs w:val="21"/>
              </w:rPr>
              <w:t>支付进度率=（</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度任务数）×100%。</w:t>
            </w:r>
          </w:p>
        </w:tc>
        <w:tc>
          <w:tcPr>
            <w:tcW w:w="2552" w:type="dxa"/>
            <w:tcBorders>
              <w:top w:val="single" w:color="000000" w:sz="4" w:space="0"/>
              <w:left w:val="single" w:color="auto" w:sz="4" w:space="0"/>
              <w:bottom w:val="single" w:color="000000" w:sz="4" w:space="0"/>
              <w:right w:val="single" w:color="auto" w:sz="4" w:space="0"/>
            </w:tcBorders>
            <w:vAlign w:val="center"/>
          </w:tcPr>
          <w:p w14:paraId="253B6096">
            <w:pPr>
              <w:widowControl/>
              <w:spacing w:line="240" w:lineRule="exact"/>
              <w:jc w:val="left"/>
              <w:rPr>
                <w:szCs w:val="21"/>
              </w:rPr>
            </w:pPr>
            <w:r>
              <w:rPr>
                <w:rFonts w:ascii="仿宋_GB2312" w:hAnsi="新宋体" w:eastAsia="仿宋_GB2312" w:cs="仿宋_GB2312"/>
                <w:kern w:val="0"/>
                <w:szCs w:val="21"/>
              </w:rPr>
              <w:t>按</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度的执行情况进行打分</w:t>
            </w:r>
            <w:r>
              <w:rPr>
                <w:rFonts w:hint="eastAsia" w:ascii="仿宋_GB2312" w:hAnsi="新宋体" w:eastAsia="仿宋_GB2312" w:cs="仿宋_GB2312"/>
                <w:kern w:val="0"/>
                <w:szCs w:val="21"/>
              </w:rPr>
              <w:t>。</w:t>
            </w:r>
            <w:r>
              <w:rPr>
                <w:rFonts w:ascii="仿宋_GB2312" w:hAnsi="新宋体" w:eastAsia="仿宋_GB2312" w:cs="仿宋_GB2312"/>
                <w:kern w:val="0"/>
                <w:szCs w:val="21"/>
              </w:rPr>
              <w:t>得分=</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度支付数/</w:t>
            </w:r>
            <w:r>
              <w:rPr>
                <w:rFonts w:hint="eastAsia" w:ascii="仿宋_GB2312" w:hAnsi="新宋体" w:eastAsia="仿宋_GB2312" w:cs="仿宋_GB2312"/>
                <w:kern w:val="0"/>
                <w:szCs w:val="21"/>
              </w:rPr>
              <w:t>年</w:t>
            </w:r>
            <w:r>
              <w:rPr>
                <w:rFonts w:ascii="仿宋_GB2312" w:hAnsi="新宋体" w:eastAsia="仿宋_GB2312" w:cs="仿宋_GB2312"/>
                <w:kern w:val="0"/>
                <w:szCs w:val="21"/>
              </w:rPr>
              <w:t>度任务数×该指标分值。</w:t>
            </w:r>
          </w:p>
          <w:p w14:paraId="2CD05DDF">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000000" w:sz="4" w:space="0"/>
              <w:left w:val="single" w:color="auto" w:sz="4" w:space="0"/>
              <w:bottom w:val="single" w:color="000000" w:sz="4" w:space="0"/>
              <w:right w:val="single" w:color="000000" w:sz="4" w:space="0"/>
            </w:tcBorders>
            <w:vAlign w:val="center"/>
          </w:tcPr>
          <w:p w14:paraId="7844DB4F">
            <w:pPr>
              <w:widowControl/>
              <w:spacing w:line="240" w:lineRule="exact"/>
              <w:jc w:val="left"/>
              <w:rPr>
                <w:rFonts w:hint="default" w:eastAsiaTheme="minorEastAsia"/>
                <w:szCs w:val="21"/>
                <w:lang w:val="en-US" w:eastAsia="zh-CN"/>
              </w:rPr>
            </w:pPr>
            <w:r>
              <w:rPr>
                <w:rFonts w:hint="eastAsia"/>
                <w:szCs w:val="21"/>
                <w:lang w:val="en-US" w:eastAsia="zh-CN"/>
              </w:rPr>
              <w:t>4</w:t>
            </w:r>
          </w:p>
        </w:tc>
      </w:tr>
      <w:tr w14:paraId="0BA790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E1516D1">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8EF381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25F2D3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结转</w:t>
            </w:r>
          </w:p>
          <w:p w14:paraId="3C636DD8">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结余率</w:t>
            </w:r>
          </w:p>
          <w:p w14:paraId="09D1CAD4">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0C4999BD">
            <w:pPr>
              <w:widowControl/>
              <w:spacing w:line="240" w:lineRule="exact"/>
              <w:jc w:val="left"/>
              <w:rPr>
                <w:szCs w:val="21"/>
              </w:rPr>
            </w:pPr>
            <w:r>
              <w:rPr>
                <w:rFonts w:ascii="仿宋_GB2312" w:hAnsi="新宋体" w:eastAsia="仿宋_GB2312" w:cs="仿宋_GB2312"/>
                <w:kern w:val="0"/>
                <w:szCs w:val="21"/>
              </w:rPr>
              <w:t>通过对部门本年度结转结余总额与支出预算数的比较，反映和评价部门对本年度结转结余资金的实际控制程度。</w:t>
            </w:r>
          </w:p>
          <w:p w14:paraId="31E1E751">
            <w:pPr>
              <w:widowControl/>
              <w:spacing w:line="240" w:lineRule="exact"/>
              <w:jc w:val="left"/>
              <w:rPr>
                <w:szCs w:val="21"/>
              </w:rPr>
            </w:pPr>
            <w:r>
              <w:rPr>
                <w:rFonts w:ascii="仿宋_GB2312" w:hAnsi="新宋体" w:eastAsia="仿宋_GB2312" w:cs="仿宋_GB2312"/>
                <w:kern w:val="0"/>
                <w:szCs w:val="21"/>
              </w:rPr>
              <w:t>结转结余率=（结转结余总额/支出预算数）×100%。</w:t>
            </w:r>
          </w:p>
        </w:tc>
        <w:tc>
          <w:tcPr>
            <w:tcW w:w="2552" w:type="dxa"/>
            <w:tcBorders>
              <w:top w:val="single" w:color="000000" w:sz="4" w:space="0"/>
              <w:left w:val="single" w:color="auto" w:sz="4" w:space="0"/>
              <w:bottom w:val="single" w:color="000000" w:sz="4" w:space="0"/>
              <w:right w:val="single" w:color="auto" w:sz="4" w:space="0"/>
            </w:tcBorders>
            <w:vAlign w:val="center"/>
          </w:tcPr>
          <w:p w14:paraId="13B0FB4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1.结转结余率等于0的，得满分；</w:t>
            </w:r>
          </w:p>
          <w:p w14:paraId="142EAFD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2.结转结余率大于或等于50%的，得0分；</w:t>
            </w:r>
          </w:p>
          <w:p w14:paraId="644BD5A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3.结转结余率在0-50%之间的，在0和满分之间计算确定：</w:t>
            </w:r>
          </w:p>
          <w:p w14:paraId="00F626E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得分=[max（结转结余率）－某部门结转结余率]/[max（结转结余率）－min（结转结余率）]×该指标分值。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0EF368BB">
            <w:pPr>
              <w:widowControl/>
              <w:spacing w:line="240" w:lineRule="exact"/>
              <w:jc w:val="left"/>
              <w:rPr>
                <w:rFonts w:hint="default" w:eastAsiaTheme="minorEastAsia"/>
                <w:szCs w:val="21"/>
                <w:lang w:val="en-US" w:eastAsia="zh-CN"/>
              </w:rPr>
            </w:pPr>
            <w:r>
              <w:rPr>
                <w:rFonts w:hint="eastAsia"/>
                <w:szCs w:val="21"/>
                <w:lang w:val="en-US" w:eastAsia="zh-CN"/>
              </w:rPr>
              <w:t>3</w:t>
            </w:r>
          </w:p>
        </w:tc>
      </w:tr>
      <w:tr w14:paraId="6219EB5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370D465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32F33B7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4735E47">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公用经费</w:t>
            </w:r>
          </w:p>
          <w:p w14:paraId="41D74D2C">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控制率</w:t>
            </w:r>
          </w:p>
          <w:p w14:paraId="192B1FB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434E92ED">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通过对部门本年度实际支出的公用经费总额与预算安排的公用经费总额的比率，反映和评价部门对机构运转成本的实际控制程度。</w:t>
            </w:r>
          </w:p>
          <w:p w14:paraId="0B825B4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公用经费控制率=（实际支出公用经费总额/预算安排公用经费总额）×100%。</w:t>
            </w:r>
          </w:p>
        </w:tc>
        <w:tc>
          <w:tcPr>
            <w:tcW w:w="2552" w:type="dxa"/>
            <w:tcBorders>
              <w:top w:val="single" w:color="000000" w:sz="4" w:space="0"/>
              <w:left w:val="single" w:color="auto" w:sz="4" w:space="0"/>
              <w:bottom w:val="single" w:color="000000" w:sz="4" w:space="0"/>
              <w:right w:val="single" w:color="auto" w:sz="4" w:space="0"/>
            </w:tcBorders>
            <w:vAlign w:val="center"/>
          </w:tcPr>
          <w:p w14:paraId="63CEDD1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1.公用经费控制率小于或等于100%的，得满分；</w:t>
            </w:r>
          </w:p>
          <w:p w14:paraId="40C06C9F">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2.公用经费控制率大于或等于105%的，得0分；</w:t>
            </w:r>
          </w:p>
          <w:p w14:paraId="6E558BC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3.公用经费控制率在100%-105%之间的，在0和满分之间计算确定：</w:t>
            </w:r>
          </w:p>
          <w:p w14:paraId="7D5C5D41">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得分=［max（公用经费控制率）-某部门公用经费控制率］/［max（公用经费控制率）-min（公用经费控制率）］×该指标分值。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2136EC6">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66EC50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9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5BB0BB7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43D1C5A">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C456529">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政府采购</w:t>
            </w:r>
          </w:p>
          <w:p w14:paraId="753DD0B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执行率</w:t>
            </w:r>
          </w:p>
          <w:p w14:paraId="3F7F333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4分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619153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通过对部门本年度实际政府采购预算项目个数与政府采购预算项目个数的比较，反映和评价部门政府采购预算执行情况。</w:t>
            </w:r>
          </w:p>
          <w:p w14:paraId="033DEBB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政府采购执行率=（实际政府采购预算项目个数/政府采购预算项目个数）×100%。</w:t>
            </w:r>
          </w:p>
          <w:p w14:paraId="14A6FA4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政府采购项目中非预算内安排的项目除外。</w:t>
            </w:r>
          </w:p>
        </w:tc>
        <w:tc>
          <w:tcPr>
            <w:tcW w:w="2552" w:type="dxa"/>
            <w:tcBorders>
              <w:top w:val="single" w:color="000000" w:sz="4" w:space="0"/>
              <w:left w:val="single" w:color="auto" w:sz="4" w:space="0"/>
              <w:bottom w:val="single" w:color="000000" w:sz="4" w:space="0"/>
              <w:right w:val="single" w:color="auto" w:sz="4" w:space="0"/>
            </w:tcBorders>
            <w:vAlign w:val="center"/>
          </w:tcPr>
          <w:p w14:paraId="21DF9E5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1.政府采购执行率等于100%的，得满分；</w:t>
            </w:r>
          </w:p>
          <w:p w14:paraId="07A8E45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2.政府采购执行率小于或等于90%的，0分；</w:t>
            </w:r>
          </w:p>
          <w:p w14:paraId="1D3F7926">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3.政府采购执行率在90%-100%之间的，在0和满分之间计算确定：</w:t>
            </w:r>
          </w:p>
          <w:p w14:paraId="67D14FEB">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得分=［某部门政府采购执行率-min（政府采购执行率）］/［max（政府采购执行率）-min（政府采购执行率）］×该指标分值。</w:t>
            </w:r>
          </w:p>
        </w:tc>
        <w:tc>
          <w:tcPr>
            <w:tcW w:w="567" w:type="dxa"/>
            <w:tcBorders>
              <w:top w:val="single" w:color="000000" w:sz="4" w:space="0"/>
              <w:left w:val="single" w:color="auto" w:sz="4" w:space="0"/>
              <w:bottom w:val="single" w:color="000000" w:sz="4" w:space="0"/>
              <w:right w:val="single" w:color="000000" w:sz="4" w:space="0"/>
            </w:tcBorders>
            <w:vAlign w:val="center"/>
          </w:tcPr>
          <w:p w14:paraId="272DEAA5">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705A37F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581EB66">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78E6766C">
            <w:pPr>
              <w:widowControl/>
              <w:spacing w:line="240" w:lineRule="exact"/>
              <w:jc w:val="left"/>
              <w:rPr>
                <w:szCs w:val="21"/>
              </w:rPr>
            </w:pPr>
            <w:r>
              <w:rPr>
                <w:rFonts w:ascii="仿宋_GB2312" w:hAnsi="新宋体" w:eastAsia="仿宋_GB2312" w:cs="仿宋_GB2312"/>
                <w:kern w:val="0"/>
                <w:szCs w:val="21"/>
              </w:rPr>
              <w:t>预算管理</w:t>
            </w:r>
            <w:r>
              <w:rPr>
                <w:rFonts w:hint="eastAsia" w:ascii="仿宋_GB2312" w:hAnsi="新宋体" w:eastAsia="仿宋_GB2312" w:cs="仿宋_GB2312"/>
                <w:kern w:val="0"/>
                <w:szCs w:val="21"/>
              </w:rPr>
              <w:t>情况</w:t>
            </w:r>
          </w:p>
          <w:p w14:paraId="68037787">
            <w:pPr>
              <w:widowControl/>
              <w:spacing w:line="240" w:lineRule="exact"/>
              <w:jc w:val="left"/>
              <w:rPr>
                <w:szCs w:val="21"/>
              </w:rPr>
            </w:pPr>
            <w:r>
              <w:rPr>
                <w:rFonts w:ascii="仿宋_GB2312" w:hAnsi="新宋体" w:eastAsia="仿宋_GB2312" w:cs="仿宋_GB2312"/>
                <w:kern w:val="0"/>
                <w:szCs w:val="21"/>
              </w:rPr>
              <w:t>（15）</w:t>
            </w:r>
          </w:p>
        </w:tc>
        <w:tc>
          <w:tcPr>
            <w:tcW w:w="1559" w:type="dxa"/>
            <w:tcBorders>
              <w:top w:val="single" w:color="000000" w:sz="4" w:space="0"/>
              <w:left w:val="single" w:color="000000" w:sz="4" w:space="0"/>
              <w:bottom w:val="single" w:color="000000" w:sz="4" w:space="0"/>
              <w:right w:val="single" w:color="auto" w:sz="4" w:space="0"/>
            </w:tcBorders>
            <w:vAlign w:val="center"/>
          </w:tcPr>
          <w:p w14:paraId="613CE47B">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资金使用</w:t>
            </w:r>
          </w:p>
          <w:p w14:paraId="446E580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合规性</w:t>
            </w:r>
          </w:p>
          <w:p w14:paraId="5BFD7341">
            <w:pPr>
              <w:widowControl/>
              <w:spacing w:line="240" w:lineRule="exact"/>
              <w:jc w:val="left"/>
              <w:rPr>
                <w:szCs w:val="21"/>
              </w:rPr>
            </w:pPr>
            <w:r>
              <w:rPr>
                <w:rFonts w:ascii="仿宋_GB2312" w:hAnsi="新宋体" w:eastAsia="仿宋_GB2312" w:cs="仿宋_GB2312"/>
                <w:kern w:val="0"/>
                <w:szCs w:val="21"/>
              </w:rPr>
              <w:t>（8</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1A3E6C84">
            <w:pPr>
              <w:widowControl/>
              <w:spacing w:line="240" w:lineRule="exact"/>
              <w:jc w:val="left"/>
              <w:rPr>
                <w:szCs w:val="21"/>
              </w:rPr>
            </w:pPr>
            <w:r>
              <w:rPr>
                <w:rFonts w:ascii="仿宋_GB2312" w:hAnsi="新宋体" w:eastAsia="仿宋_GB2312" w:cs="仿宋_GB2312"/>
                <w:kern w:val="0"/>
                <w:szCs w:val="21"/>
              </w:rPr>
              <w:t>部门使用预算资金是否符合相关的预算财务管理制度的规定，反映和评价部门预算资金的规范运行情况。</w:t>
            </w:r>
          </w:p>
          <w:p w14:paraId="63EEC49E">
            <w:pPr>
              <w:widowControl/>
              <w:spacing w:line="240" w:lineRule="exact"/>
              <w:jc w:val="left"/>
              <w:rPr>
                <w:szCs w:val="21"/>
              </w:rPr>
            </w:pPr>
            <w:r>
              <w:rPr>
                <w:rFonts w:ascii="仿宋_GB2312" w:hAnsi="新宋体" w:eastAsia="仿宋_GB2312" w:cs="仿宋_GB2312"/>
                <w:kern w:val="0"/>
                <w:szCs w:val="21"/>
              </w:rPr>
              <w:t>评价要点：</w:t>
            </w:r>
          </w:p>
          <w:p w14:paraId="66F55E0A">
            <w:pPr>
              <w:widowControl/>
              <w:spacing w:line="240" w:lineRule="exact"/>
              <w:jc w:val="left"/>
              <w:rPr>
                <w:szCs w:val="21"/>
              </w:rPr>
            </w:pPr>
            <w:r>
              <w:rPr>
                <w:rFonts w:ascii="仿宋_GB2312" w:hAnsi="新宋体" w:eastAsia="仿宋_GB2312" w:cs="仿宋_GB2312"/>
                <w:kern w:val="0"/>
                <w:szCs w:val="21"/>
              </w:rPr>
              <w:t>1.符合国家财经法规和财务管理制度规定以及有关部门资金管理办法的规定；</w:t>
            </w:r>
          </w:p>
          <w:p w14:paraId="7732D827">
            <w:pPr>
              <w:widowControl/>
              <w:spacing w:line="240" w:lineRule="exact"/>
              <w:jc w:val="left"/>
              <w:rPr>
                <w:szCs w:val="21"/>
              </w:rPr>
            </w:pPr>
            <w:r>
              <w:rPr>
                <w:rFonts w:ascii="仿宋_GB2312" w:hAnsi="新宋体" w:eastAsia="仿宋_GB2312" w:cs="仿宋_GB2312"/>
                <w:kern w:val="0"/>
                <w:szCs w:val="21"/>
              </w:rPr>
              <w:t>2.资金的拨付有完整的审批过程和手续；</w:t>
            </w:r>
          </w:p>
          <w:p w14:paraId="45944CBF">
            <w:pPr>
              <w:widowControl/>
              <w:spacing w:line="240" w:lineRule="exact"/>
              <w:jc w:val="left"/>
              <w:rPr>
                <w:szCs w:val="21"/>
              </w:rPr>
            </w:pPr>
            <w:r>
              <w:rPr>
                <w:rFonts w:ascii="仿宋_GB2312" w:hAnsi="新宋体" w:eastAsia="仿宋_GB2312" w:cs="仿宋_GB2312"/>
                <w:kern w:val="0"/>
                <w:szCs w:val="21"/>
              </w:rPr>
              <w:t>3.项目的重大开支经过评估论证；</w:t>
            </w:r>
          </w:p>
          <w:p w14:paraId="1668B3AE">
            <w:pPr>
              <w:widowControl/>
              <w:spacing w:line="240" w:lineRule="exact"/>
              <w:jc w:val="left"/>
              <w:rPr>
                <w:szCs w:val="21"/>
              </w:rPr>
            </w:pPr>
            <w:r>
              <w:rPr>
                <w:rFonts w:ascii="仿宋_GB2312" w:hAnsi="新宋体" w:eastAsia="仿宋_GB2312" w:cs="仿宋_GB2312"/>
                <w:kern w:val="0"/>
                <w:szCs w:val="21"/>
              </w:rPr>
              <w:t>4.符合部门预算批复的用途；</w:t>
            </w:r>
          </w:p>
          <w:p w14:paraId="1A506EA8">
            <w:pPr>
              <w:widowControl/>
              <w:spacing w:line="240" w:lineRule="exact"/>
              <w:jc w:val="left"/>
              <w:rPr>
                <w:szCs w:val="21"/>
              </w:rPr>
            </w:pPr>
            <w:r>
              <w:rPr>
                <w:rFonts w:ascii="仿宋_GB2312" w:hAnsi="新宋体" w:eastAsia="仿宋_GB2312" w:cs="仿宋_GB2312"/>
                <w:kern w:val="0"/>
                <w:szCs w:val="21"/>
              </w:rPr>
              <w:t>5.不存在截留情况；</w:t>
            </w:r>
          </w:p>
          <w:p w14:paraId="19B9DCE7">
            <w:pPr>
              <w:widowControl/>
              <w:spacing w:line="240" w:lineRule="exact"/>
              <w:jc w:val="left"/>
              <w:rPr>
                <w:szCs w:val="21"/>
              </w:rPr>
            </w:pPr>
            <w:r>
              <w:rPr>
                <w:rFonts w:ascii="仿宋_GB2312" w:hAnsi="新宋体" w:eastAsia="仿宋_GB2312" w:cs="仿宋_GB2312"/>
                <w:kern w:val="0"/>
                <w:szCs w:val="21"/>
              </w:rPr>
              <w:t>6.不存在挤占情况；</w:t>
            </w:r>
          </w:p>
          <w:p w14:paraId="622C2147">
            <w:pPr>
              <w:widowControl/>
              <w:spacing w:line="240" w:lineRule="exact"/>
              <w:jc w:val="left"/>
              <w:rPr>
                <w:szCs w:val="21"/>
              </w:rPr>
            </w:pPr>
            <w:r>
              <w:rPr>
                <w:rFonts w:ascii="仿宋_GB2312" w:hAnsi="新宋体" w:eastAsia="仿宋_GB2312" w:cs="仿宋_GB2312"/>
                <w:kern w:val="0"/>
                <w:szCs w:val="21"/>
              </w:rPr>
              <w:t>7.不存在挪用情况；</w:t>
            </w:r>
          </w:p>
          <w:p w14:paraId="3B9BAC84">
            <w:pPr>
              <w:widowControl/>
              <w:spacing w:line="240" w:lineRule="exact"/>
              <w:jc w:val="left"/>
              <w:rPr>
                <w:szCs w:val="21"/>
              </w:rPr>
            </w:pPr>
            <w:r>
              <w:rPr>
                <w:rFonts w:ascii="仿宋_GB2312" w:hAnsi="新宋体" w:eastAsia="仿宋_GB2312" w:cs="仿宋_GB2312"/>
                <w:kern w:val="0"/>
                <w:szCs w:val="21"/>
              </w:rPr>
              <w:t>8.不存在虚列支出情况。</w:t>
            </w:r>
          </w:p>
        </w:tc>
        <w:tc>
          <w:tcPr>
            <w:tcW w:w="2552" w:type="dxa"/>
            <w:tcBorders>
              <w:top w:val="single" w:color="000000" w:sz="4" w:space="0"/>
              <w:left w:val="single" w:color="auto" w:sz="4" w:space="0"/>
              <w:bottom w:val="single" w:color="000000" w:sz="4" w:space="0"/>
              <w:right w:val="single" w:color="auto" w:sz="4" w:space="0"/>
            </w:tcBorders>
            <w:vAlign w:val="center"/>
          </w:tcPr>
          <w:p w14:paraId="6F5AC24E">
            <w:pPr>
              <w:widowControl/>
              <w:spacing w:line="240" w:lineRule="exact"/>
              <w:jc w:val="left"/>
              <w:rPr>
                <w:szCs w:val="21"/>
              </w:rPr>
            </w:pPr>
            <w:r>
              <w:rPr>
                <w:rFonts w:ascii="仿宋_GB2312" w:hAnsi="新宋体" w:eastAsia="仿宋_GB2312" w:cs="仿宋_GB2312"/>
                <w:kern w:val="0"/>
                <w:szCs w:val="21"/>
              </w:rPr>
              <w:t>全部符合（8）；</w:t>
            </w:r>
          </w:p>
          <w:p w14:paraId="46C457FA">
            <w:pPr>
              <w:widowControl/>
              <w:spacing w:line="240" w:lineRule="exact"/>
              <w:jc w:val="left"/>
              <w:rPr>
                <w:szCs w:val="21"/>
              </w:rPr>
            </w:pPr>
            <w:r>
              <w:rPr>
                <w:rFonts w:ascii="仿宋_GB2312" w:hAnsi="新宋体" w:eastAsia="仿宋_GB2312" w:cs="仿宋_GB2312"/>
                <w:kern w:val="0"/>
                <w:szCs w:val="21"/>
              </w:rPr>
              <w:t>符合其中七项（6）；</w:t>
            </w:r>
          </w:p>
          <w:p w14:paraId="79DB2DE8">
            <w:pPr>
              <w:widowControl/>
              <w:spacing w:line="240" w:lineRule="exact"/>
              <w:jc w:val="left"/>
              <w:rPr>
                <w:szCs w:val="21"/>
              </w:rPr>
            </w:pPr>
            <w:r>
              <w:rPr>
                <w:rFonts w:ascii="仿宋_GB2312" w:hAnsi="新宋体" w:eastAsia="仿宋_GB2312" w:cs="仿宋_GB2312"/>
                <w:kern w:val="0"/>
                <w:szCs w:val="21"/>
              </w:rPr>
              <w:t>符合其中六项（4）；</w:t>
            </w:r>
          </w:p>
          <w:p w14:paraId="2CE4B634">
            <w:pPr>
              <w:widowControl/>
              <w:spacing w:line="240" w:lineRule="exact"/>
              <w:jc w:val="left"/>
              <w:rPr>
                <w:szCs w:val="21"/>
              </w:rPr>
            </w:pPr>
            <w:r>
              <w:rPr>
                <w:rFonts w:ascii="仿宋_GB2312" w:hAnsi="新宋体" w:eastAsia="仿宋_GB2312" w:cs="仿宋_GB2312"/>
                <w:kern w:val="0"/>
                <w:szCs w:val="21"/>
              </w:rPr>
              <w:t>符合其中五项（2）；</w:t>
            </w:r>
          </w:p>
          <w:p w14:paraId="7B348211">
            <w:pPr>
              <w:widowControl/>
              <w:spacing w:line="240" w:lineRule="exact"/>
              <w:jc w:val="left"/>
              <w:rPr>
                <w:szCs w:val="21"/>
              </w:rPr>
            </w:pPr>
            <w:r>
              <w:rPr>
                <w:rFonts w:ascii="仿宋_GB2312" w:hAnsi="新宋体" w:eastAsia="仿宋_GB2312" w:cs="仿宋_GB2312"/>
                <w:kern w:val="0"/>
                <w:szCs w:val="21"/>
              </w:rPr>
              <w:t>符合其中四项及以下（0）。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4EB499F7">
            <w:pPr>
              <w:widowControl/>
              <w:spacing w:line="240" w:lineRule="exact"/>
              <w:jc w:val="left"/>
              <w:rPr>
                <w:rFonts w:hint="eastAsia" w:eastAsiaTheme="minorEastAsia"/>
                <w:szCs w:val="21"/>
                <w:lang w:val="en-US" w:eastAsia="zh-CN"/>
              </w:rPr>
            </w:pPr>
            <w:r>
              <w:rPr>
                <w:rFonts w:hint="eastAsia"/>
                <w:szCs w:val="21"/>
                <w:lang w:val="en-US" w:eastAsia="zh-CN"/>
              </w:rPr>
              <w:t>8</w:t>
            </w:r>
          </w:p>
        </w:tc>
      </w:tr>
      <w:tr w14:paraId="3767EC1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16A1D5D7">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41C4E592">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2F68E23">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预决算信息</w:t>
            </w:r>
          </w:p>
          <w:p w14:paraId="6114FD74">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公开性</w:t>
            </w:r>
          </w:p>
          <w:p w14:paraId="4F1495A6">
            <w:pPr>
              <w:widowControl/>
              <w:spacing w:line="240" w:lineRule="exact"/>
              <w:jc w:val="left"/>
              <w:rPr>
                <w:szCs w:val="21"/>
              </w:rPr>
            </w:pPr>
            <w:r>
              <w:rPr>
                <w:rFonts w:ascii="仿宋_GB2312" w:hAnsi="新宋体" w:eastAsia="仿宋_GB2312" w:cs="仿宋_GB2312"/>
                <w:kern w:val="0"/>
                <w:szCs w:val="21"/>
              </w:rPr>
              <w:t>（3</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1BE1119">
            <w:pPr>
              <w:widowControl/>
              <w:spacing w:line="240" w:lineRule="exact"/>
              <w:jc w:val="left"/>
              <w:rPr>
                <w:szCs w:val="21"/>
              </w:rPr>
            </w:pPr>
            <w:r>
              <w:rPr>
                <w:rFonts w:ascii="仿宋_GB2312" w:hAnsi="新宋体" w:eastAsia="仿宋_GB2312" w:cs="仿宋_GB2312"/>
                <w:kern w:val="0"/>
                <w:szCs w:val="21"/>
              </w:rPr>
              <w:t>部门是否按照政府信息公开有关规定公开相关预决算信息，用以反映和评价部门预决算管理的公开透明情况。</w:t>
            </w:r>
          </w:p>
          <w:p w14:paraId="6B8DC554">
            <w:pPr>
              <w:widowControl/>
              <w:spacing w:line="240" w:lineRule="exact"/>
              <w:jc w:val="left"/>
              <w:rPr>
                <w:szCs w:val="21"/>
              </w:rPr>
            </w:pPr>
            <w:r>
              <w:rPr>
                <w:rFonts w:ascii="仿宋_GB2312" w:hAnsi="新宋体" w:eastAsia="仿宋_GB2312" w:cs="仿宋_GB2312"/>
                <w:kern w:val="0"/>
                <w:szCs w:val="21"/>
              </w:rPr>
              <w:t>预决算信息是指与部门预算、执行、决算、监督、绩效等管理相关的信息。</w:t>
            </w:r>
          </w:p>
          <w:p w14:paraId="2D5AAE63">
            <w:pPr>
              <w:widowControl/>
              <w:spacing w:line="240" w:lineRule="exact"/>
              <w:jc w:val="left"/>
              <w:rPr>
                <w:szCs w:val="21"/>
              </w:rPr>
            </w:pPr>
            <w:r>
              <w:rPr>
                <w:rFonts w:ascii="仿宋_GB2312" w:hAnsi="新宋体" w:eastAsia="仿宋_GB2312" w:cs="仿宋_GB2312"/>
                <w:kern w:val="0"/>
                <w:szCs w:val="21"/>
              </w:rPr>
              <w:t>评价要点：</w:t>
            </w:r>
          </w:p>
          <w:p w14:paraId="5B53995C">
            <w:pPr>
              <w:widowControl/>
              <w:spacing w:line="240" w:lineRule="exact"/>
              <w:jc w:val="left"/>
              <w:rPr>
                <w:szCs w:val="21"/>
              </w:rPr>
            </w:pPr>
            <w:r>
              <w:rPr>
                <w:rFonts w:ascii="仿宋_GB2312" w:hAnsi="新宋体" w:eastAsia="仿宋_GB2312" w:cs="仿宋_GB2312"/>
                <w:kern w:val="0"/>
                <w:szCs w:val="21"/>
              </w:rPr>
              <w:t>1.公开预决算信息；</w:t>
            </w:r>
          </w:p>
          <w:p w14:paraId="79203446">
            <w:pPr>
              <w:widowControl/>
              <w:spacing w:line="240" w:lineRule="exact"/>
              <w:jc w:val="left"/>
              <w:rPr>
                <w:szCs w:val="21"/>
              </w:rPr>
            </w:pPr>
            <w:r>
              <w:rPr>
                <w:rFonts w:ascii="仿宋_GB2312" w:hAnsi="新宋体" w:eastAsia="仿宋_GB2312" w:cs="仿宋_GB2312"/>
                <w:kern w:val="0"/>
                <w:szCs w:val="21"/>
              </w:rPr>
              <w:t>2.按规定内容公开预决算信息；</w:t>
            </w:r>
          </w:p>
          <w:p w14:paraId="649282B8">
            <w:pPr>
              <w:widowControl/>
              <w:spacing w:line="240" w:lineRule="exact"/>
              <w:jc w:val="left"/>
              <w:rPr>
                <w:szCs w:val="21"/>
              </w:rPr>
            </w:pPr>
            <w:r>
              <w:rPr>
                <w:rFonts w:ascii="仿宋_GB2312" w:hAnsi="新宋体" w:eastAsia="仿宋_GB2312" w:cs="仿宋_GB2312"/>
                <w:kern w:val="0"/>
                <w:szCs w:val="21"/>
              </w:rPr>
              <w:t>3.按规定时限公开预决算信息。</w:t>
            </w:r>
          </w:p>
        </w:tc>
        <w:tc>
          <w:tcPr>
            <w:tcW w:w="2552" w:type="dxa"/>
            <w:tcBorders>
              <w:top w:val="single" w:color="000000" w:sz="4" w:space="0"/>
              <w:left w:val="single" w:color="auto" w:sz="4" w:space="0"/>
              <w:bottom w:val="single" w:color="000000" w:sz="4" w:space="0"/>
              <w:right w:val="single" w:color="auto" w:sz="4" w:space="0"/>
            </w:tcBorders>
            <w:vAlign w:val="center"/>
          </w:tcPr>
          <w:p w14:paraId="1E81C42E">
            <w:pPr>
              <w:widowControl/>
              <w:spacing w:line="240" w:lineRule="exact"/>
              <w:jc w:val="left"/>
              <w:rPr>
                <w:szCs w:val="21"/>
              </w:rPr>
            </w:pPr>
            <w:r>
              <w:rPr>
                <w:rFonts w:ascii="仿宋_GB2312" w:hAnsi="新宋体" w:eastAsia="仿宋_GB2312" w:cs="仿宋_GB2312"/>
                <w:kern w:val="0"/>
                <w:szCs w:val="21"/>
              </w:rPr>
              <w:t>全部符合（3）；</w:t>
            </w:r>
          </w:p>
          <w:p w14:paraId="7D6F9B7E">
            <w:pPr>
              <w:widowControl/>
              <w:spacing w:line="240" w:lineRule="exact"/>
              <w:jc w:val="left"/>
              <w:rPr>
                <w:szCs w:val="21"/>
              </w:rPr>
            </w:pPr>
            <w:r>
              <w:rPr>
                <w:rFonts w:ascii="仿宋_GB2312" w:hAnsi="新宋体" w:eastAsia="仿宋_GB2312" w:cs="仿宋_GB2312"/>
                <w:kern w:val="0"/>
                <w:szCs w:val="21"/>
              </w:rPr>
              <w:t>符合其中两项（2）</w:t>
            </w:r>
          </w:p>
          <w:p w14:paraId="13A4E70A">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6B62CD63">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170DEC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47656E38">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1EC0974D">
            <w:pPr>
              <w:spacing w:line="240" w:lineRule="exact"/>
              <w:rPr>
                <w:rFonts w:ascii="宋体"/>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5216030B">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基础信息</w:t>
            </w:r>
          </w:p>
          <w:p w14:paraId="11A09247">
            <w:pPr>
              <w:widowControl/>
              <w:spacing w:line="240" w:lineRule="exact"/>
              <w:jc w:val="left"/>
              <w:rPr>
                <w:rFonts w:ascii="仿宋_GB2312" w:hAnsi="新宋体" w:eastAsia="仿宋_GB2312" w:cs="仿宋_GB2312"/>
                <w:color w:val="000000"/>
                <w:kern w:val="0"/>
                <w:szCs w:val="21"/>
              </w:rPr>
            </w:pPr>
            <w:r>
              <w:rPr>
                <w:rFonts w:ascii="仿宋_GB2312" w:hAnsi="新宋体" w:eastAsia="仿宋_GB2312" w:cs="仿宋_GB2312"/>
                <w:color w:val="000000"/>
                <w:kern w:val="0"/>
                <w:szCs w:val="21"/>
              </w:rPr>
              <w:t>完善性</w:t>
            </w:r>
          </w:p>
          <w:p w14:paraId="10DE84E6">
            <w:pPr>
              <w:widowControl/>
              <w:spacing w:line="240" w:lineRule="exact"/>
              <w:jc w:val="left"/>
              <w:rPr>
                <w:szCs w:val="21"/>
              </w:rPr>
            </w:pPr>
            <w:r>
              <w:rPr>
                <w:rFonts w:ascii="仿宋_GB2312" w:hAnsi="新宋体" w:eastAsia="仿宋_GB2312" w:cs="仿宋_GB2312"/>
                <w:kern w:val="0"/>
                <w:szCs w:val="21"/>
              </w:rPr>
              <w:t>（4</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3A980987">
            <w:pPr>
              <w:widowControl/>
              <w:spacing w:line="240" w:lineRule="exact"/>
              <w:jc w:val="left"/>
              <w:rPr>
                <w:szCs w:val="21"/>
              </w:rPr>
            </w:pPr>
            <w:r>
              <w:rPr>
                <w:rFonts w:ascii="仿宋_GB2312" w:hAnsi="新宋体" w:eastAsia="仿宋_GB2312" w:cs="仿宋_GB2312"/>
                <w:kern w:val="0"/>
                <w:szCs w:val="21"/>
              </w:rPr>
              <w:t>部门基础信息是否完善，用以反映和评价基础信息对预算管理工作的支撑情况。</w:t>
            </w:r>
          </w:p>
          <w:p w14:paraId="22411397">
            <w:pPr>
              <w:widowControl/>
              <w:spacing w:line="240" w:lineRule="exact"/>
              <w:jc w:val="left"/>
              <w:rPr>
                <w:szCs w:val="21"/>
              </w:rPr>
            </w:pPr>
            <w:r>
              <w:rPr>
                <w:rFonts w:ascii="仿宋_GB2312" w:hAnsi="新宋体" w:eastAsia="仿宋_GB2312" w:cs="仿宋_GB2312"/>
                <w:kern w:val="0"/>
                <w:szCs w:val="21"/>
              </w:rPr>
              <w:t>评价要点：</w:t>
            </w:r>
          </w:p>
          <w:p w14:paraId="6D920B3D">
            <w:pPr>
              <w:widowControl/>
              <w:spacing w:line="240" w:lineRule="exact"/>
              <w:jc w:val="left"/>
              <w:rPr>
                <w:szCs w:val="21"/>
              </w:rPr>
            </w:pPr>
            <w:r>
              <w:rPr>
                <w:rFonts w:ascii="仿宋_GB2312" w:hAnsi="新宋体" w:eastAsia="仿宋_GB2312" w:cs="仿宋_GB2312"/>
                <w:kern w:val="0"/>
                <w:szCs w:val="21"/>
              </w:rPr>
              <w:t>1.基本财务管理制度健全；</w:t>
            </w:r>
          </w:p>
          <w:p w14:paraId="1BB8B315">
            <w:pPr>
              <w:widowControl/>
              <w:spacing w:line="240" w:lineRule="exact"/>
              <w:jc w:val="left"/>
              <w:rPr>
                <w:szCs w:val="21"/>
              </w:rPr>
            </w:pPr>
            <w:r>
              <w:rPr>
                <w:rFonts w:ascii="仿宋_GB2312" w:hAnsi="新宋体" w:eastAsia="仿宋_GB2312" w:cs="仿宋_GB2312"/>
                <w:kern w:val="0"/>
                <w:szCs w:val="21"/>
              </w:rPr>
              <w:t>2.基础数据信息和会计信息资料真实；</w:t>
            </w:r>
          </w:p>
          <w:p w14:paraId="5910BB97">
            <w:pPr>
              <w:widowControl/>
              <w:spacing w:line="240" w:lineRule="exact"/>
              <w:jc w:val="left"/>
              <w:rPr>
                <w:szCs w:val="21"/>
              </w:rPr>
            </w:pPr>
            <w:r>
              <w:rPr>
                <w:rFonts w:ascii="仿宋_GB2312" w:hAnsi="新宋体" w:eastAsia="仿宋_GB2312" w:cs="仿宋_GB2312"/>
                <w:kern w:val="0"/>
                <w:szCs w:val="21"/>
              </w:rPr>
              <w:t>3.基础数据信息和会计信息资料完整；</w:t>
            </w:r>
          </w:p>
          <w:p w14:paraId="419AD108">
            <w:pPr>
              <w:widowControl/>
              <w:spacing w:line="240" w:lineRule="exact"/>
              <w:jc w:val="left"/>
              <w:rPr>
                <w:szCs w:val="21"/>
              </w:rPr>
            </w:pPr>
            <w:r>
              <w:rPr>
                <w:rFonts w:ascii="仿宋_GB2312" w:hAnsi="新宋体" w:eastAsia="仿宋_GB2312" w:cs="仿宋_GB2312"/>
                <w:kern w:val="0"/>
                <w:szCs w:val="21"/>
              </w:rPr>
              <w:t>4.基础数据信息和会计信息资料准确。</w:t>
            </w:r>
          </w:p>
        </w:tc>
        <w:tc>
          <w:tcPr>
            <w:tcW w:w="2552" w:type="dxa"/>
            <w:tcBorders>
              <w:top w:val="single" w:color="000000" w:sz="4" w:space="0"/>
              <w:left w:val="single" w:color="auto" w:sz="4" w:space="0"/>
              <w:bottom w:val="single" w:color="000000" w:sz="4" w:space="0"/>
              <w:right w:val="single" w:color="auto" w:sz="4" w:space="0"/>
            </w:tcBorders>
            <w:vAlign w:val="center"/>
          </w:tcPr>
          <w:p w14:paraId="10FFC873">
            <w:pPr>
              <w:widowControl/>
              <w:spacing w:line="240" w:lineRule="exact"/>
              <w:jc w:val="left"/>
              <w:rPr>
                <w:szCs w:val="21"/>
              </w:rPr>
            </w:pPr>
            <w:r>
              <w:rPr>
                <w:rFonts w:ascii="仿宋_GB2312" w:hAnsi="新宋体" w:eastAsia="仿宋_GB2312" w:cs="仿宋_GB2312"/>
                <w:kern w:val="0"/>
                <w:szCs w:val="21"/>
              </w:rPr>
              <w:t>符合全部四项（4）；</w:t>
            </w:r>
          </w:p>
          <w:p w14:paraId="28A5A0E5">
            <w:pPr>
              <w:widowControl/>
              <w:spacing w:line="240" w:lineRule="exact"/>
              <w:jc w:val="left"/>
              <w:rPr>
                <w:szCs w:val="21"/>
              </w:rPr>
            </w:pPr>
            <w:r>
              <w:rPr>
                <w:rFonts w:ascii="仿宋_GB2312" w:hAnsi="新宋体" w:eastAsia="仿宋_GB2312" w:cs="仿宋_GB2312"/>
                <w:kern w:val="0"/>
                <w:szCs w:val="21"/>
              </w:rPr>
              <w:t>符合其中三项（2）；</w:t>
            </w:r>
          </w:p>
          <w:p w14:paraId="48E30478">
            <w:pPr>
              <w:widowControl/>
              <w:spacing w:line="240" w:lineRule="exact"/>
              <w:jc w:val="left"/>
              <w:rPr>
                <w:szCs w:val="21"/>
              </w:rPr>
            </w:pPr>
            <w:r>
              <w:rPr>
                <w:rFonts w:ascii="仿宋_GB2312" w:hAnsi="新宋体" w:eastAsia="仿宋_GB2312" w:cs="仿宋_GB2312"/>
                <w:kern w:val="0"/>
                <w:szCs w:val="21"/>
              </w:rPr>
              <w:t>符合其中两项（1）；</w:t>
            </w:r>
          </w:p>
          <w:p w14:paraId="116C73E0">
            <w:pPr>
              <w:widowControl/>
              <w:spacing w:line="240" w:lineRule="exact"/>
              <w:jc w:val="left"/>
              <w:rPr>
                <w:szCs w:val="21"/>
              </w:rPr>
            </w:pPr>
            <w:r>
              <w:rPr>
                <w:rFonts w:ascii="仿宋_GB2312" w:hAnsi="新宋体" w:eastAsia="仿宋_GB2312" w:cs="仿宋_GB2312"/>
                <w:kern w:val="0"/>
                <w:szCs w:val="21"/>
              </w:rPr>
              <w:t>符合其中一项及以下（0）。</w:t>
            </w:r>
          </w:p>
        </w:tc>
        <w:tc>
          <w:tcPr>
            <w:tcW w:w="567" w:type="dxa"/>
            <w:tcBorders>
              <w:top w:val="single" w:color="000000" w:sz="4" w:space="0"/>
              <w:left w:val="single" w:color="auto" w:sz="4" w:space="0"/>
              <w:bottom w:val="single" w:color="000000" w:sz="4" w:space="0"/>
              <w:right w:val="single" w:color="000000" w:sz="4" w:space="0"/>
            </w:tcBorders>
            <w:vAlign w:val="center"/>
          </w:tcPr>
          <w:p w14:paraId="000756ED">
            <w:pPr>
              <w:widowControl/>
              <w:spacing w:line="240" w:lineRule="exact"/>
              <w:jc w:val="left"/>
              <w:rPr>
                <w:rFonts w:hint="eastAsia" w:eastAsiaTheme="minorEastAsia"/>
                <w:szCs w:val="21"/>
                <w:lang w:val="en-US" w:eastAsia="zh-CN"/>
              </w:rPr>
            </w:pPr>
            <w:r>
              <w:rPr>
                <w:rFonts w:hint="eastAsia"/>
                <w:szCs w:val="21"/>
                <w:lang w:val="en-US" w:eastAsia="zh-CN"/>
              </w:rPr>
              <w:t>4</w:t>
            </w:r>
          </w:p>
        </w:tc>
      </w:tr>
      <w:tr w14:paraId="2B7378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65F1A23F">
            <w:pPr>
              <w:spacing w:line="240" w:lineRule="exact"/>
              <w:rPr>
                <w:rFonts w:ascii="宋体"/>
                <w:szCs w:val="21"/>
              </w:rPr>
            </w:pP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1DD8C86B">
            <w:pPr>
              <w:widowControl/>
              <w:spacing w:line="240" w:lineRule="exact"/>
              <w:jc w:val="left"/>
              <w:rPr>
                <w:szCs w:val="21"/>
              </w:rPr>
            </w:pPr>
            <w:r>
              <w:rPr>
                <w:rFonts w:ascii="仿宋_GB2312" w:hAnsi="新宋体" w:eastAsia="仿宋_GB2312" w:cs="仿宋_GB2312"/>
                <w:kern w:val="0"/>
                <w:szCs w:val="21"/>
              </w:rPr>
              <w:t>资产管理</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auto" w:sz="4" w:space="0"/>
              <w:left w:val="single" w:color="000000" w:sz="4" w:space="0"/>
              <w:bottom w:val="single" w:color="000000" w:sz="4" w:space="0"/>
              <w:right w:val="single" w:color="auto" w:sz="4" w:space="0"/>
            </w:tcBorders>
            <w:vAlign w:val="center"/>
          </w:tcPr>
          <w:p w14:paraId="5D773F10">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资产管理</w:t>
            </w:r>
          </w:p>
          <w:p w14:paraId="7A592AFA">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完整性</w:t>
            </w:r>
          </w:p>
          <w:p w14:paraId="1BCA30B7">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2分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695B112C">
            <w:pPr>
              <w:widowControl/>
              <w:spacing w:line="240" w:lineRule="exact"/>
              <w:jc w:val="left"/>
              <w:rPr>
                <w:szCs w:val="21"/>
              </w:rPr>
            </w:pPr>
            <w:r>
              <w:rPr>
                <w:rFonts w:ascii="仿宋_GB2312" w:hAnsi="新宋体" w:eastAsia="仿宋_GB2312" w:cs="仿宋_GB2312"/>
                <w:kern w:val="0"/>
                <w:szCs w:val="21"/>
              </w:rPr>
              <w:t>部门的资产是否保存完整、使用合规、收入及时足额上缴，用以反映和评价部门资产运行情况。</w:t>
            </w:r>
          </w:p>
          <w:p w14:paraId="2B00128F">
            <w:pPr>
              <w:widowControl/>
              <w:spacing w:line="240" w:lineRule="exact"/>
              <w:jc w:val="left"/>
              <w:rPr>
                <w:szCs w:val="21"/>
              </w:rPr>
            </w:pPr>
            <w:r>
              <w:rPr>
                <w:rFonts w:ascii="仿宋_GB2312" w:hAnsi="新宋体" w:eastAsia="仿宋_GB2312" w:cs="仿宋_GB2312"/>
                <w:kern w:val="0"/>
                <w:szCs w:val="21"/>
              </w:rPr>
              <w:t>评价要点：</w:t>
            </w:r>
          </w:p>
          <w:p w14:paraId="09B05B45">
            <w:pPr>
              <w:widowControl/>
              <w:spacing w:line="240" w:lineRule="exact"/>
              <w:jc w:val="left"/>
              <w:rPr>
                <w:szCs w:val="21"/>
              </w:rPr>
            </w:pPr>
            <w:r>
              <w:rPr>
                <w:rFonts w:ascii="仿宋_GB2312" w:hAnsi="新宋体" w:eastAsia="仿宋_GB2312" w:cs="仿宋_GB2312"/>
                <w:kern w:val="0"/>
                <w:szCs w:val="21"/>
              </w:rPr>
              <w:t>1.资产保存完整；</w:t>
            </w:r>
          </w:p>
          <w:p w14:paraId="1DB09EE2">
            <w:pPr>
              <w:widowControl/>
              <w:spacing w:line="240" w:lineRule="exact"/>
              <w:jc w:val="left"/>
              <w:rPr>
                <w:szCs w:val="21"/>
              </w:rPr>
            </w:pPr>
            <w:r>
              <w:rPr>
                <w:rFonts w:ascii="仿宋_GB2312" w:hAnsi="新宋体" w:eastAsia="仿宋_GB2312" w:cs="仿宋_GB2312"/>
                <w:kern w:val="0"/>
                <w:szCs w:val="21"/>
              </w:rPr>
              <w:t>2.资产账务管理是否合规，帐实相符；</w:t>
            </w:r>
          </w:p>
          <w:p w14:paraId="61462394">
            <w:pPr>
              <w:widowControl/>
              <w:spacing w:line="240" w:lineRule="exact"/>
              <w:jc w:val="left"/>
              <w:rPr>
                <w:szCs w:val="21"/>
              </w:rPr>
            </w:pPr>
            <w:r>
              <w:rPr>
                <w:rFonts w:ascii="仿宋_GB2312" w:hAnsi="新宋体" w:eastAsia="仿宋_GB2312" w:cs="仿宋_GB2312"/>
                <w:kern w:val="0"/>
                <w:szCs w:val="21"/>
              </w:rPr>
              <w:t>3.资产有偿使用及处置收入及时足额上缴。</w:t>
            </w:r>
          </w:p>
        </w:tc>
        <w:tc>
          <w:tcPr>
            <w:tcW w:w="2552" w:type="dxa"/>
            <w:tcBorders>
              <w:top w:val="single" w:color="auto" w:sz="4" w:space="0"/>
              <w:left w:val="single" w:color="auto" w:sz="4" w:space="0"/>
              <w:bottom w:val="single" w:color="000000" w:sz="4" w:space="0"/>
              <w:right w:val="single" w:color="auto" w:sz="4" w:space="0"/>
            </w:tcBorders>
            <w:vAlign w:val="center"/>
          </w:tcPr>
          <w:p w14:paraId="6BF4DB93">
            <w:pPr>
              <w:widowControl/>
              <w:spacing w:line="240" w:lineRule="exact"/>
              <w:jc w:val="left"/>
              <w:rPr>
                <w:szCs w:val="21"/>
              </w:rPr>
            </w:pPr>
            <w:r>
              <w:rPr>
                <w:rFonts w:ascii="仿宋_GB2312" w:hAnsi="新宋体" w:eastAsia="仿宋_GB2312" w:cs="仿宋_GB2312"/>
                <w:kern w:val="0"/>
                <w:szCs w:val="21"/>
              </w:rPr>
              <w:t>符合全部三项（3）；</w:t>
            </w:r>
          </w:p>
          <w:p w14:paraId="2C73AF30">
            <w:pPr>
              <w:widowControl/>
              <w:spacing w:line="240" w:lineRule="exact"/>
              <w:jc w:val="left"/>
              <w:rPr>
                <w:szCs w:val="21"/>
              </w:rPr>
            </w:pPr>
            <w:r>
              <w:rPr>
                <w:rFonts w:ascii="仿宋_GB2312" w:hAnsi="新宋体" w:eastAsia="仿宋_GB2312" w:cs="仿宋_GB2312"/>
                <w:kern w:val="0"/>
                <w:szCs w:val="21"/>
              </w:rPr>
              <w:t>符合其中两项（2）；</w:t>
            </w:r>
          </w:p>
          <w:p w14:paraId="28271CEA">
            <w:pPr>
              <w:widowControl/>
              <w:spacing w:line="240" w:lineRule="exact"/>
              <w:jc w:val="left"/>
              <w:rPr>
                <w:szCs w:val="21"/>
              </w:rPr>
            </w:pPr>
            <w:r>
              <w:rPr>
                <w:rFonts w:ascii="仿宋_GB2312" w:hAnsi="新宋体" w:eastAsia="仿宋_GB2312" w:cs="仿宋_GB2312"/>
                <w:kern w:val="0"/>
                <w:szCs w:val="21"/>
              </w:rPr>
              <w:t>符合其中一项（1）；</w:t>
            </w:r>
          </w:p>
          <w:p w14:paraId="5CF999B0">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符合零项（0）。</w:t>
            </w:r>
          </w:p>
        </w:tc>
        <w:tc>
          <w:tcPr>
            <w:tcW w:w="567" w:type="dxa"/>
            <w:tcBorders>
              <w:top w:val="single" w:color="auto" w:sz="4" w:space="0"/>
              <w:left w:val="single" w:color="auto" w:sz="4" w:space="0"/>
              <w:bottom w:val="single" w:color="000000" w:sz="4" w:space="0"/>
              <w:right w:val="single" w:color="000000" w:sz="4" w:space="0"/>
            </w:tcBorders>
            <w:vAlign w:val="center"/>
          </w:tcPr>
          <w:p w14:paraId="037ECA50">
            <w:pPr>
              <w:widowControl/>
              <w:spacing w:line="240" w:lineRule="exact"/>
              <w:jc w:val="left"/>
              <w:rPr>
                <w:rFonts w:hint="eastAsia" w:eastAsiaTheme="minorEastAsia"/>
                <w:szCs w:val="21"/>
                <w:lang w:val="en-US" w:eastAsia="zh-CN"/>
              </w:rPr>
            </w:pPr>
            <w:r>
              <w:rPr>
                <w:rFonts w:hint="eastAsia"/>
                <w:szCs w:val="21"/>
                <w:lang w:val="en-US" w:eastAsia="zh-CN"/>
              </w:rPr>
              <w:t>2</w:t>
            </w:r>
          </w:p>
        </w:tc>
      </w:tr>
      <w:tr w14:paraId="297BBE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689"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0BB447FA">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5316384F">
            <w:pPr>
              <w:spacing w:line="240" w:lineRule="exact"/>
              <w:rPr>
                <w:rFonts w:ascii="宋体"/>
                <w:szCs w:val="21"/>
              </w:rPr>
            </w:pPr>
          </w:p>
        </w:tc>
        <w:tc>
          <w:tcPr>
            <w:tcW w:w="1559" w:type="dxa"/>
            <w:tcBorders>
              <w:top w:val="single" w:color="auto" w:sz="4" w:space="0"/>
              <w:left w:val="single" w:color="000000" w:sz="4" w:space="0"/>
              <w:bottom w:val="single" w:color="000000" w:sz="4" w:space="0"/>
              <w:right w:val="single" w:color="auto" w:sz="4" w:space="0"/>
            </w:tcBorders>
            <w:vAlign w:val="center"/>
          </w:tcPr>
          <w:p w14:paraId="7FFB7FFE">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固定资产</w:t>
            </w:r>
          </w:p>
          <w:p w14:paraId="16B11745">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利用率</w:t>
            </w:r>
          </w:p>
          <w:p w14:paraId="69F33EE0">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3分</w:t>
            </w:r>
            <w:r>
              <w:rPr>
                <w:rFonts w:ascii="仿宋_GB2312" w:hAnsi="新宋体" w:eastAsia="仿宋_GB2312" w:cs="仿宋_GB2312"/>
                <w:kern w:val="0"/>
                <w:szCs w:val="21"/>
              </w:rPr>
              <w:t>）</w:t>
            </w:r>
          </w:p>
        </w:tc>
        <w:tc>
          <w:tcPr>
            <w:tcW w:w="3260" w:type="dxa"/>
            <w:tcBorders>
              <w:top w:val="single" w:color="auto" w:sz="4" w:space="0"/>
              <w:left w:val="single" w:color="auto" w:sz="4" w:space="0"/>
              <w:bottom w:val="single" w:color="000000" w:sz="4" w:space="0"/>
              <w:right w:val="single" w:color="auto" w:sz="4" w:space="0"/>
            </w:tcBorders>
            <w:vAlign w:val="center"/>
          </w:tcPr>
          <w:p w14:paraId="1C113420">
            <w:pPr>
              <w:widowControl/>
              <w:spacing w:line="240" w:lineRule="exact"/>
              <w:jc w:val="left"/>
              <w:rPr>
                <w:szCs w:val="21"/>
              </w:rPr>
            </w:pPr>
            <w:r>
              <w:rPr>
                <w:rFonts w:ascii="仿宋_GB2312" w:hAnsi="新宋体" w:eastAsia="仿宋_GB2312" w:cs="仿宋_GB2312"/>
                <w:kern w:val="0"/>
                <w:szCs w:val="21"/>
              </w:rPr>
              <w:t>部门实际在用固定资产总额与所有固定资产总额的比率，用以反映和评价部门固定资产使用效率。</w:t>
            </w:r>
          </w:p>
          <w:p w14:paraId="709174E7">
            <w:pPr>
              <w:widowControl/>
              <w:spacing w:line="240" w:lineRule="exact"/>
              <w:jc w:val="left"/>
              <w:rPr>
                <w:szCs w:val="21"/>
              </w:rPr>
            </w:pPr>
            <w:r>
              <w:rPr>
                <w:rFonts w:ascii="仿宋_GB2312" w:hAnsi="新宋体" w:eastAsia="仿宋_GB2312" w:cs="仿宋_GB2312"/>
                <w:kern w:val="0"/>
                <w:szCs w:val="21"/>
              </w:rPr>
              <w:t>固定资产利用率=（实际在用固定资产总额/所有固定资产总额）×100%。</w:t>
            </w:r>
          </w:p>
        </w:tc>
        <w:tc>
          <w:tcPr>
            <w:tcW w:w="2552" w:type="dxa"/>
            <w:tcBorders>
              <w:top w:val="single" w:color="auto" w:sz="4" w:space="0"/>
              <w:left w:val="single" w:color="auto" w:sz="4" w:space="0"/>
              <w:bottom w:val="single" w:color="000000" w:sz="4" w:space="0"/>
              <w:right w:val="single" w:color="auto" w:sz="4" w:space="0"/>
            </w:tcBorders>
            <w:vAlign w:val="center"/>
          </w:tcPr>
          <w:p w14:paraId="1A20E2A2">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1.固定资产利用率大于或等于95%的，得满分；</w:t>
            </w:r>
          </w:p>
          <w:p w14:paraId="394FCDCE">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2.固定资产利用率小于或等于85%的，得0分；</w:t>
            </w:r>
          </w:p>
          <w:p w14:paraId="1C7B3C8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3.固定资产利用率在85%-95%之间的，在0和满分之间计算确定：</w:t>
            </w:r>
          </w:p>
          <w:p w14:paraId="706744D1">
            <w:pPr>
              <w:widowControl/>
              <w:pBdr>
                <w:top w:val="none" w:color="000000" w:sz="0" w:space="0"/>
                <w:left w:val="none" w:color="000000" w:sz="0" w:space="0"/>
                <w:bottom w:val="none" w:color="000000" w:sz="0" w:space="0"/>
                <w:right w:val="none" w:color="000000" w:sz="0" w:space="0"/>
              </w:pBdr>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得分=［某部门固定资产利用率-min（固定资产利用率）］/［max（固定资产利用率）-min（固定资产利用率）］×该指标分值。</w:t>
            </w:r>
          </w:p>
          <w:p w14:paraId="17DDB7A9">
            <w:pPr>
              <w:widowControl/>
              <w:pBdr>
                <w:top w:val="none" w:color="000000" w:sz="0" w:space="0"/>
                <w:left w:val="none" w:color="000000" w:sz="0" w:space="0"/>
                <w:bottom w:val="none" w:color="000000" w:sz="0" w:space="0"/>
                <w:right w:val="none" w:color="000000" w:sz="0" w:space="0"/>
              </w:pBdr>
              <w:spacing w:line="240" w:lineRule="exact"/>
              <w:jc w:val="left"/>
              <w:rPr>
                <w:szCs w:val="21"/>
              </w:rPr>
            </w:pPr>
          </w:p>
        </w:tc>
        <w:tc>
          <w:tcPr>
            <w:tcW w:w="567" w:type="dxa"/>
            <w:tcBorders>
              <w:top w:val="single" w:color="auto" w:sz="4" w:space="0"/>
              <w:left w:val="single" w:color="auto" w:sz="4" w:space="0"/>
              <w:bottom w:val="single" w:color="000000" w:sz="4" w:space="0"/>
              <w:right w:val="single" w:color="000000" w:sz="4" w:space="0"/>
            </w:tcBorders>
            <w:vAlign w:val="center"/>
          </w:tcPr>
          <w:p w14:paraId="1EE4B766">
            <w:pPr>
              <w:widowControl/>
              <w:spacing w:line="240" w:lineRule="exact"/>
              <w:jc w:val="left"/>
              <w:rPr>
                <w:rFonts w:hint="eastAsia" w:eastAsiaTheme="minorEastAsia"/>
                <w:szCs w:val="21"/>
                <w:lang w:val="en-US" w:eastAsia="zh-CN"/>
              </w:rPr>
            </w:pPr>
            <w:r>
              <w:rPr>
                <w:rFonts w:hint="eastAsia"/>
                <w:szCs w:val="21"/>
                <w:lang w:val="en-US" w:eastAsia="zh-CN"/>
              </w:rPr>
              <w:t>3</w:t>
            </w:r>
          </w:p>
        </w:tc>
      </w:tr>
      <w:tr w14:paraId="58946C5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0DD43F0F">
            <w:pPr>
              <w:widowControl/>
              <w:spacing w:line="240" w:lineRule="exact"/>
              <w:jc w:val="left"/>
              <w:rPr>
                <w:szCs w:val="21"/>
              </w:rPr>
            </w:pPr>
            <w:r>
              <w:rPr>
                <w:rFonts w:ascii="仿宋_GB2312" w:hAnsi="新宋体" w:eastAsia="仿宋_GB2312" w:cs="仿宋_GB2312"/>
                <w:kern w:val="0"/>
                <w:szCs w:val="21"/>
              </w:rPr>
              <w:t>产出(2</w:t>
            </w:r>
            <w:r>
              <w:rPr>
                <w:rFonts w:hint="eastAsia" w:ascii="仿宋_GB2312" w:hAnsi="新宋体" w:eastAsia="仿宋_GB2312" w:cs="仿宋_GB2312"/>
                <w:kern w:val="0"/>
                <w:szCs w:val="21"/>
              </w:rPr>
              <w:t>5分</w:t>
            </w:r>
            <w:r>
              <w:rPr>
                <w:rFonts w:ascii="仿宋_GB2312" w:hAnsi="新宋体" w:eastAsia="仿宋_GB2312" w:cs="仿宋_GB2312"/>
                <w:kern w:val="0"/>
                <w:szCs w:val="21"/>
              </w:rPr>
              <w:t>)</w:t>
            </w:r>
          </w:p>
        </w:tc>
        <w:tc>
          <w:tcPr>
            <w:tcW w:w="851" w:type="dxa"/>
            <w:vMerge w:val="restart"/>
            <w:tcBorders>
              <w:top w:val="single" w:color="000000" w:sz="4" w:space="0"/>
              <w:left w:val="single" w:color="000000" w:sz="4" w:space="0"/>
              <w:bottom w:val="single" w:color="000000" w:sz="4" w:space="0"/>
              <w:right w:val="single" w:color="000000" w:sz="4" w:space="0"/>
            </w:tcBorders>
            <w:vAlign w:val="center"/>
          </w:tcPr>
          <w:p w14:paraId="52AABDDD">
            <w:pPr>
              <w:widowControl/>
              <w:spacing w:line="240" w:lineRule="exact"/>
              <w:jc w:val="left"/>
              <w:rPr>
                <w:szCs w:val="21"/>
              </w:rPr>
            </w:pPr>
            <w:r>
              <w:rPr>
                <w:rFonts w:ascii="仿宋_GB2312" w:hAnsi="新宋体" w:eastAsia="仿宋_GB2312" w:cs="仿宋_GB2312"/>
                <w:kern w:val="0"/>
                <w:szCs w:val="21"/>
              </w:rPr>
              <w:t>职责履行</w:t>
            </w:r>
            <w:r>
              <w:rPr>
                <w:rFonts w:hint="eastAsia" w:ascii="仿宋_GB2312" w:hAnsi="新宋体" w:eastAsia="仿宋_GB2312" w:cs="仿宋_GB2312"/>
                <w:kern w:val="0"/>
                <w:szCs w:val="21"/>
              </w:rPr>
              <w:t>情况</w:t>
            </w:r>
            <w:r>
              <w:rPr>
                <w:rFonts w:ascii="仿宋_GB2312" w:hAnsi="新宋体" w:eastAsia="仿宋_GB2312" w:cs="仿宋_GB2312"/>
                <w:kern w:val="0"/>
                <w:sz w:val="18"/>
                <w:szCs w:val="18"/>
              </w:rPr>
              <w:t>（2</w:t>
            </w:r>
            <w:r>
              <w:rPr>
                <w:rFonts w:hint="eastAsia" w:ascii="仿宋_GB2312" w:hAnsi="新宋体" w:eastAsia="仿宋_GB2312" w:cs="仿宋_GB2312"/>
                <w:kern w:val="0"/>
                <w:sz w:val="18"/>
                <w:szCs w:val="18"/>
              </w:rPr>
              <w:t>5分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auto" w:sz="4" w:space="0"/>
              <w:right w:val="single" w:color="auto" w:sz="4" w:space="0"/>
            </w:tcBorders>
            <w:vAlign w:val="center"/>
          </w:tcPr>
          <w:p w14:paraId="0B2655F1">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w:t>
            </w:r>
          </w:p>
          <w:p w14:paraId="0A4A4AB9">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完成</w:t>
            </w:r>
          </w:p>
          <w:p w14:paraId="59854CC2">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情况</w:t>
            </w:r>
          </w:p>
          <w:p w14:paraId="65312B91">
            <w:pPr>
              <w:widowControl/>
              <w:spacing w:line="240" w:lineRule="exact"/>
              <w:jc w:val="left"/>
              <w:rPr>
                <w:szCs w:val="21"/>
              </w:rPr>
            </w:pPr>
            <w:r>
              <w:rPr>
                <w:rFonts w:ascii="仿宋_GB2312" w:hAnsi="新宋体" w:eastAsia="仿宋_GB2312" w:cs="仿宋_GB2312"/>
                <w:kern w:val="0"/>
                <w:szCs w:val="21"/>
              </w:rPr>
              <w:t>（</w:t>
            </w:r>
            <w:r>
              <w:rPr>
                <w:rFonts w:hint="eastAsia" w:ascii="仿宋_GB2312" w:hAnsi="新宋体" w:eastAsia="仿宋_GB2312" w:cs="仿宋_GB2312"/>
                <w:kern w:val="0"/>
                <w:szCs w:val="21"/>
              </w:rPr>
              <w:t>10分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auto" w:sz="4" w:space="0"/>
              <w:right w:val="single" w:color="auto" w:sz="4" w:space="0"/>
            </w:tcBorders>
            <w:vAlign w:val="center"/>
          </w:tcPr>
          <w:p w14:paraId="2C45583B">
            <w:pPr>
              <w:widowControl/>
              <w:spacing w:line="240" w:lineRule="exact"/>
              <w:jc w:val="left"/>
              <w:textAlignment w:val="center"/>
              <w:rPr>
                <w:szCs w:val="21"/>
              </w:rPr>
            </w:pPr>
            <w:r>
              <w:rPr>
                <w:rFonts w:hint="eastAsia" w:ascii="仿宋" w:hAnsi="仿宋" w:eastAsia="仿宋" w:cs="仿宋"/>
                <w:color w:val="000000"/>
                <w:kern w:val="0"/>
                <w:szCs w:val="21"/>
              </w:rPr>
              <w:t>根据年度主要任务分解表的具体任务，逐项评价任务量化指标完成情况、实施效果和责任制建立情况。用以反映和考核部门（单位）履职工作任务目标的完成情况。评价要点：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1.每项任务是否已制定了明确、具体、可量化、可衡量的绩效指标；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2.每项任务绩效指标的完成情况，是全部完成、基本完成、未完成，还是未实施；</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3.每项任务实施效果情况，是优秀、良好、一般，还是无效果；</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4.每项任务是否建立了目标责任制，是否落实到具体部门和人员负责。</w:t>
            </w:r>
          </w:p>
        </w:tc>
        <w:tc>
          <w:tcPr>
            <w:tcW w:w="2552" w:type="dxa"/>
            <w:tcBorders>
              <w:top w:val="single" w:color="000000" w:sz="4" w:space="0"/>
              <w:left w:val="single" w:color="auto" w:sz="4" w:space="0"/>
              <w:bottom w:val="single" w:color="auto" w:sz="4" w:space="0"/>
              <w:right w:val="single" w:color="auto" w:sz="4" w:space="0"/>
            </w:tcBorders>
            <w:vAlign w:val="center"/>
          </w:tcPr>
          <w:p w14:paraId="0DFCC0AC">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根据不同部门履职的内容和特点，具体测算部门履职工作任务目标的完成情况。</w:t>
            </w:r>
          </w:p>
        </w:tc>
        <w:tc>
          <w:tcPr>
            <w:tcW w:w="567" w:type="dxa"/>
            <w:tcBorders>
              <w:top w:val="single" w:color="000000" w:sz="4" w:space="0"/>
              <w:left w:val="single" w:color="auto" w:sz="4" w:space="0"/>
              <w:bottom w:val="single" w:color="auto" w:sz="4" w:space="0"/>
              <w:right w:val="single" w:color="000000" w:sz="4" w:space="0"/>
            </w:tcBorders>
            <w:vAlign w:val="center"/>
          </w:tcPr>
          <w:p w14:paraId="15180B85">
            <w:pPr>
              <w:widowControl/>
              <w:spacing w:line="240" w:lineRule="exact"/>
              <w:jc w:val="left"/>
              <w:rPr>
                <w:rFonts w:hint="default" w:eastAsiaTheme="minorEastAsia"/>
                <w:szCs w:val="21"/>
                <w:lang w:val="en-US" w:eastAsia="zh-CN"/>
              </w:rPr>
            </w:pPr>
            <w:r>
              <w:rPr>
                <w:rFonts w:hint="eastAsia"/>
                <w:szCs w:val="21"/>
                <w:lang w:val="en-US" w:eastAsia="zh-CN"/>
              </w:rPr>
              <w:t>10</w:t>
            </w:r>
          </w:p>
        </w:tc>
      </w:tr>
      <w:tr w14:paraId="350B136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7D010BB9">
            <w:pPr>
              <w:spacing w:line="240" w:lineRule="exact"/>
              <w:rPr>
                <w:rFonts w:ascii="宋体"/>
                <w:szCs w:val="21"/>
              </w:rPr>
            </w:pPr>
          </w:p>
        </w:tc>
        <w:tc>
          <w:tcPr>
            <w:tcW w:w="851" w:type="dxa"/>
            <w:vMerge w:val="continue"/>
            <w:tcBorders>
              <w:top w:val="single" w:color="000000" w:sz="4" w:space="0"/>
              <w:left w:val="single" w:color="000000" w:sz="4" w:space="0"/>
              <w:bottom w:val="single" w:color="000000" w:sz="4" w:space="0"/>
              <w:right w:val="single" w:color="000000" w:sz="4" w:space="0"/>
            </w:tcBorders>
            <w:vAlign w:val="center"/>
          </w:tcPr>
          <w:p w14:paraId="05EA09C6">
            <w:pPr>
              <w:spacing w:line="240" w:lineRule="exact"/>
              <w:rPr>
                <w:rFonts w:ascii="宋体"/>
                <w:szCs w:val="21"/>
              </w:rPr>
            </w:pPr>
          </w:p>
        </w:tc>
        <w:tc>
          <w:tcPr>
            <w:tcW w:w="1559" w:type="dxa"/>
            <w:tcBorders>
              <w:top w:val="single" w:color="000000" w:sz="4" w:space="0"/>
              <w:left w:val="single" w:color="000000" w:sz="4" w:space="0"/>
              <w:right w:val="single" w:color="auto" w:sz="4" w:space="0"/>
            </w:tcBorders>
            <w:vAlign w:val="center"/>
          </w:tcPr>
          <w:p w14:paraId="6655AF0F">
            <w:pPr>
              <w:widowControl/>
              <w:spacing w:line="240" w:lineRule="exact"/>
              <w:jc w:val="left"/>
              <w:rPr>
                <w:rFonts w:ascii="仿宋_GB2312" w:hAnsi="新宋体" w:eastAsia="仿宋_GB2312" w:cs="仿宋_GB2312"/>
                <w:kern w:val="0"/>
                <w:szCs w:val="21"/>
              </w:rPr>
            </w:pPr>
            <w:r>
              <w:rPr>
                <w:rFonts w:ascii="仿宋_GB2312" w:hAnsi="新宋体" w:eastAsia="仿宋_GB2312" w:cs="仿宋_GB2312"/>
                <w:kern w:val="0"/>
                <w:szCs w:val="21"/>
              </w:rPr>
              <w:t>项目</w:t>
            </w:r>
            <w:r>
              <w:rPr>
                <w:rFonts w:hint="eastAsia" w:ascii="仿宋_GB2312" w:hAnsi="新宋体" w:eastAsia="仿宋_GB2312" w:cs="仿宋_GB2312"/>
                <w:kern w:val="0"/>
                <w:szCs w:val="21"/>
              </w:rPr>
              <w:t>完成</w:t>
            </w:r>
          </w:p>
          <w:p w14:paraId="4AC68B32">
            <w:pPr>
              <w:widowControl/>
              <w:spacing w:line="240" w:lineRule="exact"/>
              <w:jc w:val="left"/>
              <w:rPr>
                <w:szCs w:val="21"/>
              </w:rPr>
            </w:pPr>
            <w:r>
              <w:rPr>
                <w:rFonts w:ascii="仿宋_GB2312" w:hAnsi="新宋体" w:eastAsia="仿宋_GB2312" w:cs="仿宋_GB2312"/>
                <w:kern w:val="0"/>
                <w:szCs w:val="21"/>
              </w:rPr>
              <w:t>质量达标率（</w:t>
            </w:r>
            <w:r>
              <w:rPr>
                <w:rFonts w:hint="eastAsia" w:ascii="仿宋_GB2312" w:hAnsi="新宋体" w:eastAsia="仿宋_GB2312" w:cs="仿宋_GB2312"/>
                <w:kern w:val="0"/>
                <w:szCs w:val="21"/>
              </w:rPr>
              <w:t>15</w:t>
            </w:r>
            <w:r>
              <w:rPr>
                <w:rFonts w:ascii="仿宋_GB2312" w:hAnsi="新宋体" w:eastAsia="仿宋_GB2312" w:cs="仿宋_GB2312"/>
                <w:kern w:val="0"/>
                <w:szCs w:val="21"/>
              </w:rPr>
              <w:t>）</w:t>
            </w:r>
          </w:p>
        </w:tc>
        <w:tc>
          <w:tcPr>
            <w:tcW w:w="3260" w:type="dxa"/>
            <w:tcBorders>
              <w:top w:val="single" w:color="000000" w:sz="4" w:space="0"/>
              <w:left w:val="single" w:color="auto" w:sz="4" w:space="0"/>
              <w:right w:val="single" w:color="auto" w:sz="4" w:space="0"/>
            </w:tcBorders>
            <w:vAlign w:val="center"/>
          </w:tcPr>
          <w:p w14:paraId="665F5A4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部门已完成项目中质量达标项目个数占已完成项目个数的比率,用以反映和评价部门履职质量目标的实现程度。</w:t>
            </w:r>
          </w:p>
          <w:p w14:paraId="25E5B989">
            <w:pPr>
              <w:widowControl/>
              <w:spacing w:line="240" w:lineRule="exact"/>
              <w:jc w:val="left"/>
              <w:rPr>
                <w:szCs w:val="21"/>
              </w:rPr>
            </w:pPr>
            <w:r>
              <w:rPr>
                <w:rFonts w:ascii="仿宋_GB2312" w:hAnsi="新宋体" w:eastAsia="仿宋_GB2312" w:cs="仿宋_GB2312"/>
                <w:kern w:val="0"/>
                <w:szCs w:val="21"/>
              </w:rPr>
              <w:t>项目质量达标率=（已完成项目中质量达标项目个数/已完成项目个数）×100%。</w:t>
            </w:r>
          </w:p>
          <w:p w14:paraId="6C564004">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项目质量达标是指项目决算验收合格。</w:t>
            </w:r>
          </w:p>
        </w:tc>
        <w:tc>
          <w:tcPr>
            <w:tcW w:w="2552" w:type="dxa"/>
            <w:tcBorders>
              <w:top w:val="single" w:color="000000" w:sz="4" w:space="0"/>
              <w:left w:val="single" w:color="auto" w:sz="4" w:space="0"/>
              <w:right w:val="single" w:color="auto" w:sz="4" w:space="0"/>
            </w:tcBorders>
            <w:vAlign w:val="center"/>
          </w:tcPr>
          <w:p w14:paraId="274B0A28">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1.项目质量达标率等于100%的，得满分；</w:t>
            </w:r>
          </w:p>
          <w:p w14:paraId="67660B25">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2.项目质量达标率小于或等于99%的，得0分；</w:t>
            </w:r>
          </w:p>
          <w:p w14:paraId="4293BFF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 xml:space="preserve">3.项目质量达标率在99%-100%之间的，在0和满分之间计算确定： </w:t>
            </w:r>
          </w:p>
          <w:p w14:paraId="10BD50E7">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ascii="仿宋_GB2312" w:hAnsi="新宋体" w:eastAsia="仿宋_GB2312" w:cs="仿宋_GB2312"/>
                <w:kern w:val="0"/>
                <w:szCs w:val="21"/>
              </w:rPr>
              <w:t>得分=［某部门项目质量达标率-min（项目质量达标率）］/［max（项目质量达标率）-min（项目质量达标率）］×该指标分值。</w:t>
            </w:r>
          </w:p>
        </w:tc>
        <w:tc>
          <w:tcPr>
            <w:tcW w:w="567" w:type="dxa"/>
            <w:tcBorders>
              <w:top w:val="single" w:color="000000" w:sz="4" w:space="0"/>
              <w:left w:val="single" w:color="auto" w:sz="4" w:space="0"/>
              <w:bottom w:val="single" w:color="auto" w:sz="4" w:space="0"/>
              <w:right w:val="single" w:color="000000" w:sz="4" w:space="0"/>
            </w:tcBorders>
            <w:vAlign w:val="center"/>
          </w:tcPr>
          <w:p w14:paraId="1889F785">
            <w:pPr>
              <w:widowControl/>
              <w:spacing w:line="240" w:lineRule="exact"/>
              <w:jc w:val="left"/>
              <w:rPr>
                <w:rFonts w:hint="default" w:eastAsiaTheme="minorEastAsia"/>
                <w:szCs w:val="21"/>
                <w:lang w:val="en-US" w:eastAsia="zh-CN"/>
              </w:rPr>
            </w:pPr>
            <w:r>
              <w:rPr>
                <w:rFonts w:hint="eastAsia"/>
                <w:szCs w:val="21"/>
                <w:lang w:val="en-US" w:eastAsia="zh-CN"/>
              </w:rPr>
              <w:t>15</w:t>
            </w:r>
          </w:p>
        </w:tc>
      </w:tr>
      <w:tr w14:paraId="4B4EC0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restart"/>
            <w:tcBorders>
              <w:top w:val="single" w:color="000000" w:sz="4" w:space="0"/>
              <w:left w:val="single" w:color="000000" w:sz="4" w:space="0"/>
              <w:bottom w:val="single" w:color="000000" w:sz="4" w:space="0"/>
              <w:right w:val="single" w:color="000000" w:sz="4" w:space="0"/>
            </w:tcBorders>
            <w:vAlign w:val="center"/>
          </w:tcPr>
          <w:p w14:paraId="4EE42273">
            <w:pPr>
              <w:widowControl/>
              <w:spacing w:line="240" w:lineRule="exact"/>
              <w:jc w:val="left"/>
              <w:rPr>
                <w:szCs w:val="21"/>
              </w:rPr>
            </w:pPr>
            <w:r>
              <w:rPr>
                <w:rFonts w:ascii="仿宋_GB2312" w:hAnsi="新宋体" w:eastAsia="仿宋_GB2312" w:cs="仿宋_GB2312"/>
                <w:kern w:val="0"/>
                <w:szCs w:val="21"/>
              </w:rPr>
              <w:t>效果（</w:t>
            </w:r>
            <w:r>
              <w:rPr>
                <w:rFonts w:hint="eastAsia" w:ascii="仿宋_GB2312" w:hAnsi="新宋体" w:eastAsia="仿宋_GB2312" w:cs="仿宋_GB2312"/>
                <w:kern w:val="0"/>
                <w:szCs w:val="21"/>
              </w:rPr>
              <w:t>2</w:t>
            </w:r>
            <w:r>
              <w:rPr>
                <w:rFonts w:ascii="仿宋_GB2312" w:hAnsi="新宋体" w:eastAsia="仿宋_GB2312" w:cs="仿宋_GB2312"/>
                <w:kern w:val="0"/>
                <w:szCs w:val="21"/>
              </w:rPr>
              <w:t>0</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851" w:type="dxa"/>
            <w:vMerge w:val="restart"/>
            <w:tcBorders>
              <w:top w:val="single" w:color="auto" w:sz="4" w:space="0"/>
              <w:left w:val="single" w:color="000000" w:sz="4" w:space="0"/>
              <w:right w:val="single" w:color="000000" w:sz="4" w:space="0"/>
            </w:tcBorders>
            <w:vAlign w:val="center"/>
          </w:tcPr>
          <w:p w14:paraId="2EFF9C9D">
            <w:pPr>
              <w:widowControl/>
              <w:spacing w:line="240" w:lineRule="exact"/>
              <w:jc w:val="left"/>
              <w:rPr>
                <w:rFonts w:ascii="仿宋_GB2312" w:hAnsi="新宋体" w:eastAsia="仿宋_GB2312" w:cs="仿宋_GB2312"/>
                <w:kern w:val="0"/>
                <w:szCs w:val="21"/>
              </w:rPr>
            </w:pPr>
          </w:p>
          <w:p w14:paraId="2A974641">
            <w:pPr>
              <w:widowControl/>
              <w:spacing w:line="240" w:lineRule="exact"/>
              <w:jc w:val="left"/>
              <w:rPr>
                <w:rFonts w:ascii="仿宋_GB2312" w:hAnsi="新宋体" w:eastAsia="仿宋_GB2312" w:cs="仿宋_GB2312"/>
                <w:kern w:val="0"/>
                <w:szCs w:val="21"/>
              </w:rPr>
            </w:pPr>
            <w:r>
              <w:rPr>
                <w:rFonts w:hint="eastAsia" w:ascii="仿宋_GB2312" w:hAnsi="新宋体" w:eastAsia="仿宋_GB2312" w:cs="仿宋_GB2312"/>
                <w:kern w:val="0"/>
                <w:szCs w:val="21"/>
              </w:rPr>
              <w:t>履职效益情况</w:t>
            </w:r>
          </w:p>
          <w:p w14:paraId="3B4C2A67">
            <w:pPr>
              <w:widowControl/>
              <w:spacing w:line="240" w:lineRule="exact"/>
              <w:jc w:val="left"/>
              <w:rPr>
                <w:rFonts w:ascii="仿宋_GB2312" w:hAnsi="新宋体" w:eastAsia="仿宋_GB2312" w:cs="仿宋_GB2312"/>
                <w:kern w:val="0"/>
                <w:sz w:val="18"/>
                <w:szCs w:val="18"/>
              </w:rPr>
            </w:pPr>
            <w:r>
              <w:rPr>
                <w:rFonts w:ascii="仿宋_GB2312" w:hAnsi="新宋体" w:eastAsia="仿宋_GB2312" w:cs="仿宋_GB2312"/>
                <w:kern w:val="0"/>
                <w:sz w:val="18"/>
                <w:szCs w:val="18"/>
              </w:rPr>
              <w:t>（</w:t>
            </w:r>
            <w:r>
              <w:rPr>
                <w:rFonts w:hint="eastAsia" w:ascii="仿宋_GB2312" w:hAnsi="新宋体" w:eastAsia="仿宋_GB2312" w:cs="仿宋_GB2312"/>
                <w:kern w:val="0"/>
                <w:sz w:val="18"/>
                <w:szCs w:val="18"/>
              </w:rPr>
              <w:t>20分</w:t>
            </w:r>
            <w:r>
              <w:rPr>
                <w:rFonts w:ascii="仿宋_GB2312" w:hAnsi="新宋体" w:eastAsia="仿宋_GB2312" w:cs="仿宋_GB2312"/>
                <w:kern w:val="0"/>
                <w:sz w:val="18"/>
                <w:szCs w:val="18"/>
              </w:rPr>
              <w:t>）</w:t>
            </w:r>
          </w:p>
        </w:tc>
        <w:tc>
          <w:tcPr>
            <w:tcW w:w="1559" w:type="dxa"/>
            <w:tcBorders>
              <w:top w:val="single" w:color="000000" w:sz="4" w:space="0"/>
              <w:left w:val="single" w:color="000000" w:sz="4" w:space="0"/>
              <w:bottom w:val="single" w:color="000000" w:sz="4" w:space="0"/>
              <w:right w:val="single" w:color="auto" w:sz="4" w:space="0"/>
            </w:tcBorders>
            <w:vAlign w:val="center"/>
          </w:tcPr>
          <w:p w14:paraId="598FE8FF">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经济效益</w:t>
            </w:r>
          </w:p>
          <w:p w14:paraId="692738FB">
            <w:pPr>
              <w:widowControl/>
              <w:spacing w:line="240" w:lineRule="exact"/>
              <w:jc w:val="left"/>
              <w:rPr>
                <w:szCs w:val="21"/>
              </w:rPr>
            </w:pPr>
            <w:r>
              <w:rPr>
                <w:rFonts w:ascii="仿宋_GB2312" w:hAnsi="新宋体" w:eastAsia="仿宋_GB2312" w:cs="仿宋_GB2312"/>
                <w:kern w:val="0"/>
                <w:szCs w:val="21"/>
              </w:rPr>
              <w:t>（5</w:t>
            </w:r>
            <w:r>
              <w:rPr>
                <w:rFonts w:hint="eastAsia" w:ascii="仿宋_GB2312" w:hAnsi="新宋体" w:eastAsia="仿宋_GB2312" w:cs="仿宋_GB2312"/>
                <w:kern w:val="0"/>
                <w:szCs w:val="21"/>
              </w:rPr>
              <w:t>分</w:t>
            </w:r>
            <w:r>
              <w:rPr>
                <w:rFonts w:ascii="仿宋_GB2312" w:hAnsi="新宋体" w:eastAsia="仿宋_GB2312" w:cs="仿宋_GB2312"/>
                <w:kern w:val="0"/>
                <w:szCs w:val="21"/>
              </w:rPr>
              <w:t>）</w:t>
            </w:r>
          </w:p>
        </w:tc>
        <w:tc>
          <w:tcPr>
            <w:tcW w:w="3260" w:type="dxa"/>
            <w:tcBorders>
              <w:top w:val="single" w:color="000000" w:sz="4" w:space="0"/>
              <w:left w:val="single" w:color="auto" w:sz="4" w:space="0"/>
              <w:bottom w:val="single" w:color="000000" w:sz="4" w:space="0"/>
              <w:right w:val="single" w:color="auto" w:sz="4" w:space="0"/>
            </w:tcBorders>
            <w:vAlign w:val="center"/>
          </w:tcPr>
          <w:p w14:paraId="68840DA4">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部门及所属二级单位通过履行职责和预算安排支出项目的实施，对我市带来的经济影响。</w:t>
            </w:r>
          </w:p>
          <w:p w14:paraId="7873678C">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1.通过部门所属企事业单位改革，促进了企事业单位效益增长情况；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2.通过预算支出项目的实施，促进了行业生产能力增长，从而带动行业经济效益增长；</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3.通过预算支出项目的实施，有效提高劳动效率，节约成本费用；</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4.通过预算支出项目的实施，降低了损耗，从而提高了生产效益；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5.通过预算支出项目的实施，完善了突发情况的监测预警，保障了生产安全，降低了生产损失。</w:t>
            </w:r>
          </w:p>
        </w:tc>
        <w:tc>
          <w:tcPr>
            <w:tcW w:w="2552" w:type="dxa"/>
            <w:tcBorders>
              <w:top w:val="single" w:color="000000" w:sz="4" w:space="0"/>
              <w:left w:val="single" w:color="auto" w:sz="4" w:space="0"/>
              <w:bottom w:val="single" w:color="000000" w:sz="4" w:space="0"/>
              <w:right w:val="single" w:color="auto" w:sz="4" w:space="0"/>
            </w:tcBorders>
            <w:vAlign w:val="center"/>
          </w:tcPr>
          <w:p w14:paraId="04C99B07">
            <w:pPr>
              <w:widowControl/>
              <w:spacing w:line="240" w:lineRule="exact"/>
              <w:jc w:val="lef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根据不同部门履职的内容和特点，具体测算部门履职产生的经济效益。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A5F9127">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0CB086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6D2CDEB0">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1FA5CA40">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6BE28B1">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社会效益</w:t>
            </w:r>
          </w:p>
          <w:p w14:paraId="378D55A0">
            <w:pPr>
              <w:widowControl/>
              <w:spacing w:line="240" w:lineRule="exac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291D7F60">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部门及所属二级单位履行职责对社会发展所带来的直接或间接影响。</w:t>
            </w:r>
          </w:p>
          <w:p w14:paraId="1F349D45">
            <w:pPr>
              <w:widowControl/>
              <w:spacing w:line="240" w:lineRule="exac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 xml:space="preserve">1.通过部门所属企事业单位的改革，促进了企事业单位可持续发展，带动就业增长情况；          </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2.通过预算支出项目的实施，是否明显促进了行业精神文明建设；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3.通过部门履职是否明显提高城乡居民生活水平，满足了人们日益增长的物质与文化生活需求；</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4.通过预算项目的实施，是否提高了劳动生产率，降低了劳动强度，促进了劳动人民的身心健康；</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5.通过部门履职行业形象是否得到了大大提升了，增强了部门影响力。</w:t>
            </w:r>
          </w:p>
        </w:tc>
        <w:tc>
          <w:tcPr>
            <w:tcW w:w="2552" w:type="dxa"/>
            <w:tcBorders>
              <w:top w:val="single" w:color="000000" w:sz="4" w:space="0"/>
              <w:left w:val="single" w:color="auto" w:sz="4" w:space="0"/>
              <w:bottom w:val="single" w:color="000000" w:sz="4" w:space="0"/>
              <w:right w:val="single" w:color="auto" w:sz="4" w:space="0"/>
            </w:tcBorders>
            <w:vAlign w:val="center"/>
          </w:tcPr>
          <w:p w14:paraId="42F8F51B">
            <w:pPr>
              <w:widowControl/>
              <w:spacing w:line="240" w:lineRule="exact"/>
              <w:textAlignment w:val="center"/>
              <w:rPr>
                <w:rFonts w:ascii="仿宋" w:hAnsi="仿宋" w:eastAsia="仿宋" w:cs="仿宋"/>
                <w:szCs w:val="21"/>
              </w:rPr>
            </w:pPr>
            <w:r>
              <w:rPr>
                <w:rFonts w:hint="eastAsia" w:ascii="仿宋" w:hAnsi="仿宋" w:eastAsia="仿宋" w:cs="仿宋"/>
                <w:color w:val="000000"/>
                <w:kern w:val="0"/>
                <w:szCs w:val="21"/>
              </w:rPr>
              <w:t>根据不同部门履职的内容和特点，具体测算部门履职产生的社会效益。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7A110B76">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2EBF8E4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left w:val="single" w:color="000000" w:sz="4" w:space="0"/>
              <w:right w:val="single" w:color="000000" w:sz="4" w:space="0"/>
            </w:tcBorders>
            <w:vAlign w:val="center"/>
          </w:tcPr>
          <w:p w14:paraId="6F3DA5A9">
            <w:pPr>
              <w:widowControl/>
              <w:spacing w:line="240" w:lineRule="exact"/>
              <w:jc w:val="left"/>
              <w:rPr>
                <w:rFonts w:ascii="仿宋_GB2312" w:hAnsi="新宋体" w:eastAsia="仿宋_GB2312" w:cs="仿宋_GB2312"/>
                <w:kern w:val="0"/>
                <w:szCs w:val="21"/>
              </w:rPr>
            </w:pPr>
          </w:p>
        </w:tc>
        <w:tc>
          <w:tcPr>
            <w:tcW w:w="851" w:type="dxa"/>
            <w:vMerge w:val="continue"/>
            <w:tcBorders>
              <w:left w:val="single" w:color="000000" w:sz="4" w:space="0"/>
              <w:right w:val="single" w:color="000000" w:sz="4" w:space="0"/>
            </w:tcBorders>
            <w:vAlign w:val="center"/>
          </w:tcPr>
          <w:p w14:paraId="6AAC2410">
            <w:pPr>
              <w:widowControl/>
              <w:spacing w:line="240" w:lineRule="exact"/>
              <w:jc w:val="left"/>
              <w:rPr>
                <w:rFonts w:ascii="仿宋_GB2312" w:hAnsi="新宋体" w:eastAsia="仿宋_GB2312" w:cs="仿宋_GB2312"/>
                <w:kern w:val="0"/>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4EB58FBD">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生态效益</w:t>
            </w:r>
          </w:p>
          <w:p w14:paraId="374C3ECD">
            <w:pPr>
              <w:widowControl/>
              <w:spacing w:line="240" w:lineRule="exact"/>
              <w:jc w:val="left"/>
              <w:rPr>
                <w:rFonts w:ascii="仿宋_GB2312" w:hAnsi="新宋体" w:eastAsia="仿宋_GB2312" w:cs="仿宋_GB2312"/>
                <w:color w:val="000000"/>
                <w:kern w:val="0"/>
                <w:szCs w:val="21"/>
              </w:rPr>
            </w:pPr>
            <w:r>
              <w:rPr>
                <w:rFonts w:hint="eastAsia" w:ascii="仿宋_GB2312" w:hAnsi="新宋体" w:eastAsia="仿宋_GB2312" w:cs="仿宋_GB2312"/>
                <w:color w:val="000000"/>
                <w:kern w:val="0"/>
                <w:szCs w:val="21"/>
              </w:rPr>
              <w:t>（5分）</w:t>
            </w:r>
          </w:p>
        </w:tc>
        <w:tc>
          <w:tcPr>
            <w:tcW w:w="3260" w:type="dxa"/>
            <w:tcBorders>
              <w:top w:val="single" w:color="000000" w:sz="4" w:space="0"/>
              <w:left w:val="single" w:color="auto" w:sz="4" w:space="0"/>
              <w:bottom w:val="single" w:color="000000" w:sz="4" w:space="0"/>
              <w:right w:val="single" w:color="auto" w:sz="4" w:space="0"/>
            </w:tcBorders>
            <w:vAlign w:val="center"/>
          </w:tcPr>
          <w:p w14:paraId="38EF0614">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部门及所属二级单位履行职责对生态环境所带来的直接或间接影响。</w:t>
            </w:r>
          </w:p>
          <w:p w14:paraId="0F839E51">
            <w:pPr>
              <w:widowControl/>
              <w:spacing w:line="240" w:lineRule="exact"/>
              <w:jc w:val="left"/>
              <w:textAlignment w:val="center"/>
              <w:rPr>
                <w:rFonts w:ascii="仿宋" w:hAnsi="仿宋" w:eastAsia="仿宋" w:cs="仿宋"/>
                <w:color w:val="000000"/>
                <w:kern w:val="0"/>
                <w:szCs w:val="21"/>
              </w:rPr>
            </w:pPr>
            <w:r>
              <w:rPr>
                <w:rFonts w:hint="eastAsia" w:ascii="仿宋" w:hAnsi="仿宋" w:eastAsia="仿宋" w:cs="仿宋"/>
                <w:color w:val="000000"/>
                <w:kern w:val="0"/>
                <w:szCs w:val="21"/>
              </w:rPr>
              <w:t>评价要点：</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1.通过预算支出项目的实施，绿色、节能环保新技术的应用和推广，明显带动各环节的节能减排，也具有一定的环境效益；</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2.通过履职有效地控制虚假、伪劣、霉变等劣质产品进入市场，影响了人民生活质量，净化地市场环境；</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3.通过预算支出项目的实施，是否达到减少污染物排放；</w:t>
            </w:r>
            <w:r>
              <w:rPr>
                <w:rFonts w:hint="eastAsia" w:ascii="仿宋" w:hAnsi="仿宋" w:eastAsia="仿宋" w:cs="仿宋"/>
                <w:color w:val="000000"/>
                <w:kern w:val="0"/>
                <w:szCs w:val="21"/>
              </w:rPr>
              <w:br w:type="textWrapping"/>
            </w:r>
            <w:r>
              <w:rPr>
                <w:rFonts w:hint="eastAsia" w:ascii="仿宋" w:hAnsi="仿宋" w:eastAsia="仿宋" w:cs="仿宋"/>
                <w:color w:val="000000"/>
                <w:kern w:val="0"/>
                <w:szCs w:val="21"/>
              </w:rPr>
              <w:t>4.通过预算支出项目的实施，周围环境得到了整治，面貌得到了改善。</w:t>
            </w:r>
          </w:p>
        </w:tc>
        <w:tc>
          <w:tcPr>
            <w:tcW w:w="2552" w:type="dxa"/>
            <w:tcBorders>
              <w:top w:val="single" w:color="000000" w:sz="4" w:space="0"/>
              <w:left w:val="single" w:color="auto" w:sz="4" w:space="0"/>
              <w:bottom w:val="single" w:color="000000" w:sz="4" w:space="0"/>
              <w:right w:val="single" w:color="auto" w:sz="4" w:space="0"/>
            </w:tcBorders>
            <w:vAlign w:val="center"/>
          </w:tcPr>
          <w:p w14:paraId="7655296B">
            <w:pPr>
              <w:widowControl/>
              <w:spacing w:line="240" w:lineRule="exact"/>
              <w:jc w:val="left"/>
              <w:textAlignment w:val="center"/>
              <w:rPr>
                <w:szCs w:val="21"/>
              </w:rPr>
            </w:pPr>
            <w:r>
              <w:rPr>
                <w:rFonts w:hint="eastAsia" w:ascii="仿宋" w:hAnsi="仿宋" w:eastAsia="仿宋" w:cs="仿宋"/>
                <w:color w:val="000000"/>
                <w:kern w:val="0"/>
                <w:szCs w:val="21"/>
              </w:rPr>
              <w:t>根据不同部门履职的内容和特点，具体测算部门履职产生的生态效益。</w:t>
            </w:r>
          </w:p>
        </w:tc>
        <w:tc>
          <w:tcPr>
            <w:tcW w:w="567" w:type="dxa"/>
            <w:tcBorders>
              <w:top w:val="single" w:color="000000" w:sz="4" w:space="0"/>
              <w:left w:val="single" w:color="auto" w:sz="4" w:space="0"/>
              <w:bottom w:val="single" w:color="000000" w:sz="4" w:space="0"/>
              <w:right w:val="single" w:color="000000" w:sz="4" w:space="0"/>
            </w:tcBorders>
            <w:vAlign w:val="center"/>
          </w:tcPr>
          <w:p w14:paraId="33CAACBE">
            <w:pPr>
              <w:widowControl/>
              <w:spacing w:line="240" w:lineRule="exact"/>
              <w:jc w:val="left"/>
              <w:rPr>
                <w:rFonts w:hint="eastAsia" w:eastAsiaTheme="minorEastAsia"/>
                <w:szCs w:val="21"/>
                <w:lang w:val="en-US" w:eastAsia="zh-CN"/>
              </w:rPr>
            </w:pPr>
            <w:r>
              <w:rPr>
                <w:rFonts w:hint="eastAsia"/>
                <w:szCs w:val="21"/>
                <w:lang w:val="en-US" w:eastAsia="zh-CN"/>
              </w:rPr>
              <w:t>5</w:t>
            </w:r>
          </w:p>
        </w:tc>
      </w:tr>
      <w:tr w14:paraId="59FCC2B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817" w:type="dxa"/>
            <w:vMerge w:val="continue"/>
            <w:tcBorders>
              <w:top w:val="single" w:color="000000" w:sz="4" w:space="0"/>
              <w:left w:val="single" w:color="000000" w:sz="4" w:space="0"/>
              <w:bottom w:val="single" w:color="000000" w:sz="4" w:space="0"/>
              <w:right w:val="single" w:color="000000" w:sz="4" w:space="0"/>
            </w:tcBorders>
            <w:vAlign w:val="center"/>
          </w:tcPr>
          <w:p w14:paraId="27CA0F97">
            <w:pPr>
              <w:spacing w:line="240" w:lineRule="exact"/>
              <w:rPr>
                <w:rFonts w:ascii="宋体"/>
                <w:szCs w:val="21"/>
              </w:rPr>
            </w:pPr>
          </w:p>
        </w:tc>
        <w:tc>
          <w:tcPr>
            <w:tcW w:w="851" w:type="dxa"/>
            <w:vMerge w:val="continue"/>
            <w:tcBorders>
              <w:left w:val="single" w:color="000000" w:sz="4" w:space="0"/>
              <w:right w:val="single" w:color="000000" w:sz="4" w:space="0"/>
            </w:tcBorders>
            <w:vAlign w:val="center"/>
          </w:tcPr>
          <w:p w14:paraId="7086688D">
            <w:pPr>
              <w:widowControl/>
              <w:spacing w:line="240" w:lineRule="exact"/>
              <w:jc w:val="left"/>
              <w:rPr>
                <w:szCs w:val="21"/>
              </w:rPr>
            </w:pPr>
          </w:p>
        </w:tc>
        <w:tc>
          <w:tcPr>
            <w:tcW w:w="1559" w:type="dxa"/>
            <w:tcBorders>
              <w:top w:val="single" w:color="000000" w:sz="4" w:space="0"/>
              <w:left w:val="single" w:color="000000" w:sz="4" w:space="0"/>
              <w:bottom w:val="single" w:color="000000" w:sz="4" w:space="0"/>
              <w:right w:val="single" w:color="auto" w:sz="4" w:space="0"/>
            </w:tcBorders>
            <w:vAlign w:val="center"/>
          </w:tcPr>
          <w:p w14:paraId="28AA7025">
            <w:pPr>
              <w:widowControl/>
              <w:spacing w:line="240" w:lineRule="exact"/>
              <w:jc w:val="left"/>
              <w:rPr>
                <w:szCs w:val="21"/>
              </w:rPr>
            </w:pPr>
            <w:r>
              <w:rPr>
                <w:rFonts w:hint="eastAsia" w:ascii="仿宋_GB2312" w:hAnsi="新宋体" w:eastAsia="仿宋_GB2312" w:cs="仿宋_GB2312"/>
                <w:kern w:val="0"/>
                <w:szCs w:val="21"/>
              </w:rPr>
              <w:t>服务对象</w:t>
            </w:r>
            <w:r>
              <w:rPr>
                <w:rFonts w:ascii="仿宋_GB2312" w:hAnsi="新宋体" w:eastAsia="仿宋_GB2312" w:cs="仿宋_GB2312"/>
                <w:kern w:val="0"/>
                <w:szCs w:val="21"/>
              </w:rPr>
              <w:t>满意度（5）</w:t>
            </w:r>
          </w:p>
        </w:tc>
        <w:tc>
          <w:tcPr>
            <w:tcW w:w="3260" w:type="dxa"/>
            <w:tcBorders>
              <w:top w:val="single" w:color="000000" w:sz="4" w:space="0"/>
              <w:left w:val="single" w:color="auto" w:sz="4" w:space="0"/>
              <w:bottom w:val="single" w:color="000000" w:sz="4" w:space="0"/>
              <w:right w:val="single" w:color="auto" w:sz="4" w:space="0"/>
            </w:tcBorders>
            <w:vAlign w:val="center"/>
          </w:tcPr>
          <w:p w14:paraId="5EBAB153">
            <w:pPr>
              <w:widowControl/>
              <w:pBdr>
                <w:top w:val="none" w:color="000000" w:sz="0" w:space="0"/>
                <w:left w:val="none" w:color="000000" w:sz="0" w:space="0"/>
                <w:bottom w:val="none" w:color="000000" w:sz="0" w:space="0"/>
                <w:right w:val="none" w:color="000000" w:sz="0" w:space="0"/>
              </w:pBdr>
              <w:spacing w:line="240" w:lineRule="exact"/>
              <w:jc w:val="left"/>
              <w:rPr>
                <w:szCs w:val="21"/>
              </w:rPr>
            </w:pPr>
            <w:r>
              <w:rPr>
                <w:rFonts w:hint="eastAsia" w:ascii="仿宋_GB2312" w:hAnsi="新宋体" w:eastAsia="仿宋_GB2312" w:cs="仿宋_GB2312"/>
                <w:kern w:val="0"/>
                <w:szCs w:val="21"/>
              </w:rPr>
              <w:t>通过对部门（单位）的服务对象对部门履职效果的满意程度调查，反映和考核社会公众或服务对象对部门履职的满意度。</w:t>
            </w:r>
          </w:p>
        </w:tc>
        <w:tc>
          <w:tcPr>
            <w:tcW w:w="2552" w:type="dxa"/>
            <w:tcBorders>
              <w:top w:val="single" w:color="000000" w:sz="4" w:space="0"/>
              <w:left w:val="single" w:color="auto" w:sz="4" w:space="0"/>
              <w:bottom w:val="single" w:color="000000" w:sz="4" w:space="0"/>
              <w:right w:val="single" w:color="auto" w:sz="4" w:space="0"/>
            </w:tcBorders>
            <w:vAlign w:val="center"/>
          </w:tcPr>
          <w:p w14:paraId="2ADEA736">
            <w:pPr>
              <w:widowControl/>
              <w:spacing w:line="240" w:lineRule="exact"/>
              <w:rPr>
                <w:rFonts w:ascii="仿宋" w:hAnsi="仿宋" w:eastAsia="仿宋" w:cs="宋体"/>
                <w:kern w:val="0"/>
                <w:szCs w:val="21"/>
              </w:rPr>
            </w:pPr>
            <w:r>
              <w:rPr>
                <w:rFonts w:ascii="仿宋" w:hAnsi="仿宋" w:eastAsia="仿宋" w:cs="Arial"/>
                <w:kern w:val="0"/>
                <w:szCs w:val="21"/>
              </w:rPr>
              <w:t>按照满意度调查的优秀、良好、合格、不合格给予该项指标打分：</w:t>
            </w:r>
          </w:p>
          <w:p w14:paraId="35A31A5B">
            <w:pPr>
              <w:widowControl/>
              <w:spacing w:line="240" w:lineRule="exact"/>
              <w:rPr>
                <w:szCs w:val="21"/>
              </w:rPr>
            </w:pPr>
            <w:r>
              <w:rPr>
                <w:rFonts w:ascii="仿宋" w:hAnsi="仿宋" w:eastAsia="仿宋" w:cs="Arial"/>
                <w:kern w:val="0"/>
                <w:szCs w:val="21"/>
              </w:rPr>
              <w:t>优秀（</w:t>
            </w:r>
            <w:r>
              <w:rPr>
                <w:rFonts w:hint="eastAsia" w:ascii="仿宋" w:hAnsi="仿宋" w:eastAsia="仿宋" w:cs="Arial"/>
                <w:kern w:val="0"/>
                <w:szCs w:val="21"/>
              </w:rPr>
              <w:t>5</w:t>
            </w:r>
            <w:r>
              <w:rPr>
                <w:rFonts w:ascii="仿宋" w:hAnsi="仿宋" w:eastAsia="仿宋" w:cs="Arial"/>
                <w:kern w:val="0"/>
                <w:szCs w:val="21"/>
              </w:rPr>
              <w:t>）；良好（</w:t>
            </w:r>
            <w:r>
              <w:rPr>
                <w:rFonts w:hint="eastAsia" w:ascii="仿宋" w:hAnsi="仿宋" w:eastAsia="仿宋" w:cs="Arial"/>
                <w:kern w:val="0"/>
                <w:szCs w:val="21"/>
              </w:rPr>
              <w:t>3</w:t>
            </w:r>
            <w:r>
              <w:rPr>
                <w:rFonts w:ascii="仿宋" w:hAnsi="仿宋" w:eastAsia="仿宋" w:cs="Arial"/>
                <w:kern w:val="0"/>
                <w:szCs w:val="21"/>
              </w:rPr>
              <w:t>）；合格（</w:t>
            </w:r>
            <w:r>
              <w:rPr>
                <w:rFonts w:hint="eastAsia" w:ascii="仿宋" w:hAnsi="仿宋" w:eastAsia="仿宋" w:cs="Arial"/>
                <w:kern w:val="0"/>
                <w:szCs w:val="21"/>
              </w:rPr>
              <w:t>1</w:t>
            </w:r>
            <w:r>
              <w:rPr>
                <w:rFonts w:ascii="仿宋" w:hAnsi="仿宋" w:eastAsia="仿宋" w:cs="Arial"/>
                <w:kern w:val="0"/>
                <w:szCs w:val="21"/>
              </w:rPr>
              <w:t>）；不合格（</w:t>
            </w:r>
            <w:r>
              <w:rPr>
                <w:rFonts w:hint="eastAsia" w:ascii="仿宋" w:hAnsi="仿宋" w:eastAsia="仿宋" w:cs="Arial"/>
                <w:kern w:val="0"/>
                <w:szCs w:val="21"/>
              </w:rPr>
              <w:t>0</w:t>
            </w:r>
            <w:r>
              <w:rPr>
                <w:rFonts w:ascii="仿宋" w:hAnsi="仿宋" w:eastAsia="仿宋" w:cs="Arial"/>
                <w:kern w:val="0"/>
                <w:szCs w:val="21"/>
              </w:rPr>
              <w:t>）。</w:t>
            </w:r>
          </w:p>
        </w:tc>
        <w:tc>
          <w:tcPr>
            <w:tcW w:w="567" w:type="dxa"/>
            <w:tcBorders>
              <w:top w:val="single" w:color="000000" w:sz="4" w:space="0"/>
              <w:left w:val="single" w:color="auto" w:sz="4" w:space="0"/>
              <w:bottom w:val="single" w:color="000000" w:sz="4" w:space="0"/>
              <w:right w:val="single" w:color="000000" w:sz="4" w:space="0"/>
            </w:tcBorders>
            <w:vAlign w:val="center"/>
          </w:tcPr>
          <w:p w14:paraId="4066111E">
            <w:pPr>
              <w:widowControl/>
              <w:spacing w:line="240" w:lineRule="exact"/>
              <w:jc w:val="left"/>
              <w:rPr>
                <w:rFonts w:hint="eastAsia" w:eastAsiaTheme="minorEastAsia"/>
                <w:szCs w:val="21"/>
                <w:lang w:val="en-US" w:eastAsia="zh-CN"/>
              </w:rPr>
            </w:pPr>
            <w:r>
              <w:rPr>
                <w:rFonts w:hint="eastAsia"/>
                <w:szCs w:val="21"/>
                <w:lang w:val="en-US" w:eastAsia="zh-CN"/>
              </w:rPr>
              <w:t>5</w:t>
            </w:r>
          </w:p>
        </w:tc>
      </w:tr>
    </w:tbl>
    <w:p w14:paraId="601343FC">
      <w:pPr>
        <w:rPr>
          <w:rFonts w:ascii="黑体" w:hAnsi="黑体" w:eastAsia="黑体" w:cs="黑体"/>
          <w:b/>
          <w:bCs/>
          <w:sz w:val="30"/>
          <w:szCs w:val="30"/>
        </w:rPr>
      </w:pPr>
    </w:p>
    <w:p w14:paraId="146F7ADA">
      <w:pPr>
        <w:ind w:firstLine="780"/>
        <w:jc w:val="center"/>
        <w:rPr>
          <w:rFonts w:hint="eastAsia" w:cs="黑体" w:asciiTheme="minorEastAsia" w:hAnsiTheme="minorEastAsia" w:eastAsiaTheme="minorEastAsia"/>
          <w:b/>
          <w:bCs/>
          <w:sz w:val="44"/>
          <w:szCs w:val="44"/>
          <w:lang w:eastAsia="zh-CN"/>
        </w:rPr>
      </w:pPr>
      <w:r>
        <w:rPr>
          <w:rFonts w:hint="eastAsia" w:cs="黑体" w:asciiTheme="minorEastAsia" w:hAnsiTheme="minorEastAsia"/>
          <w:b/>
          <w:bCs/>
          <w:sz w:val="44"/>
          <w:szCs w:val="44"/>
        </w:rPr>
        <w:t>隆尧县</w:t>
      </w:r>
      <w:r>
        <w:rPr>
          <w:rFonts w:hint="eastAsia" w:cs="黑体" w:asciiTheme="minorEastAsia" w:hAnsiTheme="minorEastAsia"/>
          <w:b/>
          <w:bCs/>
          <w:sz w:val="44"/>
          <w:szCs w:val="44"/>
          <w:lang w:eastAsia="zh-CN"/>
        </w:rPr>
        <w:t>委老干部局</w:t>
      </w:r>
    </w:p>
    <w:p w14:paraId="04D07749">
      <w:pPr>
        <w:ind w:firstLine="780"/>
        <w:jc w:val="center"/>
        <w:rPr>
          <w:rFonts w:cs="黑体" w:asciiTheme="minorEastAsia" w:hAnsiTheme="minorEastAsia"/>
          <w:b/>
          <w:bCs/>
          <w:sz w:val="44"/>
          <w:szCs w:val="44"/>
        </w:rPr>
      </w:pPr>
      <w:r>
        <w:rPr>
          <w:rFonts w:hint="eastAsia" w:cs="黑体" w:asciiTheme="minorEastAsia" w:hAnsiTheme="minorEastAsia"/>
          <w:b/>
          <w:bCs/>
          <w:sz w:val="44"/>
          <w:szCs w:val="44"/>
        </w:rPr>
        <w:t>2021年部门整体支出绩效评价报告</w:t>
      </w:r>
    </w:p>
    <w:p w14:paraId="5170F991">
      <w:pPr>
        <w:ind w:firstLine="640" w:firstLineChars="200"/>
        <w:rPr>
          <w:rFonts w:ascii="黑体" w:hAnsi="黑体" w:eastAsia="黑体" w:cs="仿宋"/>
          <w:sz w:val="32"/>
          <w:szCs w:val="32"/>
        </w:rPr>
      </w:pPr>
      <w:r>
        <w:rPr>
          <w:rFonts w:hint="eastAsia" w:ascii="黑体" w:hAnsi="黑体" w:eastAsia="黑体" w:cs="仿宋"/>
          <w:sz w:val="32"/>
          <w:szCs w:val="32"/>
        </w:rPr>
        <w:t>一、基本概况。</w:t>
      </w:r>
    </w:p>
    <w:p w14:paraId="11BEDC02">
      <w:p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(一)部门主要职责职能和部门组织架构</w:t>
      </w:r>
    </w:p>
    <w:p w14:paraId="08E1522C">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1．主要职能。</w:t>
      </w:r>
    </w:p>
    <w:p w14:paraId="5761ADF6">
      <w:p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做好全县离退休干部的日常管理服务工作。（2）和有关部门一道积极落实党对老干部的有关方针政策。（3）按季度做好离休干部医疗费的审核报销工作。（4）组织老干部参观我县及外地的工农业生产项目，使他们开阔眼界，为我县的经济建设建言献策。（5）积极发挥老干部在社会稳定、关心下一代等方面的作用，为他们发挥余热提供较多的平台。（6）组织老干部参加一些有益于身心健康的文体活动，使他们老有所乐，健康长寿。</w:t>
      </w:r>
    </w:p>
    <w:p w14:paraId="21488777">
      <w:pPr>
        <w:numPr>
          <w:ilvl w:val="0"/>
          <w:numId w:val="0"/>
        </w:numPr>
        <w:ind w:firstLine="600" w:firstLineChars="200"/>
        <w:rPr>
          <w:rFonts w:hint="eastAsia" w:ascii="仿宋" w:hAnsi="仿宋" w:eastAsia="仿宋" w:cs="仿宋"/>
          <w:sz w:val="30"/>
          <w:szCs w:val="30"/>
          <w:lang w:eastAsia="zh-CN"/>
        </w:rPr>
      </w:pPr>
      <w:r>
        <w:rPr>
          <w:rFonts w:hint="eastAsia" w:ascii="仿宋" w:hAnsi="仿宋" w:eastAsia="仿宋" w:cs="仿宋"/>
          <w:b w:val="0"/>
          <w:bCs w:val="0"/>
          <w:sz w:val="30"/>
          <w:szCs w:val="30"/>
          <w:lang w:val="en-US" w:eastAsia="zh-CN"/>
        </w:rPr>
        <w:t>2、</w:t>
      </w:r>
      <w:r>
        <w:rPr>
          <w:rFonts w:hint="eastAsia" w:ascii="仿宋" w:hAnsi="仿宋" w:eastAsia="仿宋" w:cs="仿宋"/>
          <w:b w:val="0"/>
          <w:bCs w:val="0"/>
          <w:sz w:val="30"/>
          <w:szCs w:val="30"/>
        </w:rPr>
        <w:t>部门</w:t>
      </w:r>
      <w:r>
        <w:rPr>
          <w:rFonts w:hint="eastAsia" w:ascii="仿宋" w:hAnsi="仿宋" w:eastAsia="仿宋" w:cs="仿宋"/>
          <w:b w:val="0"/>
          <w:bCs w:val="0"/>
          <w:sz w:val="30"/>
          <w:szCs w:val="30"/>
          <w:lang w:eastAsia="zh-CN"/>
        </w:rPr>
        <w:t>组织架构</w:t>
      </w:r>
    </w:p>
    <w:p w14:paraId="708AF5FE">
      <w:pPr>
        <w:keepNext w:val="0"/>
        <w:keepLines w:val="0"/>
        <w:widowControl w:val="0"/>
        <w:suppressLineNumbers w:val="0"/>
        <w:spacing w:before="0" w:beforeAutospacing="0" w:after="0" w:afterAutospacing="0"/>
        <w:ind w:left="0" w:right="0" w:firstLine="600" w:firstLineChars="200"/>
        <w:jc w:val="both"/>
        <w:rPr>
          <w:rFonts w:hint="eastAsia" w:ascii="仿宋" w:hAnsi="仿宋" w:eastAsia="仿宋" w:cs="仿宋"/>
          <w:sz w:val="32"/>
          <w:szCs w:val="32"/>
          <w:lang w:val="en-US" w:eastAsia="zh-CN"/>
        </w:rPr>
      </w:pPr>
      <w:r>
        <w:rPr>
          <w:rFonts w:hint="eastAsia" w:ascii="仿宋" w:hAnsi="仿宋" w:eastAsia="仿宋" w:cs="仿宋"/>
          <w:sz w:val="30"/>
          <w:szCs w:val="30"/>
          <w:lang w:eastAsia="zh-CN"/>
        </w:rPr>
        <w:t>隆尧县委老干部局</w:t>
      </w:r>
      <w:r>
        <w:rPr>
          <w:rFonts w:hint="eastAsia" w:ascii="仿宋" w:hAnsi="仿宋" w:eastAsia="仿宋" w:cs="仿宋"/>
          <w:sz w:val="30"/>
          <w:szCs w:val="30"/>
        </w:rPr>
        <w:t>担负着全县离退休干部的管理报务工作。内设</w:t>
      </w:r>
      <w:r>
        <w:rPr>
          <w:rFonts w:hint="eastAsia" w:ascii="仿宋" w:hAnsi="仿宋" w:eastAsia="仿宋" w:cs="仿宋"/>
          <w:sz w:val="30"/>
          <w:szCs w:val="30"/>
          <w:lang w:eastAsia="zh-CN"/>
        </w:rPr>
        <w:t>综合</w:t>
      </w:r>
      <w:r>
        <w:rPr>
          <w:rFonts w:hint="eastAsia" w:ascii="仿宋" w:hAnsi="仿宋" w:eastAsia="仿宋" w:cs="仿宋"/>
          <w:sz w:val="30"/>
          <w:szCs w:val="30"/>
        </w:rPr>
        <w:t>办公室、关心下一代</w:t>
      </w:r>
      <w:r>
        <w:rPr>
          <w:rFonts w:hint="eastAsia" w:ascii="仿宋" w:hAnsi="仿宋" w:eastAsia="仿宋" w:cs="仿宋"/>
          <w:sz w:val="30"/>
          <w:szCs w:val="30"/>
          <w:lang w:val="en-US" w:eastAsia="zh-CN"/>
        </w:rPr>
        <w:t>工作委员会</w:t>
      </w:r>
      <w:r>
        <w:rPr>
          <w:rFonts w:hint="eastAsia" w:ascii="仿宋" w:hAnsi="仿宋" w:eastAsia="仿宋" w:cs="仿宋"/>
          <w:sz w:val="30"/>
          <w:szCs w:val="30"/>
        </w:rPr>
        <w:t>办公室、</w:t>
      </w:r>
      <w:r>
        <w:rPr>
          <w:rFonts w:hint="eastAsia" w:ascii="仿宋" w:hAnsi="仿宋" w:eastAsia="仿宋" w:cs="仿宋"/>
          <w:sz w:val="30"/>
          <w:szCs w:val="30"/>
          <w:lang w:eastAsia="zh-CN"/>
        </w:rPr>
        <w:t>服务管理股</w:t>
      </w:r>
      <w:r>
        <w:rPr>
          <w:rFonts w:hint="eastAsia" w:ascii="仿宋" w:hAnsi="仿宋" w:eastAsia="仿宋" w:cs="仿宋"/>
          <w:sz w:val="30"/>
          <w:szCs w:val="30"/>
        </w:rPr>
        <w:t>等老干部服务部门。</w:t>
      </w:r>
    </w:p>
    <w:p w14:paraId="16526385">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人员及资产情况。</w:t>
      </w:r>
    </w:p>
    <w:p w14:paraId="71681010">
      <w:pPr>
        <w:numPr>
          <w:ilvl w:val="0"/>
          <w:numId w:val="0"/>
        </w:numPr>
        <w:ind w:firstLine="600" w:firstLineChars="200"/>
        <w:rPr>
          <w:rFonts w:hint="eastAsia" w:ascii="仿宋" w:hAnsi="仿宋" w:eastAsia="仿宋" w:cs="仿宋"/>
          <w:b w:val="0"/>
          <w:bCs w:val="0"/>
          <w:sz w:val="30"/>
          <w:szCs w:val="30"/>
          <w:lang w:val="en-US" w:eastAsia="zh-CN"/>
        </w:rPr>
      </w:pPr>
      <w:r>
        <w:rPr>
          <w:rFonts w:hint="eastAsia" w:ascii="仿宋" w:hAnsi="仿宋" w:eastAsia="仿宋" w:cs="仿宋"/>
          <w:b w:val="0"/>
          <w:bCs w:val="0"/>
          <w:sz w:val="30"/>
          <w:szCs w:val="30"/>
          <w:lang w:val="en-US" w:eastAsia="zh-CN"/>
        </w:rPr>
        <w:t>1、人员情况</w:t>
      </w:r>
    </w:p>
    <w:p w14:paraId="33257779">
      <w:pPr>
        <w:numPr>
          <w:ilvl w:val="0"/>
          <w:numId w:val="0"/>
        </w:numPr>
        <w:adjustRightInd w:val="0"/>
        <w:ind w:firstLine="600" w:firstLineChars="200"/>
        <w:rPr>
          <w:rFonts w:hint="eastAsia" w:ascii="仿宋" w:hAnsi="仿宋" w:eastAsia="仿宋" w:cs="仿宋"/>
          <w:sz w:val="30"/>
          <w:szCs w:val="30"/>
        </w:rPr>
      </w:pPr>
      <w:r>
        <w:rPr>
          <w:rFonts w:hint="eastAsia" w:ascii="仿宋" w:hAnsi="仿宋" w:eastAsia="仿宋" w:cs="仿宋"/>
          <w:sz w:val="30"/>
          <w:szCs w:val="30"/>
        </w:rPr>
        <w:t>我局共有干部职工1</w:t>
      </w:r>
      <w:r>
        <w:rPr>
          <w:rFonts w:hint="eastAsia" w:ascii="仿宋" w:hAnsi="仿宋" w:eastAsia="仿宋" w:cs="仿宋"/>
          <w:sz w:val="30"/>
          <w:szCs w:val="30"/>
          <w:lang w:val="en-US" w:eastAsia="zh-CN"/>
        </w:rPr>
        <w:t>7</w:t>
      </w:r>
      <w:r>
        <w:rPr>
          <w:rFonts w:hint="eastAsia" w:ascii="仿宋" w:hAnsi="仿宋" w:eastAsia="仿宋" w:cs="仿宋"/>
          <w:sz w:val="30"/>
          <w:szCs w:val="30"/>
        </w:rPr>
        <w:t>人，其中在职干部</w:t>
      </w:r>
      <w:r>
        <w:rPr>
          <w:rFonts w:hint="eastAsia" w:ascii="仿宋" w:hAnsi="仿宋" w:eastAsia="仿宋" w:cs="仿宋"/>
          <w:sz w:val="30"/>
          <w:szCs w:val="30"/>
          <w:lang w:val="en-US" w:eastAsia="zh-CN"/>
        </w:rPr>
        <w:t>8</w:t>
      </w:r>
      <w:r>
        <w:rPr>
          <w:rFonts w:hint="eastAsia" w:ascii="仿宋" w:hAnsi="仿宋" w:eastAsia="仿宋" w:cs="仿宋"/>
          <w:sz w:val="30"/>
          <w:szCs w:val="30"/>
        </w:rPr>
        <w:t>人；临时职工</w:t>
      </w:r>
      <w:r>
        <w:rPr>
          <w:rFonts w:hint="eastAsia" w:ascii="仿宋" w:hAnsi="仿宋" w:eastAsia="仿宋" w:cs="仿宋"/>
          <w:sz w:val="30"/>
          <w:szCs w:val="30"/>
          <w:lang w:val="en-US" w:eastAsia="zh-CN"/>
        </w:rPr>
        <w:t>1</w:t>
      </w:r>
      <w:r>
        <w:rPr>
          <w:rFonts w:hint="eastAsia" w:ascii="仿宋" w:hAnsi="仿宋" w:eastAsia="仿宋" w:cs="仿宋"/>
          <w:sz w:val="30"/>
          <w:szCs w:val="30"/>
        </w:rPr>
        <w:t>人（其中老干部门诊医生1人），退休干部职工</w:t>
      </w:r>
      <w:r>
        <w:rPr>
          <w:rFonts w:hint="eastAsia" w:ascii="仿宋" w:hAnsi="仿宋" w:eastAsia="仿宋" w:cs="仿宋"/>
          <w:sz w:val="30"/>
          <w:szCs w:val="30"/>
          <w:lang w:val="en-US" w:eastAsia="zh-CN"/>
        </w:rPr>
        <w:t>8</w:t>
      </w:r>
      <w:r>
        <w:rPr>
          <w:rFonts w:hint="eastAsia" w:ascii="仿宋" w:hAnsi="仿宋" w:eastAsia="仿宋" w:cs="仿宋"/>
          <w:sz w:val="30"/>
          <w:szCs w:val="30"/>
        </w:rPr>
        <w:t>人。</w:t>
      </w:r>
    </w:p>
    <w:p w14:paraId="692C7FC3">
      <w:pPr>
        <w:numPr>
          <w:ilvl w:val="0"/>
          <w:numId w:val="2"/>
        </w:numPr>
        <w:adjustRightInd w:val="0"/>
        <w:ind w:firstLine="600" w:firstLineChars="200"/>
        <w:rPr>
          <w:rFonts w:hint="eastAsia" w:ascii="仿宋" w:hAnsi="仿宋" w:eastAsia="仿宋" w:cs="仿宋"/>
          <w:sz w:val="30"/>
          <w:szCs w:val="30"/>
          <w:lang w:val="en-US" w:eastAsia="zh-CN"/>
        </w:rPr>
      </w:pPr>
      <w:r>
        <w:rPr>
          <w:rFonts w:hint="eastAsia" w:ascii="仿宋" w:hAnsi="仿宋" w:eastAsia="仿宋" w:cs="仿宋"/>
          <w:sz w:val="30"/>
          <w:szCs w:val="30"/>
          <w:lang w:val="en-US" w:eastAsia="zh-CN"/>
        </w:rPr>
        <w:t>资产情况</w:t>
      </w:r>
    </w:p>
    <w:p w14:paraId="3C5A34DC">
      <w:pPr>
        <w:numPr>
          <w:ilvl w:val="0"/>
          <w:numId w:val="0"/>
        </w:numPr>
        <w:adjustRightInd w:val="0"/>
        <w:rPr>
          <w:rFonts w:hint="default" w:ascii="仿宋" w:hAnsi="仿宋" w:eastAsia="仿宋" w:cs="仿宋"/>
          <w:sz w:val="30"/>
          <w:szCs w:val="30"/>
          <w:lang w:val="en-US" w:eastAsia="zh-CN"/>
        </w:rPr>
      </w:pPr>
      <w:r>
        <w:rPr>
          <w:rFonts w:hint="eastAsia" w:ascii="仿宋" w:hAnsi="仿宋" w:eastAsia="仿宋" w:cs="仿宋"/>
          <w:sz w:val="30"/>
          <w:szCs w:val="30"/>
          <w:lang w:val="en-US" w:eastAsia="zh-CN"/>
        </w:rPr>
        <w:t xml:space="preserve">    我单位本年末实有固定资产原值为697730元，资产净值为183300.09元，累计折旧为514429.91元。</w:t>
      </w:r>
    </w:p>
    <w:p w14:paraId="734C71B4">
      <w:pPr>
        <w:numPr>
          <w:ilvl w:val="0"/>
          <w:numId w:val="1"/>
        </w:numPr>
        <w:adjustRightInd w:val="0"/>
        <w:ind w:left="480" w:leftChars="0" w:firstLine="0" w:firstLineChars="0"/>
        <w:rPr>
          <w:rFonts w:hint="eastAsia" w:ascii="仿宋" w:hAnsi="仿宋" w:eastAsia="仿宋" w:cs="仿宋"/>
          <w:sz w:val="32"/>
          <w:szCs w:val="32"/>
        </w:rPr>
      </w:pPr>
      <w:r>
        <w:rPr>
          <w:rFonts w:hint="eastAsia" w:ascii="仿宋" w:hAnsi="仿宋" w:eastAsia="仿宋" w:cs="仿宋"/>
          <w:sz w:val="32"/>
          <w:szCs w:val="32"/>
        </w:rPr>
        <w:t>部门履职总体目标</w:t>
      </w:r>
    </w:p>
    <w:p w14:paraId="42BFA61E">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负责贯彻落实中央和省、市党委、政府关于离退休干部工作的方针、政策，结合我县实际情况制定或参与制定我县有关离退休干部工作的具体规定和办法。</w:t>
      </w:r>
    </w:p>
    <w:p w14:paraId="6CC0FEF9">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指导、督促、检查县各级各部门、单位的老干部工作，组织和协调有关部门共同做好老干部工作。</w:t>
      </w:r>
    </w:p>
    <w:p w14:paraId="07691F3A">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按照有关规定,做好离退休干部的安置工作(包括易地安置)。</w:t>
      </w:r>
    </w:p>
    <w:p w14:paraId="01C7FE2D">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督促检查指导县各級各部门落实离退休干部的政治和生活待遇，抓好离休干部"两费"(离休费、医药费)的落实，</w:t>
      </w:r>
      <w:r>
        <w:rPr>
          <w:rFonts w:hint="eastAsia" w:ascii="仿宋" w:hAnsi="仿宋" w:eastAsia="仿宋" w:cs="仿宋"/>
          <w:sz w:val="32"/>
          <w:szCs w:val="32"/>
          <w:lang w:val="en-US" w:eastAsia="zh-CN"/>
        </w:rPr>
        <w:t>调查</w:t>
      </w:r>
      <w:r>
        <w:rPr>
          <w:rFonts w:hint="eastAsia" w:ascii="仿宋" w:hAnsi="仿宋" w:eastAsia="仿宋" w:cs="仿宋"/>
          <w:sz w:val="32"/>
          <w:szCs w:val="32"/>
        </w:rPr>
        <w:t>研究离退休干部政治和生活待遇中存在的问题，协调有关部门</w:t>
      </w:r>
      <w:bookmarkStart w:id="0" w:name="_GoBack"/>
      <w:bookmarkEnd w:id="0"/>
      <w:r>
        <w:rPr>
          <w:rFonts w:hint="eastAsia" w:ascii="仿宋" w:hAnsi="仿宋" w:eastAsia="仿宋" w:cs="仿宋"/>
          <w:sz w:val="32"/>
          <w:szCs w:val="32"/>
        </w:rPr>
        <w:t>提出解决办法。</w:t>
      </w:r>
    </w:p>
    <w:p w14:paraId="16AE5DA7">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抓好离退休干部党支建设，改进和加强新形势下离退干部的思想政治工作。</w:t>
      </w:r>
    </w:p>
    <w:p w14:paraId="68A060DB">
      <w:pPr>
        <w:numPr>
          <w:ilvl w:val="0"/>
          <w:numId w:val="0"/>
        </w:num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6.</w:t>
      </w:r>
      <w:r>
        <w:rPr>
          <w:rFonts w:hint="eastAsia" w:ascii="仿宋" w:hAnsi="仿宋" w:eastAsia="仿宋" w:cs="仿宋"/>
          <w:sz w:val="32"/>
          <w:szCs w:val="32"/>
        </w:rPr>
        <w:t>指导老干部活动中心(室、站)、老年大学(学校)和开展老干部老干部门诊部的建设与管理、非医疗保健活动。组织老干部健康疗养</w:t>
      </w:r>
      <w:r>
        <w:rPr>
          <w:rFonts w:hint="eastAsia" w:ascii="仿宋" w:hAnsi="仿宋" w:eastAsia="仿宋" w:cs="仿宋"/>
          <w:sz w:val="32"/>
          <w:szCs w:val="32"/>
          <w:lang w:eastAsia="zh-CN"/>
        </w:rPr>
        <w:t>。</w:t>
      </w:r>
    </w:p>
    <w:p w14:paraId="03479C61">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做好回隆尧参观、访问和探亲访友老干部的接待、服务工作。</w:t>
      </w:r>
    </w:p>
    <w:p w14:paraId="4D0200F8">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8.</w:t>
      </w:r>
      <w:r>
        <w:rPr>
          <w:rFonts w:hint="eastAsia" w:ascii="仿宋" w:hAnsi="仿宋" w:eastAsia="仿宋" w:cs="仿宋"/>
          <w:sz w:val="32"/>
          <w:szCs w:val="32"/>
        </w:rPr>
        <w:t>指导组织离退休干部继续在政治、经济领域发挥作用。</w:t>
      </w:r>
    </w:p>
    <w:p w14:paraId="03B9113F">
      <w:pPr>
        <w:numPr>
          <w:ilvl w:val="0"/>
          <w:numId w:val="0"/>
        </w:numPr>
        <w:adjustRightInd w:val="0"/>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val="en-US" w:eastAsia="zh-CN"/>
        </w:rPr>
        <w:t>9.</w:t>
      </w:r>
      <w:r>
        <w:rPr>
          <w:rFonts w:hint="eastAsia" w:ascii="仿宋" w:hAnsi="仿宋" w:eastAsia="仿宋" w:cs="仿宋"/>
          <w:sz w:val="32"/>
          <w:szCs w:val="32"/>
        </w:rPr>
        <w:t>指导全县老年教育工作,负责管理县老年大学</w:t>
      </w:r>
      <w:r>
        <w:rPr>
          <w:rFonts w:hint="eastAsia" w:ascii="仿宋" w:hAnsi="仿宋" w:eastAsia="仿宋" w:cs="仿宋"/>
          <w:sz w:val="32"/>
          <w:szCs w:val="32"/>
          <w:lang w:eastAsia="zh-CN"/>
        </w:rPr>
        <w:t>。</w:t>
      </w:r>
    </w:p>
    <w:p w14:paraId="54121A0D">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10.</w:t>
      </w:r>
      <w:r>
        <w:rPr>
          <w:rFonts w:hint="eastAsia" w:ascii="仿宋" w:hAnsi="仿宋" w:eastAsia="仿宋" w:cs="仿宋"/>
          <w:sz w:val="32"/>
          <w:szCs w:val="32"/>
          <w:lang w:eastAsia="zh-CN"/>
        </w:rPr>
        <w:t>指</w:t>
      </w:r>
      <w:r>
        <w:rPr>
          <w:rFonts w:hint="eastAsia" w:ascii="仿宋" w:hAnsi="仿宋" w:eastAsia="仿宋" w:cs="仿宋"/>
          <w:sz w:val="32"/>
          <w:szCs w:val="32"/>
        </w:rPr>
        <w:t>导去世老干部的善后工作,会同有关部门制定丧事处理的有关事宜。</w:t>
      </w:r>
    </w:p>
    <w:p w14:paraId="27DFAFA6">
      <w:pPr>
        <w:numPr>
          <w:ilvl w:val="0"/>
          <w:numId w:val="0"/>
        </w:numPr>
        <w:adjustRightInd w:val="0"/>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11.</w:t>
      </w:r>
      <w:r>
        <w:rPr>
          <w:rFonts w:hint="eastAsia" w:ascii="仿宋" w:hAnsi="仿宋" w:eastAsia="仿宋" w:cs="仿宋"/>
          <w:sz w:val="32"/>
          <w:szCs w:val="32"/>
        </w:rPr>
        <w:t>承办县委、县政府、组织部交办的其他事项</w:t>
      </w:r>
      <w:r>
        <w:rPr>
          <w:rFonts w:hint="eastAsia" w:ascii="仿宋" w:hAnsi="仿宋" w:eastAsia="仿宋" w:cs="仿宋"/>
          <w:sz w:val="32"/>
          <w:szCs w:val="32"/>
          <w:lang w:eastAsia="zh-CN"/>
        </w:rPr>
        <w:t>。</w:t>
      </w:r>
    </w:p>
    <w:p w14:paraId="1A0A8851">
      <w:pPr>
        <w:adjustRightInd w:val="0"/>
        <w:rPr>
          <w:rFonts w:ascii="仿宋" w:hAnsi="仿宋" w:eastAsia="仿宋" w:cs="仿宋"/>
          <w:sz w:val="32"/>
          <w:szCs w:val="32"/>
        </w:rPr>
      </w:pPr>
      <w:r>
        <w:rPr>
          <w:rFonts w:hint="eastAsia" w:ascii="仿宋" w:hAnsi="仿宋" w:eastAsia="仿宋" w:cs="仿宋"/>
          <w:sz w:val="32"/>
          <w:szCs w:val="32"/>
        </w:rPr>
        <w:t xml:space="preserve">   （四）年度整体绩效目标和工作任务。</w:t>
      </w:r>
    </w:p>
    <w:p w14:paraId="2CA2B4BD">
      <w:pPr>
        <w:numPr>
          <w:ilvl w:val="0"/>
          <w:numId w:val="0"/>
        </w:numPr>
        <w:adjustRightInd w:val="0"/>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1、组织全县老干部</w:t>
      </w:r>
      <w:r>
        <w:rPr>
          <w:rFonts w:hint="eastAsia" w:ascii="仿宋" w:hAnsi="仿宋" w:eastAsia="仿宋" w:cs="仿宋"/>
          <w:sz w:val="32"/>
          <w:szCs w:val="32"/>
          <w:lang w:eastAsia="zh-CN"/>
        </w:rPr>
        <w:t>深入学习贯彻党的十九大精神和习近平总书记系列重要讲话精神</w:t>
      </w:r>
      <w:r>
        <w:rPr>
          <w:rFonts w:hint="eastAsia" w:ascii="仿宋" w:hAnsi="仿宋" w:eastAsia="仿宋" w:cs="仿宋"/>
          <w:sz w:val="32"/>
          <w:szCs w:val="32"/>
        </w:rPr>
        <w:t>。</w:t>
      </w:r>
    </w:p>
    <w:p w14:paraId="0D1BF932">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2、全面落实隆办字〔2019〕26号文件精神，逐步将科级退休干部纳入服务管理序列，进一步做好退休干部服务管理工作的调研。</w:t>
      </w:r>
    </w:p>
    <w:p w14:paraId="2D8953CE">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3.扎扎实实落实老干部“两项待遇”，组织开展好老干部元旦春节慰问老干部、县级离退休干部外出参观考察、中秋重阳节老干部观摩重点项目等系列活动。</w:t>
      </w:r>
    </w:p>
    <w:p w14:paraId="536B0913">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4、多措并举抓好离退休干部党支部建设工作。一是加强思想建设，通过发放资料、座谈会、订阅报刊等途径加强离退休党员干部的政治学习。二是加强制度建设，从实际出发</w:t>
      </w:r>
      <w:r>
        <w:rPr>
          <w:rFonts w:hint="eastAsia" w:ascii="仿宋" w:hAnsi="仿宋" w:eastAsia="仿宋" w:cs="仿宋"/>
          <w:sz w:val="32"/>
          <w:szCs w:val="32"/>
          <w:lang w:eastAsia="zh-CN"/>
        </w:rPr>
        <w:t>，</w:t>
      </w:r>
      <w:r>
        <w:rPr>
          <w:rFonts w:hint="eastAsia" w:ascii="仿宋" w:hAnsi="仿宋" w:eastAsia="仿宋" w:cs="仿宋"/>
          <w:sz w:val="32"/>
          <w:szCs w:val="32"/>
        </w:rPr>
        <w:t>建立和完善党支部工作制度，使离退休干部党支部工作制度化、规范化。三是离退休干部党支部建设同落实老干部“两个待遇”要求结合起来，进一步健全完善老干部五项工作机制，并及时解决运行中出现的新情况和新问题。</w:t>
      </w:r>
    </w:p>
    <w:p w14:paraId="2E638ACA">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5、抓好老干部活动中心活动开展工作。老干部活动阵地建设是新形势下老干部工作的拓展和延伸，是加强老干部思想政治建设、满足老干部精神文化需求的重要载体，是党和政府联系老干部、凝聚老干部的重要桥梁，也是做好老干部工作的重要基础。加强老干部活动阵地建设，是落实党和国家对老干部政治上尊重、思想上关心、生活上照顾政策的具体体现。</w:t>
      </w:r>
    </w:p>
    <w:p w14:paraId="3EDD4BE4">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6、开展全县关心下一代工作，组织老同志参加青少年教育工作。组织老干部开展青少年教育活动。建设好老年大学，为老干部教育工作加砖添瓦。贯彻执行老年教育和老干部工作方针，构建终身教育体系；健全完善与经济社会发展相适应的老年教育体系，充分发挥老干部传帮带作用，传承优良作风，让下一代健康成长。</w:t>
      </w:r>
    </w:p>
    <w:p w14:paraId="3BA6EABE">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7、做好老干部信访稳定工作，让县委放心、让老干部满意。</w:t>
      </w:r>
    </w:p>
    <w:p w14:paraId="7F58B7FA">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8、围绕全县大局，组织老干部发挥作用。组织引导老干部发挥自身优势，鼓励老干部参与招商引资工作，为全县经济社会发展建言献策，参与和谐隆尧建设，协助县委和政府协调各方利益关系，处理社会矛盾，促进社会和谐，为全县改革和稳定大局服务。</w:t>
      </w:r>
    </w:p>
    <w:p w14:paraId="5A229FF1">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rPr>
        <w:t>9、搞好调研，积极探索新形势下做好老干部工作的新方法、新举措。做好老干部宣传报道和信息工作，大力宣传和弘扬离退休干部党支部和离退休干部的先进事迹，通过树立典型，宣传老干部工作亮点和老干部的感人事迹等途径，扩大老干部工作影响力，营造全社会支持老干部工作，全社会尊老爱老的良好氛围，进而推动全县老干部工作科学发展。</w:t>
      </w:r>
    </w:p>
    <w:p w14:paraId="1C6B445A">
      <w:pPr>
        <w:numPr>
          <w:ilvl w:val="0"/>
          <w:numId w:val="0"/>
        </w:numPr>
        <w:adjustRightInd w:val="0"/>
        <w:ind w:firstLine="640" w:firstLineChars="200"/>
        <w:rPr>
          <w:rFonts w:hint="eastAsia" w:ascii="楷体" w:hAnsi="楷体" w:eastAsia="楷体" w:cs="仿宋"/>
          <w:sz w:val="32"/>
          <w:szCs w:val="32"/>
        </w:rPr>
      </w:pPr>
      <w:r>
        <w:rPr>
          <w:rFonts w:hint="eastAsia" w:ascii="仿宋" w:hAnsi="仿宋" w:eastAsia="仿宋" w:cs="仿宋"/>
          <w:sz w:val="32"/>
          <w:szCs w:val="32"/>
        </w:rPr>
        <w:t>（五）预算资金安排及资金支出情况</w:t>
      </w:r>
      <w:r>
        <w:rPr>
          <w:rFonts w:hint="eastAsia" w:ascii="楷体" w:hAnsi="楷体" w:eastAsia="楷体" w:cs="仿宋"/>
          <w:sz w:val="32"/>
          <w:szCs w:val="32"/>
        </w:rPr>
        <w:t>。</w:t>
      </w:r>
    </w:p>
    <w:p w14:paraId="2D50B2A4">
      <w:pPr>
        <w:numPr>
          <w:ilvl w:val="0"/>
          <w:numId w:val="0"/>
        </w:numPr>
        <w:adjustRightInd w:val="0"/>
        <w:ind w:firstLine="640" w:firstLineChars="200"/>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2021年度</w:t>
      </w:r>
      <w:r>
        <w:rPr>
          <w:rFonts w:hint="eastAsia" w:ascii="仿宋" w:hAnsi="仿宋" w:eastAsia="仿宋" w:cs="仿宋"/>
          <w:color w:val="0000FF"/>
          <w:sz w:val="32"/>
          <w:szCs w:val="32"/>
          <w:lang w:val="en-US" w:eastAsia="zh-CN"/>
        </w:rPr>
        <w:t>项目</w:t>
      </w:r>
      <w:r>
        <w:rPr>
          <w:rFonts w:hint="eastAsia" w:ascii="仿宋" w:hAnsi="仿宋" w:eastAsia="仿宋" w:cs="仿宋"/>
          <w:sz w:val="32"/>
          <w:szCs w:val="32"/>
          <w:lang w:val="en-US" w:eastAsia="zh-CN"/>
        </w:rPr>
        <w:t>预算资金安排共计为177.644万元，实际资金支出为109.68万元。</w:t>
      </w:r>
    </w:p>
    <w:p w14:paraId="2DD46E35">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预算绩效管理开展及整体绩效实现情况。</w:t>
      </w:r>
    </w:p>
    <w:p w14:paraId="0F5CAB26">
      <w:pPr>
        <w:numPr>
          <w:ilvl w:val="0"/>
          <w:numId w:val="4"/>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部门开展预算绩效管理情况。</w:t>
      </w:r>
    </w:p>
    <w:p w14:paraId="70D900EF">
      <w:pPr>
        <w:numPr>
          <w:ilvl w:val="0"/>
          <w:numId w:val="0"/>
        </w:numPr>
        <w:adjustRightInd w:val="0"/>
        <w:rPr>
          <w:rFonts w:hint="eastAsia" w:ascii="仿宋" w:hAnsi="仿宋" w:eastAsia="仿宋" w:cs="仿宋"/>
          <w:sz w:val="32"/>
          <w:szCs w:val="32"/>
        </w:rPr>
      </w:pPr>
      <w:r>
        <w:rPr>
          <w:rFonts w:hint="eastAsia" w:ascii="仿宋" w:hAnsi="仿宋" w:eastAsia="仿宋" w:cs="仿宋"/>
          <w:sz w:val="32"/>
          <w:szCs w:val="32"/>
          <w:lang w:val="en-US" w:eastAsia="zh-CN"/>
        </w:rPr>
        <w:t xml:space="preserve">    我单位开展了预算绩效自评工作，制定了详细可行的工作活动实施计划，已按实施计划具体落实。为保证项目质量和项目的顺利实施，我局按照有关法律法规加强项目的管理，并指定专人对项目实施监督，做到发现问题及时整改。</w:t>
      </w:r>
    </w:p>
    <w:p w14:paraId="0009FD98">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工作履行活动完成情况。</w:t>
      </w:r>
    </w:p>
    <w:p w14:paraId="1C2EAECA">
      <w:pPr>
        <w:numPr>
          <w:ilvl w:val="0"/>
          <w:numId w:val="0"/>
        </w:numPr>
        <w:adjustRightInd w:val="0"/>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建立了隆尧县委老干部局财务管理办法、隆尧县委老干部局预算内部控制制度手册，并严格按照制度执行。对离休干部护理费、医疗费等重点资金支出制定了详细的支出计划。</w:t>
      </w:r>
    </w:p>
    <w:p w14:paraId="4CB413F6">
      <w:pPr>
        <w:numPr>
          <w:ilvl w:val="0"/>
          <w:numId w:val="4"/>
        </w:numPr>
        <w:adjustRightInd w:val="0"/>
        <w:ind w:left="0" w:leftChars="0" w:firstLine="480" w:firstLineChars="150"/>
        <w:rPr>
          <w:rFonts w:hint="eastAsia" w:ascii="仿宋" w:hAnsi="仿宋" w:eastAsia="仿宋" w:cs="仿宋"/>
          <w:sz w:val="32"/>
          <w:szCs w:val="32"/>
        </w:rPr>
      </w:pPr>
      <w:r>
        <w:rPr>
          <w:rFonts w:hint="eastAsia" w:ascii="仿宋" w:hAnsi="仿宋" w:eastAsia="仿宋" w:cs="仿宋"/>
          <w:sz w:val="32"/>
          <w:szCs w:val="32"/>
        </w:rPr>
        <w:t>实施履职活动产生的效果或服务对象满意程度。</w:t>
      </w:r>
    </w:p>
    <w:p w14:paraId="2C324E6C">
      <w:pPr>
        <w:numPr>
          <w:ilvl w:val="0"/>
          <w:numId w:val="0"/>
        </w:numPr>
        <w:adjustRightInd w:val="0"/>
        <w:ind w:leftChars="150" w:firstLine="320" w:firstLineChars="100"/>
        <w:rPr>
          <w:rFonts w:hint="eastAsia" w:ascii="仿宋" w:hAnsi="仿宋" w:eastAsia="仿宋" w:cs="仿宋"/>
          <w:sz w:val="32"/>
          <w:szCs w:val="32"/>
        </w:rPr>
      </w:pPr>
      <w:r>
        <w:rPr>
          <w:rFonts w:hint="eastAsia" w:ascii="仿宋" w:hAnsi="仿宋" w:eastAsia="仿宋" w:cs="仿宋"/>
          <w:sz w:val="32"/>
          <w:szCs w:val="32"/>
          <w:lang w:val="en-US" w:eastAsia="zh-CN"/>
        </w:rPr>
        <w:t>老干部对我局各项服务工作满意率达100%。</w:t>
      </w:r>
    </w:p>
    <w:p w14:paraId="10D23A0B">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绩效评价的组织实施情况</w:t>
      </w:r>
    </w:p>
    <w:p w14:paraId="56D77D91">
      <w:pPr>
        <w:numPr>
          <w:ilvl w:val="0"/>
          <w:numId w:val="5"/>
        </w:num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评价对象绩效目标。</w:t>
      </w:r>
    </w:p>
    <w:p w14:paraId="44ACB15E">
      <w:pPr>
        <w:pStyle w:val="18"/>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ind w:firstLine="640" w:firstLineChars="200"/>
        <w:rPr>
          <w:rFonts w:hint="eastAsia" w:ascii="仿宋" w:hAnsi="仿宋" w:eastAsia="仿宋" w:cs="仿宋"/>
          <w:color w:val="auto"/>
          <w:kern w:val="2"/>
          <w:position w:val="0"/>
          <w:sz w:val="32"/>
          <w:szCs w:val="32"/>
          <w:u w:val="none"/>
          <w:shd w:val="clear"/>
          <w:lang w:val="en-US" w:eastAsia="zh-CN" w:bidi="ar-SA"/>
        </w:rPr>
      </w:pPr>
      <w:r>
        <w:rPr>
          <w:rFonts w:hint="eastAsia" w:ascii="仿宋" w:hAnsi="仿宋" w:eastAsia="仿宋" w:cs="仿宋"/>
          <w:color w:val="auto"/>
          <w:kern w:val="2"/>
          <w:position w:val="0"/>
          <w:sz w:val="32"/>
          <w:szCs w:val="32"/>
          <w:u w:val="none"/>
          <w:shd w:val="clear"/>
          <w:lang w:val="en-US" w:eastAsia="zh-CN" w:bidi="ar-SA"/>
        </w:rPr>
        <w:t>1、老干部慰问工作做到逐人、逐户，通过走访慰问真实了解老干部的生活状况，对发现的问题及时解决。</w:t>
      </w:r>
    </w:p>
    <w:p w14:paraId="3F015CD0">
      <w:pPr>
        <w:pStyle w:val="18"/>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color w:val="auto"/>
          <w:kern w:val="2"/>
          <w:position w:val="0"/>
          <w:sz w:val="32"/>
          <w:szCs w:val="32"/>
          <w:u w:val="none"/>
          <w:shd w:val="clear"/>
          <w:lang w:val="en-US" w:eastAsia="zh-CN" w:bidi="ar-SA"/>
        </w:rPr>
      </w:pPr>
      <w:r>
        <w:rPr>
          <w:rFonts w:hint="eastAsia" w:ascii="仿宋" w:hAnsi="仿宋" w:eastAsia="仿宋" w:cs="仿宋"/>
          <w:color w:val="auto"/>
          <w:kern w:val="2"/>
          <w:position w:val="0"/>
          <w:sz w:val="32"/>
          <w:szCs w:val="32"/>
          <w:u w:val="none"/>
          <w:shd w:val="clear"/>
          <w:lang w:val="en-US" w:eastAsia="zh-CN" w:bidi="ar-SA"/>
        </w:rPr>
        <w:t xml:space="preserve">    2、对老干部的各项讲座要聘请有一定专长的同志认真讲解，通过讲解使老干部对老年人的常见病、多发病的预防和治疗有一定的了解；对国家的大政方针有更清醒的认识。</w:t>
      </w:r>
    </w:p>
    <w:p w14:paraId="243540AE">
      <w:pPr>
        <w:pStyle w:val="18"/>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color w:val="auto"/>
          <w:kern w:val="2"/>
          <w:position w:val="0"/>
          <w:sz w:val="32"/>
          <w:szCs w:val="32"/>
          <w:u w:val="none"/>
          <w:shd w:val="clear"/>
          <w:lang w:val="en-US" w:eastAsia="zh-CN" w:bidi="ar-SA"/>
        </w:rPr>
      </w:pPr>
      <w:r>
        <w:rPr>
          <w:rFonts w:hint="eastAsia" w:ascii="仿宋" w:hAnsi="仿宋" w:eastAsia="仿宋" w:cs="仿宋"/>
          <w:color w:val="auto"/>
          <w:kern w:val="2"/>
          <w:position w:val="0"/>
          <w:sz w:val="32"/>
          <w:szCs w:val="32"/>
          <w:u w:val="none"/>
          <w:shd w:val="clear"/>
          <w:lang w:val="en-US" w:eastAsia="zh-CN" w:bidi="ar-SA"/>
        </w:rPr>
        <w:t xml:space="preserve">    3、老干部药费做到实报实销，以减轻他们的经济负担；外出考察真正达到开阔视野、增长知识、陶冶情操等目的。</w:t>
      </w:r>
    </w:p>
    <w:p w14:paraId="2E2D85D8">
      <w:pPr>
        <w:pStyle w:val="18"/>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color w:val="auto"/>
          <w:kern w:val="2"/>
          <w:position w:val="0"/>
          <w:sz w:val="32"/>
          <w:szCs w:val="32"/>
          <w:u w:val="none"/>
          <w:shd w:val="clear"/>
          <w:lang w:val="en-US" w:eastAsia="zh-CN" w:bidi="ar-SA"/>
        </w:rPr>
      </w:pPr>
      <w:r>
        <w:rPr>
          <w:rFonts w:hint="eastAsia" w:ascii="仿宋" w:hAnsi="仿宋" w:eastAsia="仿宋" w:cs="仿宋"/>
          <w:color w:val="auto"/>
          <w:kern w:val="2"/>
          <w:position w:val="0"/>
          <w:sz w:val="32"/>
          <w:szCs w:val="32"/>
          <w:u w:val="none"/>
          <w:shd w:val="clear"/>
          <w:lang w:val="en-US" w:eastAsia="zh-CN" w:bidi="ar-SA"/>
        </w:rPr>
        <w:t xml:space="preserve">    4、做好对体弱多病及需住院治疗的老干部的慰问工作，把党对老干部的温暖送到老干部的心坎上。</w:t>
      </w:r>
    </w:p>
    <w:p w14:paraId="6872DEB5">
      <w:pPr>
        <w:pStyle w:val="18"/>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360" w:lineRule="auto"/>
        <w:rPr>
          <w:rFonts w:hint="eastAsia" w:ascii="仿宋" w:hAnsi="仿宋" w:eastAsia="仿宋" w:cs="仿宋"/>
          <w:color w:val="auto"/>
          <w:kern w:val="2"/>
          <w:position w:val="0"/>
          <w:sz w:val="32"/>
          <w:szCs w:val="32"/>
          <w:u w:val="none"/>
          <w:shd w:val="clear"/>
          <w:lang w:val="en-US" w:eastAsia="zh-CN" w:bidi="ar-SA"/>
        </w:rPr>
      </w:pPr>
      <w:r>
        <w:rPr>
          <w:rFonts w:hint="eastAsia" w:ascii="仿宋" w:hAnsi="仿宋" w:eastAsia="仿宋" w:cs="仿宋"/>
          <w:color w:val="auto"/>
          <w:kern w:val="2"/>
          <w:position w:val="0"/>
          <w:sz w:val="32"/>
          <w:szCs w:val="32"/>
          <w:u w:val="none"/>
          <w:shd w:val="clear"/>
          <w:lang w:val="en-US" w:eastAsia="zh-CN" w:bidi="ar-SA"/>
        </w:rPr>
        <w:t xml:space="preserve">    5、开办好各种会议及培训，不断提高老干部工作人员的工作水平，为做好我县的老干部工作提供有力的人才保障。</w:t>
      </w:r>
    </w:p>
    <w:p w14:paraId="46BE2529">
      <w:pPr>
        <w:numPr>
          <w:ilvl w:val="0"/>
          <w:numId w:val="0"/>
        </w:numPr>
        <w:adjustRightInd w:val="0"/>
        <w:rPr>
          <w:rFonts w:hint="eastAsia" w:ascii="仿宋" w:hAnsi="仿宋" w:eastAsia="仿宋" w:cs="仿宋"/>
          <w:sz w:val="32"/>
          <w:szCs w:val="32"/>
        </w:rPr>
      </w:pPr>
      <w:r>
        <w:rPr>
          <w:rFonts w:hint="eastAsia" w:ascii="仿宋" w:hAnsi="仿宋" w:eastAsia="仿宋" w:cs="仿宋"/>
          <w:color w:val="auto"/>
          <w:kern w:val="2"/>
          <w:position w:val="0"/>
          <w:sz w:val="32"/>
          <w:szCs w:val="32"/>
          <w:u w:val="none"/>
          <w:shd w:val="clear"/>
          <w:lang w:val="en-US" w:eastAsia="zh-CN" w:bidi="ar-SA"/>
        </w:rPr>
        <w:t xml:space="preserve">    6、健全完善与经济社会发展相适应的老年教育体系，充分发挥老干部传帮带作用，传承优良作风，让下一代健康成长。</w:t>
      </w:r>
    </w:p>
    <w:p w14:paraId="7112A4D2">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（二）绩效指标。</w:t>
      </w:r>
    </w:p>
    <w:p w14:paraId="5B141ADD">
      <w:pPr>
        <w:adjustRightInd w:val="0"/>
        <w:ind w:firstLine="480" w:firstLineChars="15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级指标分为产出指标、效益指标、满意度指标、预算执行率。产出指标的二级指标分为数量指标、质量指标、时效指标、成本指标。效益指标的二级指标分为经济效益指标、社会效益指标、生态效益指标、可持续影响指标。</w:t>
      </w:r>
    </w:p>
    <w:p w14:paraId="231EE661">
      <w:pPr>
        <w:adjustRightInd w:val="0"/>
        <w:ind w:firstLine="480" w:firstLineChars="150"/>
        <w:rPr>
          <w:rFonts w:hint="eastAsia" w:ascii="仿宋" w:hAnsi="仿宋" w:eastAsia="仿宋" w:cs="仿宋"/>
          <w:sz w:val="32"/>
          <w:szCs w:val="32"/>
        </w:rPr>
      </w:pPr>
      <w:r>
        <w:rPr>
          <w:rFonts w:hint="eastAsia" w:ascii="仿宋" w:hAnsi="仿宋" w:eastAsia="仿宋" w:cs="仿宋"/>
          <w:sz w:val="32"/>
          <w:szCs w:val="32"/>
        </w:rPr>
        <w:t>（三）评价标准和评价方法。</w:t>
      </w:r>
    </w:p>
    <w:p w14:paraId="04315A75">
      <w:pPr>
        <w:numPr>
          <w:ilvl w:val="0"/>
          <w:numId w:val="0"/>
        </w:numPr>
        <w:spacing w:line="240" w:lineRule="auto"/>
        <w:ind w:firstLine="640" w:firstLineChars="200"/>
        <w:rPr>
          <w:rFonts w:hint="eastAsia" w:ascii="仿宋" w:hAnsi="仿宋" w:eastAsia="仿宋" w:cs="仿宋"/>
          <w:sz w:val="32"/>
          <w:szCs w:val="32"/>
        </w:rPr>
      </w:pPr>
      <w:r>
        <w:rPr>
          <w:rFonts w:hint="eastAsia" w:ascii="仿宋" w:hAnsi="仿宋" w:eastAsia="仿宋" w:cs="仿宋"/>
          <w:sz w:val="32"/>
          <w:szCs w:val="32"/>
          <w:lang w:val="en-US" w:eastAsia="zh-CN"/>
        </w:rPr>
        <w:t>我局高度重视财政支出项目绩效评价工作，进一步树立以绩效结果为导向的预算理念，成立以局党组书记、局长李爱民为组长，局党组成员、办公室主任杜利峰、常学中任成员的局财政支出绩效评价工作领导小组，及时召开相关会议，作出局财政支出绩效评价工作部署，认真做好财政支出绩效评价工作，全面完成我局项目财政支出的绩效自评工作。</w:t>
      </w:r>
    </w:p>
    <w:p w14:paraId="3EE86C85">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各项绩效目标的实现程度及差异性原因分析。</w:t>
      </w:r>
    </w:p>
    <w:p w14:paraId="40C91C5E">
      <w:pPr>
        <w:pStyle w:val="17"/>
        <w:numPr>
          <w:ilvl w:val="0"/>
          <w:numId w:val="0"/>
        </w:numPr>
        <w:ind w:firstLine="640" w:firstLineChars="200"/>
        <w:rPr>
          <w:rFonts w:ascii="黑体" w:hAnsi="黑体" w:eastAsia="黑体" w:cs="仿宋"/>
          <w:sz w:val="32"/>
          <w:szCs w:val="32"/>
        </w:rPr>
      </w:pPr>
      <w:r>
        <w:rPr>
          <w:rFonts w:hint="eastAsia" w:ascii="仿宋" w:hAnsi="仿宋" w:eastAsia="仿宋" w:cs="仿宋"/>
          <w:sz w:val="32"/>
          <w:szCs w:val="32"/>
          <w:lang w:val="en-US" w:eastAsia="zh-CN"/>
        </w:rPr>
        <w:t>离休干部护理费、交通费、医疗费实现了及时足额发放，发放率达100%；老年书画研究会经费支出率100%；离退休慰问费支出率100%；县级离退休考察费支出为0，是因为受疫情影响该项目未实施；特困离退休干部帮扶支出率10%，是因为无其他符合救助条件的对象；关工委经费支出率72%，是因为受疫情影响部分活动未开展；离退休特需费支出率77%，是因为受疫情影响部分活动未开展及部分老干部去世致使该项资金未全部支出；老年大学经费支出97.63%。</w:t>
      </w:r>
    </w:p>
    <w:p w14:paraId="6E5F178A">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存在问题</w:t>
      </w:r>
    </w:p>
    <w:p w14:paraId="1970F9D6">
      <w:pPr>
        <w:pStyle w:val="17"/>
        <w:numPr>
          <w:ilvl w:val="0"/>
          <w:numId w:val="0"/>
        </w:numPr>
        <w:ind w:firstLine="640" w:firstLineChars="200"/>
        <w:rPr>
          <w:rFonts w:ascii="黑体" w:hAnsi="黑体" w:eastAsia="黑体" w:cs="仿宋"/>
          <w:sz w:val="32"/>
          <w:szCs w:val="32"/>
        </w:rPr>
      </w:pPr>
      <w:r>
        <w:rPr>
          <w:rFonts w:hint="eastAsia" w:ascii="仿宋" w:hAnsi="仿宋" w:eastAsia="仿宋" w:cs="仿宋"/>
          <w:sz w:val="32"/>
          <w:szCs w:val="32"/>
          <w:lang w:val="en-US" w:eastAsia="zh-CN"/>
        </w:rPr>
        <w:t>项目绩效预算计划工作还不到位，需要加强绩效预算工作，项目绩效预算计划工作要落实。</w:t>
      </w:r>
    </w:p>
    <w:p w14:paraId="5823C321">
      <w:pPr>
        <w:pStyle w:val="17"/>
        <w:numPr>
          <w:ilvl w:val="0"/>
          <w:numId w:val="3"/>
        </w:numPr>
        <w:ind w:firstLineChars="0"/>
        <w:rPr>
          <w:rFonts w:ascii="黑体" w:hAnsi="黑体" w:eastAsia="黑体" w:cs="仿宋"/>
          <w:sz w:val="32"/>
          <w:szCs w:val="32"/>
        </w:rPr>
      </w:pPr>
      <w:r>
        <w:rPr>
          <w:rFonts w:hint="eastAsia" w:ascii="黑体" w:hAnsi="黑体" w:eastAsia="黑体" w:cs="仿宋"/>
          <w:sz w:val="32"/>
          <w:szCs w:val="32"/>
        </w:rPr>
        <w:t>采取的纠偏措施及改进绩效管理建议。</w:t>
      </w:r>
    </w:p>
    <w:p w14:paraId="1FB2E3BA">
      <w:pPr>
        <w:pStyle w:val="17"/>
        <w:numPr>
          <w:ilvl w:val="0"/>
          <w:numId w:val="0"/>
        </w:numPr>
        <w:ind w:firstLine="640" w:firstLineChars="200"/>
        <w:rPr>
          <w:rFonts w:hint="default" w:ascii="黑体" w:hAnsi="黑体" w:eastAsia="黑体" w:cs="仿宋"/>
          <w:sz w:val="32"/>
          <w:szCs w:val="32"/>
          <w:lang w:val="en-US" w:eastAsia="zh-CN"/>
        </w:rPr>
      </w:pPr>
      <w:r>
        <w:rPr>
          <w:rFonts w:hint="eastAsia" w:ascii="仿宋" w:hAnsi="仿宋" w:eastAsia="仿宋" w:cs="仿宋"/>
          <w:sz w:val="32"/>
          <w:szCs w:val="32"/>
          <w:lang w:val="en-US" w:eastAsia="zh-CN"/>
        </w:rPr>
        <w:t>在预算工作开展前进行认真仔细的调研，摸清老干部工作实际需求，与部门职责相对应，开展各项老干部工作。力争将每一分钱都用到刀刃上，将老干部工作做深、做细、做实。</w:t>
      </w:r>
    </w:p>
    <w:sectPr>
      <w:footerReference r:id="rId3" w:type="default"/>
      <w:footerReference r:id="rId4" w:type="even"/>
      <w:pgSz w:w="11906" w:h="16838"/>
      <w:pgMar w:top="1985" w:right="1418" w:bottom="1985" w:left="1418" w:header="851" w:footer="1701" w:gutter="0"/>
      <w:pgNumType w:fmt="decimal"/>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84A2E6">
    <w:pPr>
      <w:pStyle w:val="5"/>
      <w:ind w:right="360" w:firstLine="360"/>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14:paraId="3975EB0C">
                <w:pPr>
                  <w:pStyle w:val="5"/>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7</w:t>
                </w:r>
                <w:r>
                  <w:rPr>
                    <w:rStyle w:val="11"/>
                    <w:rFonts w:ascii="宋体" w:hAnsi="宋体" w:eastAsia="宋体"/>
                    <w:sz w:val="28"/>
                    <w:szCs w:val="28"/>
                  </w:rPr>
                  <w:fldChar w:fldCharType="end"/>
                </w:r>
                <w:r>
                  <w:rPr>
                    <w:rStyle w:val="11"/>
                    <w:rFonts w:hint="eastAsia" w:ascii="宋体" w:hAnsi="宋体" w:eastAsia="宋体"/>
                    <w:sz w:val="28"/>
                    <w:szCs w:val="28"/>
                  </w:rPr>
                  <w:t>-</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E35269C">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14:paraId="15D90689">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37D3213"/>
    <w:multiLevelType w:val="singleLevel"/>
    <w:tmpl w:val="937D3213"/>
    <w:lvl w:ilvl="0" w:tentative="0">
      <w:start w:val="1"/>
      <w:numFmt w:val="chineseCounting"/>
      <w:suff w:val="nothing"/>
      <w:lvlText w:val="（%1）"/>
      <w:lvlJc w:val="left"/>
      <w:rPr>
        <w:rFonts w:hint="eastAsia"/>
      </w:rPr>
    </w:lvl>
  </w:abstractNum>
  <w:abstractNum w:abstractNumId="1">
    <w:nsid w:val="BF959434"/>
    <w:multiLevelType w:val="singleLevel"/>
    <w:tmpl w:val="BF959434"/>
    <w:lvl w:ilvl="0" w:tentative="0">
      <w:start w:val="2"/>
      <w:numFmt w:val="chineseCounting"/>
      <w:suff w:val="nothing"/>
      <w:lvlText w:val="（%1）"/>
      <w:lvlJc w:val="left"/>
      <w:pPr>
        <w:ind w:left="480" w:leftChars="0" w:firstLine="0" w:firstLineChars="0"/>
      </w:pPr>
      <w:rPr>
        <w:rFonts w:hint="eastAsia"/>
      </w:rPr>
    </w:lvl>
  </w:abstractNum>
  <w:abstractNum w:abstractNumId="2">
    <w:nsid w:val="4DE332E9"/>
    <w:multiLevelType w:val="multilevel"/>
    <w:tmpl w:val="4DE332E9"/>
    <w:lvl w:ilvl="0" w:tentative="0">
      <w:start w:val="1"/>
      <w:numFmt w:val="japaneseCounting"/>
      <w:lvlText w:val="%1、"/>
      <w:lvlJc w:val="left"/>
      <w:pPr>
        <w:ind w:left="1429" w:hanging="720"/>
      </w:pPr>
      <w:rPr>
        <w:rFonts w:hint="default"/>
        <w:lang w:val="en-US"/>
      </w:rPr>
    </w:lvl>
    <w:lvl w:ilvl="1" w:tentative="0">
      <w:start w:val="1"/>
      <w:numFmt w:val="lowerLetter"/>
      <w:lvlText w:val="%2)"/>
      <w:lvlJc w:val="left"/>
      <w:pPr>
        <w:ind w:left="1419" w:hanging="420"/>
      </w:pPr>
    </w:lvl>
    <w:lvl w:ilvl="2" w:tentative="0">
      <w:start w:val="1"/>
      <w:numFmt w:val="lowerRoman"/>
      <w:lvlText w:val="%3."/>
      <w:lvlJc w:val="right"/>
      <w:pPr>
        <w:ind w:left="1839" w:hanging="420"/>
      </w:pPr>
    </w:lvl>
    <w:lvl w:ilvl="3" w:tentative="0">
      <w:start w:val="1"/>
      <w:numFmt w:val="decimal"/>
      <w:lvlText w:val="%4."/>
      <w:lvlJc w:val="left"/>
      <w:pPr>
        <w:ind w:left="2259" w:hanging="420"/>
      </w:pPr>
    </w:lvl>
    <w:lvl w:ilvl="4" w:tentative="0">
      <w:start w:val="1"/>
      <w:numFmt w:val="lowerLetter"/>
      <w:lvlText w:val="%5)"/>
      <w:lvlJc w:val="left"/>
      <w:pPr>
        <w:ind w:left="2679" w:hanging="420"/>
      </w:pPr>
    </w:lvl>
    <w:lvl w:ilvl="5" w:tentative="0">
      <w:start w:val="1"/>
      <w:numFmt w:val="lowerRoman"/>
      <w:lvlText w:val="%6."/>
      <w:lvlJc w:val="right"/>
      <w:pPr>
        <w:ind w:left="3099" w:hanging="420"/>
      </w:pPr>
    </w:lvl>
    <w:lvl w:ilvl="6" w:tentative="0">
      <w:start w:val="1"/>
      <w:numFmt w:val="decimal"/>
      <w:lvlText w:val="%7."/>
      <w:lvlJc w:val="left"/>
      <w:pPr>
        <w:ind w:left="3519" w:hanging="420"/>
      </w:pPr>
    </w:lvl>
    <w:lvl w:ilvl="7" w:tentative="0">
      <w:start w:val="1"/>
      <w:numFmt w:val="lowerLetter"/>
      <w:lvlText w:val="%8)"/>
      <w:lvlJc w:val="left"/>
      <w:pPr>
        <w:ind w:left="3939" w:hanging="420"/>
      </w:pPr>
    </w:lvl>
    <w:lvl w:ilvl="8" w:tentative="0">
      <w:start w:val="1"/>
      <w:numFmt w:val="lowerRoman"/>
      <w:lvlText w:val="%9."/>
      <w:lvlJc w:val="right"/>
      <w:pPr>
        <w:ind w:left="4359" w:hanging="420"/>
      </w:pPr>
    </w:lvl>
  </w:abstractNum>
  <w:abstractNum w:abstractNumId="3">
    <w:nsid w:val="64006DC9"/>
    <w:multiLevelType w:val="singleLevel"/>
    <w:tmpl w:val="64006DC9"/>
    <w:lvl w:ilvl="0" w:tentative="0">
      <w:start w:val="1"/>
      <w:numFmt w:val="chineseCounting"/>
      <w:suff w:val="nothing"/>
      <w:lvlText w:val="（%1）"/>
      <w:lvlJc w:val="left"/>
      <w:rPr>
        <w:rFonts w:hint="eastAsia"/>
      </w:rPr>
    </w:lvl>
  </w:abstractNum>
  <w:abstractNum w:abstractNumId="4">
    <w:nsid w:val="7C360212"/>
    <w:multiLevelType w:val="singleLevel"/>
    <w:tmpl w:val="7C360212"/>
    <w:lvl w:ilvl="0" w:tentative="0">
      <w:start w:val="2"/>
      <w:numFmt w:val="decimal"/>
      <w:lvlText w:val="%1."/>
      <w:lvlJc w:val="left"/>
      <w:pPr>
        <w:tabs>
          <w:tab w:val="left" w:pos="312"/>
        </w:tabs>
      </w:pPr>
    </w:lvl>
  </w:abstractNum>
  <w:num w:numId="1">
    <w:abstractNumId w:val="1"/>
  </w:num>
  <w:num w:numId="2">
    <w:abstractNumId w:val="4"/>
  </w:num>
  <w:num w:numId="3">
    <w:abstractNumId w:val="2"/>
  </w:num>
  <w:num w:numId="4">
    <w:abstractNumId w:val="3"/>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TkzNWI3YjQzYTA5ZjhkZGEyMTA0MjQyMTJmZTE0ZjMifQ=="/>
  </w:docVars>
  <w:rsids>
    <w:rsidRoot w:val="00042933"/>
    <w:rsid w:val="00002F2C"/>
    <w:rsid w:val="000070A8"/>
    <w:rsid w:val="00016CA4"/>
    <w:rsid w:val="000324AE"/>
    <w:rsid w:val="00042933"/>
    <w:rsid w:val="00074438"/>
    <w:rsid w:val="0008033E"/>
    <w:rsid w:val="00083780"/>
    <w:rsid w:val="0008759D"/>
    <w:rsid w:val="00094F2B"/>
    <w:rsid w:val="000B0A83"/>
    <w:rsid w:val="000B6322"/>
    <w:rsid w:val="000C2CC1"/>
    <w:rsid w:val="000E4A5A"/>
    <w:rsid w:val="00103547"/>
    <w:rsid w:val="00136EC7"/>
    <w:rsid w:val="0017068B"/>
    <w:rsid w:val="00185A3C"/>
    <w:rsid w:val="00192D5A"/>
    <w:rsid w:val="001C59B3"/>
    <w:rsid w:val="001D49CC"/>
    <w:rsid w:val="001E0886"/>
    <w:rsid w:val="001F7E31"/>
    <w:rsid w:val="002071BC"/>
    <w:rsid w:val="00225AE6"/>
    <w:rsid w:val="002270EB"/>
    <w:rsid w:val="00235F0F"/>
    <w:rsid w:val="00255783"/>
    <w:rsid w:val="00290BA1"/>
    <w:rsid w:val="002A6AEA"/>
    <w:rsid w:val="002F07DF"/>
    <w:rsid w:val="002F2268"/>
    <w:rsid w:val="003C50C2"/>
    <w:rsid w:val="0041099F"/>
    <w:rsid w:val="00436A1D"/>
    <w:rsid w:val="004379D7"/>
    <w:rsid w:val="004A68B1"/>
    <w:rsid w:val="004B64F3"/>
    <w:rsid w:val="004E3B64"/>
    <w:rsid w:val="005020C5"/>
    <w:rsid w:val="00567FE6"/>
    <w:rsid w:val="0058162A"/>
    <w:rsid w:val="005B2327"/>
    <w:rsid w:val="005B3616"/>
    <w:rsid w:val="005E12FA"/>
    <w:rsid w:val="006279F4"/>
    <w:rsid w:val="00683167"/>
    <w:rsid w:val="006A1CCC"/>
    <w:rsid w:val="006A5056"/>
    <w:rsid w:val="006E64C9"/>
    <w:rsid w:val="007048FF"/>
    <w:rsid w:val="00712100"/>
    <w:rsid w:val="0071700D"/>
    <w:rsid w:val="00742652"/>
    <w:rsid w:val="00752E24"/>
    <w:rsid w:val="00756EFC"/>
    <w:rsid w:val="00772600"/>
    <w:rsid w:val="007D5D41"/>
    <w:rsid w:val="007F01F9"/>
    <w:rsid w:val="00856BA1"/>
    <w:rsid w:val="00867620"/>
    <w:rsid w:val="008709E0"/>
    <w:rsid w:val="008A6A10"/>
    <w:rsid w:val="008A6A31"/>
    <w:rsid w:val="008C54C8"/>
    <w:rsid w:val="00904AF4"/>
    <w:rsid w:val="00905542"/>
    <w:rsid w:val="00917700"/>
    <w:rsid w:val="00921750"/>
    <w:rsid w:val="00956F74"/>
    <w:rsid w:val="009841E5"/>
    <w:rsid w:val="009B0B5F"/>
    <w:rsid w:val="009C04DA"/>
    <w:rsid w:val="009C4C62"/>
    <w:rsid w:val="009E3627"/>
    <w:rsid w:val="009F53E7"/>
    <w:rsid w:val="00A11BF8"/>
    <w:rsid w:val="00A14A33"/>
    <w:rsid w:val="00A6449D"/>
    <w:rsid w:val="00A768DB"/>
    <w:rsid w:val="00AA09C8"/>
    <w:rsid w:val="00AD5F30"/>
    <w:rsid w:val="00B0681D"/>
    <w:rsid w:val="00B56C08"/>
    <w:rsid w:val="00B9023F"/>
    <w:rsid w:val="00BC1FDC"/>
    <w:rsid w:val="00BD0FD8"/>
    <w:rsid w:val="00C44804"/>
    <w:rsid w:val="00C6362A"/>
    <w:rsid w:val="00C81363"/>
    <w:rsid w:val="00CB27A5"/>
    <w:rsid w:val="00CD55ED"/>
    <w:rsid w:val="00CD63C0"/>
    <w:rsid w:val="00CE62A0"/>
    <w:rsid w:val="00D21F0C"/>
    <w:rsid w:val="00D366C1"/>
    <w:rsid w:val="00D36CB5"/>
    <w:rsid w:val="00D877F7"/>
    <w:rsid w:val="00DB2D43"/>
    <w:rsid w:val="00E266F1"/>
    <w:rsid w:val="00E924C0"/>
    <w:rsid w:val="00EB16A8"/>
    <w:rsid w:val="00EC7904"/>
    <w:rsid w:val="00F72E93"/>
    <w:rsid w:val="00F87A11"/>
    <w:rsid w:val="00FB2D24"/>
    <w:rsid w:val="00FB7E01"/>
    <w:rsid w:val="00FE5F4C"/>
    <w:rsid w:val="00FF39F6"/>
    <w:rsid w:val="0140783E"/>
    <w:rsid w:val="03AD7315"/>
    <w:rsid w:val="05374814"/>
    <w:rsid w:val="05807413"/>
    <w:rsid w:val="05F7203A"/>
    <w:rsid w:val="09B86D0E"/>
    <w:rsid w:val="0C8F0285"/>
    <w:rsid w:val="0F445528"/>
    <w:rsid w:val="0F8F6BFC"/>
    <w:rsid w:val="0FCA0720"/>
    <w:rsid w:val="107166F3"/>
    <w:rsid w:val="133639B0"/>
    <w:rsid w:val="1C841DE7"/>
    <w:rsid w:val="24660479"/>
    <w:rsid w:val="25190B82"/>
    <w:rsid w:val="2627614B"/>
    <w:rsid w:val="26551480"/>
    <w:rsid w:val="27673E35"/>
    <w:rsid w:val="28D177B8"/>
    <w:rsid w:val="2A6D10D8"/>
    <w:rsid w:val="2CB54349"/>
    <w:rsid w:val="34BE7C45"/>
    <w:rsid w:val="363463F7"/>
    <w:rsid w:val="3791647A"/>
    <w:rsid w:val="3A5E45B0"/>
    <w:rsid w:val="3D331E88"/>
    <w:rsid w:val="3EA12DD5"/>
    <w:rsid w:val="455969D8"/>
    <w:rsid w:val="476D42F6"/>
    <w:rsid w:val="48725571"/>
    <w:rsid w:val="4BDB04ED"/>
    <w:rsid w:val="526A3656"/>
    <w:rsid w:val="53CD5365"/>
    <w:rsid w:val="5A8B5169"/>
    <w:rsid w:val="5D643D56"/>
    <w:rsid w:val="64283056"/>
    <w:rsid w:val="642D1647"/>
    <w:rsid w:val="65F94543"/>
    <w:rsid w:val="669A6593"/>
    <w:rsid w:val="69BD0A47"/>
    <w:rsid w:val="6D721B76"/>
    <w:rsid w:val="715B5854"/>
    <w:rsid w:val="71A911C9"/>
    <w:rsid w:val="755C3876"/>
    <w:rsid w:val="7793669D"/>
    <w:rsid w:val="7AA64844"/>
    <w:rsid w:val="7BA27C07"/>
    <w:rsid w:val="7CCC213E"/>
    <w:rsid w:val="7F2257ED"/>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 w:type="paragraph" w:styleId="17">
    <w:name w:val="List Paragraph"/>
    <w:basedOn w:val="1"/>
    <w:unhideWhenUsed/>
    <w:qFormat/>
    <w:uiPriority w:val="99"/>
    <w:pPr>
      <w:ind w:firstLine="420" w:firstLineChars="200"/>
    </w:pPr>
  </w:style>
  <w:style w:type="paragraph" w:customStyle="1" w:styleId="18">
    <w:name w:val="[Normal]"/>
    <w:qFormat/>
    <w:uiPriority w:val="6"/>
    <w:rPr>
      <w:rFonts w:ascii="宋体" w:hAnsi="宋体" w:eastAsia="宋体" w:cs="Times New Roman"/>
      <w:color w:val="auto"/>
      <w:position w:val="0"/>
      <w:sz w:val="24"/>
      <w:u w:val="none"/>
      <w:shd w:val="clear" w:color="auto" w:fill="auto"/>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14</Pages>
  <Words>7859</Words>
  <Characters>8261</Characters>
  <Lines>40</Lines>
  <Paragraphs>11</Paragraphs>
  <TotalTime>7</TotalTime>
  <ScaleCrop>false</ScaleCrop>
  <LinksUpToDate>false</LinksUpToDate>
  <CharactersWithSpaces>8347</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NoGroup</cp:lastModifiedBy>
  <cp:lastPrinted>2022-03-17T03:02:00Z</cp:lastPrinted>
  <dcterms:modified xsi:type="dcterms:W3CDTF">2025-04-09T02:19:27Z</dcterms:modified>
  <cp:revision>79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975B3B1E33E24BE9BF85D44AD7C1FCF8</vt:lpwstr>
  </property>
  <property fmtid="{D5CDD505-2E9C-101B-9397-08002B2CF9AE}" pid="4" name="KSOTemplateDocerSaveRecord">
    <vt:lpwstr>eyJoZGlkIjoiM2UwNjUwOTNiNjg3MzUwNjlhMjY4ODNhYWUwY2M1NDYiLCJ1c2VySWQiOiI0MTg4NDU2MjIifQ==</vt:lpwstr>
  </property>
</Properties>
</file>