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C76B26">
      <w:pPr>
        <w:widowControl/>
        <w:spacing w:line="400" w:lineRule="exact"/>
        <w:jc w:val="left"/>
        <w:rPr>
          <w:rFonts w:ascii="仿宋" w:hAnsi="仿宋" w:eastAsia="仿宋" w:cs="仿宋"/>
          <w:kern w:val="0"/>
          <w:sz w:val="44"/>
          <w:szCs w:val="44"/>
          <w:shd w:val="clear" w:color="auto" w:fill="FFFFFF"/>
        </w:rPr>
      </w:pPr>
      <w:bookmarkStart w:id="0" w:name="_GoBack"/>
      <w:bookmarkEnd w:id="0"/>
    </w:p>
    <w:p w14:paraId="2CD12A22">
      <w:pPr>
        <w:spacing w:line="480" w:lineRule="exact"/>
        <w:jc w:val="center"/>
        <w:rPr>
          <w:rFonts w:ascii="仿宋_GB2312" w:hAnsi="仿宋" w:eastAsia="仿宋_GB2312" w:cs="仿宋"/>
          <w:b/>
          <w:bCs/>
          <w:kern w:val="0"/>
          <w:sz w:val="44"/>
          <w:szCs w:val="44"/>
          <w:shd w:val="clear" w:color="auto" w:fill="FFFFFF"/>
        </w:rPr>
      </w:pPr>
      <w:r>
        <w:rPr>
          <w:rFonts w:hint="eastAsia" w:ascii="仿宋_GB2312" w:hAnsi="仿宋" w:eastAsia="仿宋_GB2312" w:cs="仿宋"/>
          <w:b/>
          <w:bCs/>
          <w:kern w:val="0"/>
          <w:sz w:val="44"/>
          <w:szCs w:val="44"/>
          <w:shd w:val="clear" w:color="auto" w:fill="FFFFFF"/>
        </w:rPr>
        <w:t>隆尧县</w:t>
      </w:r>
      <w:r>
        <w:rPr>
          <w:rFonts w:hint="eastAsia" w:ascii="仿宋_GB2312" w:hAnsi="仿宋" w:eastAsia="仿宋_GB2312" w:cs="仿宋"/>
          <w:b/>
          <w:bCs/>
          <w:kern w:val="0"/>
          <w:sz w:val="44"/>
          <w:szCs w:val="44"/>
          <w:shd w:val="clear" w:color="auto" w:fill="FFFFFF"/>
          <w:lang w:eastAsia="zh-CN"/>
        </w:rPr>
        <w:t>牛家桥乡</w:t>
      </w:r>
      <w:r>
        <w:rPr>
          <w:rFonts w:hint="eastAsia" w:ascii="仿宋_GB2312" w:hAnsi="仿宋" w:eastAsia="仿宋_GB2312" w:cs="仿宋"/>
          <w:b/>
          <w:bCs/>
          <w:kern w:val="0"/>
          <w:sz w:val="44"/>
          <w:szCs w:val="44"/>
          <w:shd w:val="clear" w:color="auto" w:fill="FFFFFF"/>
        </w:rPr>
        <w:t>人民政府</w:t>
      </w:r>
    </w:p>
    <w:p w14:paraId="079F24EC">
      <w:pPr>
        <w:spacing w:line="480" w:lineRule="exact"/>
        <w:jc w:val="center"/>
        <w:rPr>
          <w:rFonts w:ascii="仿宋_GB2312" w:hAnsi="仿宋" w:eastAsia="仿宋_GB2312" w:cs="仿宋"/>
          <w:b/>
          <w:sz w:val="44"/>
          <w:szCs w:val="44"/>
        </w:rPr>
      </w:pPr>
      <w:r>
        <w:rPr>
          <w:rFonts w:hint="eastAsia" w:ascii="仿宋_GB2312" w:hAnsi="仿宋" w:eastAsia="仿宋_GB2312" w:cs="仿宋"/>
          <w:b/>
          <w:sz w:val="44"/>
          <w:szCs w:val="44"/>
        </w:rPr>
        <w:t>部门整体支出绩效评价</w:t>
      </w:r>
      <w:r>
        <w:rPr>
          <w:rFonts w:hint="eastAsia" w:ascii="仿宋_GB2312" w:hAnsi="仿宋" w:eastAsia="仿宋_GB2312" w:cs="仿宋"/>
          <w:b/>
          <w:color w:val="000000"/>
          <w:kern w:val="0"/>
          <w:sz w:val="44"/>
          <w:szCs w:val="44"/>
          <w:shd w:val="clear" w:color="auto" w:fill="FFFFFF"/>
        </w:rPr>
        <w:t>报告</w:t>
      </w:r>
    </w:p>
    <w:p w14:paraId="3625A86C">
      <w:pPr>
        <w:spacing w:line="240" w:lineRule="exact"/>
        <w:rPr>
          <w:rFonts w:ascii="仿宋" w:hAnsi="仿宋" w:eastAsia="仿宋" w:cs="仿宋"/>
          <w:sz w:val="32"/>
          <w:szCs w:val="32"/>
        </w:rPr>
      </w:pPr>
    </w:p>
    <w:p w14:paraId="53111BCD">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根据县财政局的要求，我单位对2020年部门整体支出进行了认真的自评，现将自评情况报告如下：</w:t>
      </w:r>
    </w:p>
    <w:p w14:paraId="74E5AAB2">
      <w:pPr>
        <w:spacing w:line="620" w:lineRule="exact"/>
        <w:rPr>
          <w:rFonts w:ascii="仿宋" w:hAnsi="仿宋" w:eastAsia="仿宋" w:cs="仿宋"/>
          <w:b/>
          <w:bCs/>
          <w:sz w:val="32"/>
          <w:szCs w:val="32"/>
        </w:rPr>
      </w:pPr>
      <w:r>
        <w:rPr>
          <w:rFonts w:hint="eastAsia" w:ascii="仿宋" w:hAnsi="仿宋" w:eastAsia="仿宋" w:cs="仿宋"/>
          <w:b/>
          <w:bCs/>
          <w:sz w:val="32"/>
          <w:szCs w:val="32"/>
        </w:rPr>
        <w:t>一、绩效自评得分情况及绩效等级</w:t>
      </w:r>
    </w:p>
    <w:p w14:paraId="4B8CF9F5">
      <w:pPr>
        <w:spacing w:line="620" w:lineRule="exact"/>
        <w:ind w:firstLine="640" w:firstLineChars="200"/>
      </w:pPr>
      <w:r>
        <w:rPr>
          <w:rFonts w:hint="eastAsia" w:ascii="仿宋" w:hAnsi="仿宋" w:eastAsia="仿宋" w:cs="仿宋"/>
          <w:sz w:val="32"/>
          <w:szCs w:val="32"/>
        </w:rPr>
        <w:t>综合自评分95分，绩效等级为合格。</w:t>
      </w:r>
    </w:p>
    <w:p w14:paraId="3BCFD5E5">
      <w:pPr>
        <w:rPr>
          <w:rFonts w:ascii="仿宋" w:hAnsi="仿宋" w:eastAsia="仿宋" w:cs="仿宋"/>
          <w:b/>
          <w:bCs/>
          <w:sz w:val="30"/>
          <w:szCs w:val="30"/>
        </w:rPr>
      </w:pPr>
      <w:r>
        <w:rPr>
          <w:rFonts w:hint="eastAsia" w:ascii="仿宋" w:hAnsi="仿宋" w:eastAsia="仿宋" w:cs="仿宋"/>
          <w:b/>
          <w:bCs/>
          <w:sz w:val="30"/>
          <w:szCs w:val="30"/>
        </w:rPr>
        <w:t>二、部门基本情况：</w:t>
      </w:r>
    </w:p>
    <w:p w14:paraId="3C9C6247">
      <w:pPr>
        <w:pStyle w:val="7"/>
        <w:spacing w:line="360" w:lineRule="auto"/>
        <w:ind w:firstLine="472"/>
        <w:rPr>
          <w:rFonts w:ascii="仿宋_GB2312" w:hAnsi="仿宋"/>
          <w:color w:val="000000"/>
        </w:rPr>
      </w:pPr>
      <w:r>
        <w:rPr>
          <w:rFonts w:hint="eastAsia" w:ascii="仿宋_GB2312" w:hAnsi="仿宋"/>
          <w:color w:val="000000"/>
        </w:rPr>
        <w:t>1．主要职能。</w:t>
      </w:r>
    </w:p>
    <w:p w14:paraId="24A94355">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_GB2312" w:eastAsia="仿宋_GB2312" w:cs="宋体"/>
          <w:color w:val="000000"/>
          <w:sz w:val="32"/>
          <w:szCs w:val="32"/>
          <w:lang w:eastAsia="zh-CN"/>
        </w:rPr>
      </w:pPr>
      <w:r>
        <w:rPr>
          <w:rFonts w:hint="eastAsia" w:ascii="仿宋_GB2312" w:eastAsia="仿宋_GB2312" w:cs="宋体"/>
          <w:color w:val="000000"/>
          <w:sz w:val="32"/>
          <w:szCs w:val="32"/>
          <w:lang w:eastAsia="zh-CN"/>
        </w:rP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1FDB338A">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_GB2312" w:eastAsia="仿宋_GB2312" w:cs="宋体"/>
          <w:color w:val="000000"/>
          <w:sz w:val="32"/>
          <w:szCs w:val="32"/>
          <w:lang w:eastAsia="zh-CN"/>
        </w:rPr>
      </w:pPr>
      <w:r>
        <w:rPr>
          <w:rFonts w:hint="eastAsia" w:ascii="仿宋_GB2312" w:eastAsia="仿宋_GB2312" w:cs="宋体"/>
          <w:color w:val="000000"/>
          <w:sz w:val="32"/>
          <w:szCs w:val="32"/>
          <w:lang w:eastAsia="zh-CN"/>
        </w:rPr>
        <w:t>二、讨论和决定本乡经济建设、整治建设、文化建设、社会建设、生态文明建设和党的建设以及村振兴中的重大问题。</w:t>
      </w:r>
    </w:p>
    <w:p w14:paraId="68895F9D">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_GB2312" w:eastAsia="仿宋_GB2312" w:cs="宋体"/>
          <w:color w:val="000000"/>
          <w:sz w:val="32"/>
          <w:szCs w:val="32"/>
          <w:lang w:eastAsia="zh-CN"/>
        </w:rPr>
      </w:pPr>
      <w:r>
        <w:rPr>
          <w:rFonts w:hint="eastAsia" w:ascii="仿宋_GB2312" w:eastAsia="仿宋_GB2312" w:cs="宋体"/>
          <w:color w:val="000000"/>
          <w:sz w:val="32"/>
          <w:szCs w:val="32"/>
          <w:lang w:eastAsia="zh-CN"/>
        </w:rPr>
        <w:t>三、组织召开本级人民代表大会，充分行使重大事项决定权、监督权和任免权，做好人大代表工作，联系选民、反映群众意见和要求。</w:t>
      </w:r>
    </w:p>
    <w:p w14:paraId="05197A59">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_GB2312" w:eastAsia="仿宋_GB2312" w:cs="宋体"/>
          <w:color w:val="000000"/>
          <w:sz w:val="32"/>
          <w:szCs w:val="32"/>
          <w:lang w:eastAsia="zh-CN"/>
        </w:rPr>
      </w:pPr>
      <w:r>
        <w:rPr>
          <w:rFonts w:hint="eastAsia" w:ascii="仿宋_GB2312" w:eastAsia="仿宋_GB2312" w:cs="宋体"/>
          <w:color w:val="000000"/>
          <w:sz w:val="32"/>
          <w:szCs w:val="32"/>
          <w:lang w:eastAsia="zh-CN"/>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6F5F75EF">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_GB2312" w:eastAsia="仿宋_GB2312" w:cs="宋体"/>
          <w:color w:val="000000"/>
          <w:sz w:val="30"/>
          <w:szCs w:val="30"/>
          <w:lang w:eastAsia="zh-CN"/>
        </w:rPr>
      </w:pPr>
      <w:r>
        <w:rPr>
          <w:rFonts w:hint="eastAsia" w:ascii="仿宋_GB2312" w:eastAsia="仿宋_GB2312" w:cs="宋体"/>
          <w:color w:val="000000"/>
          <w:sz w:val="32"/>
          <w:szCs w:val="32"/>
          <w:lang w:eastAsia="zh-CN"/>
        </w:rPr>
        <w:t>五、乡党委领导本乡政权机关、群团组织和其他各类组织，加强指导和规范，支持和保证这些机关和组织依照国家法律法规以</w:t>
      </w:r>
      <w:r>
        <w:rPr>
          <w:rFonts w:hint="eastAsia" w:ascii="仿宋_GB2312" w:eastAsia="仿宋_GB2312" w:cs="宋体"/>
          <w:color w:val="000000"/>
          <w:sz w:val="30"/>
          <w:szCs w:val="30"/>
          <w:lang w:eastAsia="zh-CN"/>
        </w:rPr>
        <w:t>及各自章程履行职责。坚持党管武装的根本原则和制度，协调各方力量，对本乡人民武装工作实行统一领导。</w:t>
      </w:r>
    </w:p>
    <w:p w14:paraId="54C3663E">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rPr>
          <w:rFonts w:ascii="仿宋_GB2312" w:eastAsia="仿宋_GB2312" w:cs="宋体"/>
          <w:color w:val="000000"/>
          <w:sz w:val="30"/>
          <w:szCs w:val="30"/>
          <w:lang w:eastAsia="zh-CN"/>
        </w:rPr>
      </w:pPr>
      <w:r>
        <w:rPr>
          <w:rFonts w:hint="eastAsia" w:ascii="仿宋_GB2312" w:eastAsia="仿宋_GB2312" w:cs="宋体"/>
          <w:color w:val="000000"/>
          <w:sz w:val="30"/>
          <w:szCs w:val="30"/>
          <w:lang w:eastAsia="zh-CN"/>
        </w:rPr>
        <w:t>六、加强乡党委自身建设和村党组织建设，以及其他隶属本乡党委的党组织建设，抓好发展党员工作，加强党员队伍建设。维护和执行党的纪律，监督党员干部和其他任何工作严格遵守国家法律法规。</w:t>
      </w:r>
    </w:p>
    <w:p w14:paraId="752884C1">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rPr>
          <w:rFonts w:ascii="仿宋_GB2312" w:eastAsia="仿宋_GB2312" w:cs="宋体"/>
          <w:color w:val="000000"/>
          <w:sz w:val="30"/>
          <w:szCs w:val="30"/>
          <w:lang w:eastAsia="zh-CN"/>
        </w:rPr>
      </w:pPr>
      <w:r>
        <w:rPr>
          <w:rFonts w:hint="eastAsia" w:ascii="仿宋_GB2312" w:eastAsia="仿宋_GB2312" w:cs="宋体"/>
          <w:color w:val="000000"/>
          <w:sz w:val="30"/>
          <w:szCs w:val="30"/>
          <w:lang w:eastAsia="zh-CN"/>
        </w:rPr>
        <w:t>七、按照干部管理权限，负责对干部的教育、培训、选拔、考核和监督工作。协助管理上级有关部门驻本乡单位的干部。做好人才服务工作。</w:t>
      </w:r>
    </w:p>
    <w:p w14:paraId="057274B7">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rPr>
          <w:rFonts w:ascii="仿宋_GB2312" w:eastAsia="仿宋_GB2312" w:cs="宋体"/>
          <w:color w:val="000000"/>
          <w:sz w:val="30"/>
          <w:szCs w:val="30"/>
          <w:lang w:eastAsia="zh-CN"/>
        </w:rPr>
      </w:pPr>
      <w:r>
        <w:rPr>
          <w:rFonts w:hint="eastAsia" w:ascii="仿宋_GB2312" w:eastAsia="仿宋_GB2312" w:cs="宋体"/>
          <w:color w:val="000000"/>
          <w:sz w:val="30"/>
          <w:szCs w:val="30"/>
          <w:lang w:eastAsia="zh-CN"/>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5667311">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rPr>
          <w:rFonts w:ascii="仿宋_GB2312" w:eastAsia="仿宋_GB2312" w:cs="宋体"/>
          <w:color w:val="000000"/>
          <w:sz w:val="30"/>
          <w:szCs w:val="30"/>
          <w:lang w:eastAsia="zh-CN"/>
        </w:rPr>
      </w:pPr>
      <w:r>
        <w:rPr>
          <w:rFonts w:hint="eastAsia" w:ascii="仿宋_GB2312" w:eastAsia="仿宋_GB2312" w:cs="宋体"/>
          <w:color w:val="000000"/>
          <w:sz w:val="30"/>
          <w:szCs w:val="30"/>
          <w:lang w:eastAsia="zh-CN"/>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088149E4">
      <w:pPr>
        <w:pStyle w:val="21"/>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rPr>
          <w:rFonts w:ascii="仿宋_GB2312" w:eastAsia="仿宋_GB2312" w:cs="宋体"/>
          <w:color w:val="000000"/>
          <w:sz w:val="30"/>
          <w:szCs w:val="30"/>
          <w:lang w:eastAsia="zh-CN"/>
        </w:rPr>
      </w:pPr>
      <w:r>
        <w:rPr>
          <w:rFonts w:hint="eastAsia" w:ascii="仿宋_GB2312" w:eastAsia="仿宋_GB2312" w:cs="宋体"/>
          <w:color w:val="000000"/>
          <w:sz w:val="30"/>
          <w:szCs w:val="30"/>
          <w:lang w:eastAsia="zh-CN"/>
        </w:rPr>
        <w:t>十、承办上级党委、人大、政府交办的其他事项。</w:t>
      </w:r>
    </w:p>
    <w:p w14:paraId="023B0093">
      <w:pPr>
        <w:pStyle w:val="7"/>
        <w:spacing w:line="360" w:lineRule="auto"/>
        <w:ind w:firstLine="472"/>
        <w:rPr>
          <w:rFonts w:ascii="仿宋_GB2312" w:hAnsi="仿宋"/>
          <w:color w:val="000000"/>
          <w:sz w:val="30"/>
          <w:szCs w:val="30"/>
        </w:rPr>
      </w:pPr>
      <w:r>
        <w:rPr>
          <w:rFonts w:hint="eastAsia" w:ascii="仿宋_GB2312" w:hAnsi="仿宋"/>
          <w:color w:val="000000"/>
          <w:sz w:val="30"/>
          <w:szCs w:val="30"/>
        </w:rPr>
        <w:t>2．机构情况，包括当年变动情况及原因。</w:t>
      </w:r>
    </w:p>
    <w:p w14:paraId="22326CE3">
      <w:pPr>
        <w:spacing w:line="360" w:lineRule="auto"/>
        <w:ind w:firstLine="640"/>
        <w:rPr>
          <w:rFonts w:ascii="仿宋_GB2312" w:hAnsi="仿宋" w:eastAsia="仿宋_GB2312" w:cs="宋体"/>
          <w:kern w:val="0"/>
          <w:sz w:val="30"/>
          <w:szCs w:val="30"/>
        </w:rPr>
      </w:pPr>
      <w:r>
        <w:rPr>
          <w:rFonts w:hint="eastAsia" w:ascii="仿宋_GB2312" w:hAnsi="仿宋" w:eastAsia="仿宋_GB2312"/>
          <w:kern w:val="0"/>
          <w:sz w:val="30"/>
          <w:szCs w:val="30"/>
        </w:rPr>
        <w:t>行政机构设置有党政办公室（财经工作办公室）、党建工作办公室（人大主席团办公室）、应急管理办公室、自然资源和生态环境办公室、综合行政执法队；行政综合服务中心（综合文化服务站）、农业综合服务中心、退役军人服务站、综合指挥和信息化网络中心（社会治安综合治理中心）。</w:t>
      </w:r>
    </w:p>
    <w:p w14:paraId="6837561D">
      <w:pPr>
        <w:pStyle w:val="7"/>
        <w:spacing w:line="360" w:lineRule="auto"/>
        <w:ind w:firstLine="472"/>
        <w:rPr>
          <w:rFonts w:ascii="仿宋_GB2312" w:hAnsi="仿宋"/>
          <w:color w:val="000000"/>
          <w:sz w:val="30"/>
          <w:szCs w:val="30"/>
        </w:rPr>
      </w:pPr>
      <w:r>
        <w:rPr>
          <w:rFonts w:hint="eastAsia" w:ascii="仿宋_GB2312" w:hAnsi="仿宋"/>
          <w:color w:val="000000"/>
          <w:sz w:val="30"/>
          <w:szCs w:val="30"/>
        </w:rPr>
        <w:t>3．人员情况，包括当年变动情况及原因。</w:t>
      </w:r>
    </w:p>
    <w:p w14:paraId="4CF91E7A">
      <w:pPr>
        <w:spacing w:line="620" w:lineRule="exact"/>
        <w:ind w:firstLine="592" w:firstLineChars="200"/>
        <w:rPr>
          <w:rFonts w:ascii="仿宋_GB2312" w:hAnsi="仿宋" w:eastAsia="仿宋_GB2312"/>
          <w:color w:val="000000"/>
          <w:spacing w:val="-2"/>
          <w:sz w:val="30"/>
          <w:szCs w:val="30"/>
        </w:rPr>
      </w:pPr>
      <w:r>
        <w:rPr>
          <w:rFonts w:hint="eastAsia" w:ascii="仿宋_GB2312" w:hAnsi="仿宋" w:eastAsia="仿宋_GB2312"/>
          <w:color w:val="000000"/>
          <w:spacing w:val="-2"/>
          <w:sz w:val="30"/>
          <w:szCs w:val="30"/>
        </w:rPr>
        <w:t>2020年度实有人员</w:t>
      </w:r>
      <w:r>
        <w:rPr>
          <w:rFonts w:hint="eastAsia" w:ascii="仿宋_GB2312" w:hAnsi="仿宋" w:eastAsia="仿宋_GB2312"/>
          <w:color w:val="000000"/>
          <w:spacing w:val="-2"/>
          <w:sz w:val="30"/>
          <w:szCs w:val="30"/>
          <w:lang w:val="en-US" w:eastAsia="zh-CN"/>
        </w:rPr>
        <w:t>50</w:t>
      </w:r>
      <w:r>
        <w:rPr>
          <w:rFonts w:hint="eastAsia" w:ascii="仿宋_GB2312" w:hAnsi="仿宋" w:eastAsia="仿宋_GB2312"/>
          <w:color w:val="000000"/>
          <w:spacing w:val="-2"/>
          <w:sz w:val="30"/>
          <w:szCs w:val="30"/>
        </w:rPr>
        <w:t>人，较去年</w:t>
      </w:r>
      <w:r>
        <w:rPr>
          <w:rFonts w:hint="eastAsia" w:ascii="仿宋_GB2312" w:hAnsi="仿宋" w:eastAsia="仿宋_GB2312"/>
          <w:color w:val="000000"/>
          <w:spacing w:val="-2"/>
          <w:sz w:val="30"/>
          <w:szCs w:val="30"/>
          <w:lang w:eastAsia="zh-CN"/>
        </w:rPr>
        <w:t>减少</w:t>
      </w:r>
      <w:r>
        <w:rPr>
          <w:rFonts w:hint="eastAsia" w:ascii="仿宋_GB2312" w:hAnsi="仿宋" w:eastAsia="仿宋_GB2312"/>
          <w:color w:val="000000"/>
          <w:spacing w:val="-2"/>
          <w:sz w:val="30"/>
          <w:szCs w:val="30"/>
          <w:lang w:val="en-US" w:eastAsia="zh-CN"/>
        </w:rPr>
        <w:t>2人</w:t>
      </w:r>
      <w:r>
        <w:rPr>
          <w:rFonts w:hint="eastAsia" w:ascii="仿宋_GB2312" w:hAnsi="仿宋" w:eastAsia="仿宋_GB2312"/>
          <w:color w:val="000000"/>
          <w:spacing w:val="-2"/>
          <w:sz w:val="30"/>
          <w:szCs w:val="30"/>
        </w:rPr>
        <w:t>，</w:t>
      </w:r>
      <w:r>
        <w:rPr>
          <w:rFonts w:hint="eastAsia" w:ascii="仿宋_GB2312" w:hAnsi="仿宋" w:eastAsia="仿宋_GB2312"/>
          <w:color w:val="000000"/>
          <w:spacing w:val="-2"/>
          <w:sz w:val="30"/>
          <w:szCs w:val="30"/>
          <w:lang w:eastAsia="zh-CN"/>
        </w:rPr>
        <w:t>减少</w:t>
      </w:r>
      <w:r>
        <w:rPr>
          <w:rFonts w:hint="eastAsia" w:ascii="仿宋_GB2312" w:hAnsi="仿宋" w:eastAsia="仿宋_GB2312"/>
          <w:color w:val="000000"/>
          <w:spacing w:val="-2"/>
          <w:sz w:val="30"/>
          <w:szCs w:val="30"/>
        </w:rPr>
        <w:t>原因，主要为</w:t>
      </w:r>
      <w:r>
        <w:rPr>
          <w:rFonts w:hint="eastAsia" w:ascii="仿宋_GB2312" w:hAnsi="仿宋" w:eastAsia="仿宋_GB2312"/>
          <w:color w:val="000000"/>
          <w:spacing w:val="-2"/>
          <w:sz w:val="30"/>
          <w:szCs w:val="30"/>
          <w:lang w:eastAsia="zh-CN"/>
        </w:rPr>
        <w:t>新退休人员</w:t>
      </w:r>
      <w:r>
        <w:rPr>
          <w:rFonts w:hint="eastAsia" w:ascii="仿宋_GB2312" w:hAnsi="仿宋" w:eastAsia="仿宋_GB2312"/>
          <w:color w:val="000000"/>
          <w:spacing w:val="-2"/>
          <w:sz w:val="30"/>
          <w:szCs w:val="30"/>
        </w:rPr>
        <w:t>。</w:t>
      </w:r>
    </w:p>
    <w:p w14:paraId="25E5EB74">
      <w:pPr>
        <w:pStyle w:val="7"/>
        <w:spacing w:line="360" w:lineRule="auto"/>
        <w:ind w:firstLine="472"/>
        <w:rPr>
          <w:rFonts w:ascii="仿宋_GB2312" w:hAnsi="仿宋"/>
          <w:color w:val="000000"/>
          <w:sz w:val="30"/>
          <w:szCs w:val="30"/>
        </w:rPr>
      </w:pPr>
      <w:r>
        <w:rPr>
          <w:rFonts w:hint="eastAsia" w:ascii="仿宋_GB2312" w:hAnsi="仿宋"/>
          <w:color w:val="000000"/>
          <w:sz w:val="30"/>
          <w:szCs w:val="30"/>
        </w:rPr>
        <w:t>三、当年取得的主要事业成效。</w:t>
      </w:r>
    </w:p>
    <w:p w14:paraId="18F50D5C">
      <w:pPr>
        <w:pStyle w:val="7"/>
        <w:spacing w:line="360" w:lineRule="auto"/>
        <w:ind w:firstLine="472"/>
        <w:rPr>
          <w:rFonts w:ascii="仿宋_GB2312" w:hAnsi="仿宋"/>
          <w:color w:val="000000"/>
          <w:sz w:val="30"/>
          <w:szCs w:val="30"/>
        </w:rPr>
      </w:pPr>
      <w:r>
        <w:rPr>
          <w:rFonts w:hint="eastAsia" w:ascii="仿宋_GB2312" w:hAnsi="仿宋"/>
          <w:color w:val="000000"/>
          <w:sz w:val="30"/>
          <w:szCs w:val="30"/>
        </w:rPr>
        <w:t>概述部门（单位）工作开展情况及主要事业成效。</w:t>
      </w:r>
    </w:p>
    <w:p w14:paraId="10304736">
      <w:pPr>
        <w:spacing w:line="360" w:lineRule="auto"/>
        <w:ind w:firstLine="560"/>
        <w:rPr>
          <w:rFonts w:ascii="仿宋_GB2312" w:hAnsi="仿宋" w:eastAsia="仿宋_GB2312" w:cs="仿宋"/>
          <w:kern w:val="0"/>
          <w:sz w:val="30"/>
          <w:szCs w:val="30"/>
        </w:rPr>
      </w:pPr>
      <w:r>
        <w:rPr>
          <w:rFonts w:hint="eastAsia" w:ascii="仿宋_GB2312" w:hAnsi="仿宋" w:eastAsia="仿宋_GB2312" w:cs="仿宋"/>
          <w:kern w:val="0"/>
          <w:sz w:val="30"/>
          <w:szCs w:val="30"/>
        </w:rPr>
        <w:t>1、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过头税”、“过头费”、虚增收入等行为，切实提高财政收入质量。</w:t>
      </w:r>
    </w:p>
    <w:p w14:paraId="1AEDD3C7">
      <w:pPr>
        <w:spacing w:line="360" w:lineRule="auto"/>
        <w:ind w:firstLine="560"/>
        <w:rPr>
          <w:rFonts w:ascii="仿宋_GB2312" w:hAnsi="仿宋" w:eastAsia="仿宋_GB2312" w:cs="仿宋"/>
          <w:kern w:val="0"/>
          <w:sz w:val="30"/>
          <w:szCs w:val="30"/>
        </w:rPr>
      </w:pPr>
      <w:r>
        <w:rPr>
          <w:rFonts w:hint="eastAsia" w:ascii="仿宋_GB2312" w:hAnsi="仿宋" w:eastAsia="仿宋_GB2312" w:cs="仿宋"/>
          <w:kern w:val="0"/>
          <w:sz w:val="30"/>
          <w:szCs w:val="30"/>
        </w:rPr>
        <w:t>2、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14:paraId="4C331695">
      <w:pPr>
        <w:spacing w:line="360" w:lineRule="auto"/>
        <w:ind w:firstLine="560"/>
        <w:rPr>
          <w:rFonts w:ascii="仿宋_GB2312" w:hAnsi="仿宋" w:eastAsia="仿宋_GB2312" w:cs="仿宋"/>
          <w:kern w:val="0"/>
          <w:sz w:val="30"/>
          <w:szCs w:val="30"/>
        </w:rPr>
      </w:pPr>
      <w:r>
        <w:rPr>
          <w:rFonts w:hint="eastAsia" w:ascii="仿宋_GB2312" w:hAnsi="仿宋" w:eastAsia="仿宋_GB2312" w:cs="仿宋"/>
          <w:kern w:val="0"/>
          <w:sz w:val="30"/>
          <w:szCs w:val="30"/>
        </w:rPr>
        <w:t>3、继续加大民生投入，提高群众生活水平。一是医疗卫生工程。积极扩大新型农村合作医疗覆盖面、深入推进医疗卫生体制改革，不断提高城</w:t>
      </w:r>
      <w:r>
        <w:rPr>
          <w:rFonts w:hint="eastAsia" w:ascii="仿宋_GB2312" w:hAnsi="仿宋" w:eastAsia="仿宋_GB2312" w:cs="仿宋"/>
          <w:kern w:val="0"/>
          <w:sz w:val="30"/>
          <w:szCs w:val="30"/>
          <w:lang w:eastAsia="zh-CN"/>
        </w:rPr>
        <w:t>乡</w:t>
      </w:r>
      <w:r>
        <w:rPr>
          <w:rFonts w:hint="eastAsia" w:ascii="仿宋_GB2312" w:hAnsi="仿宋" w:eastAsia="仿宋_GB2312" w:cs="仿宋"/>
          <w:kern w:val="0"/>
          <w:sz w:val="30"/>
          <w:szCs w:val="30"/>
        </w:rPr>
        <w:t>群众的就医条件和水平。二是社会保障体系工程。不断扩大养老、医疗、工伤、失业等社会保险覆盖面，积极开展就业援助行动，扎实推进农村养老“幸福工程”，对农村低保、五保继续实行动态管理下的应保尽保。</w:t>
      </w:r>
    </w:p>
    <w:p w14:paraId="55A218ED">
      <w:pPr>
        <w:spacing w:line="360" w:lineRule="auto"/>
        <w:ind w:firstLine="560"/>
        <w:rPr>
          <w:rFonts w:ascii="仿宋_GB2312" w:hAnsi="仿宋" w:eastAsia="仿宋_GB2312" w:cs="仿宋"/>
          <w:kern w:val="0"/>
          <w:sz w:val="30"/>
          <w:szCs w:val="30"/>
        </w:rPr>
      </w:pPr>
      <w:r>
        <w:rPr>
          <w:rFonts w:hint="eastAsia" w:ascii="仿宋_GB2312" w:hAnsi="仿宋" w:eastAsia="仿宋_GB2312" w:cs="仿宋"/>
          <w:kern w:val="0"/>
          <w:sz w:val="30"/>
          <w:szCs w:val="30"/>
        </w:rPr>
        <w:t>4、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rPr>
          <w:rFonts w:hint="eastAsia" w:ascii="仿宋_GB2312" w:hAnsi="仿宋" w:eastAsia="仿宋_GB2312" w:cs="仿宋"/>
          <w:kern w:val="0"/>
          <w:sz w:val="30"/>
          <w:szCs w:val="30"/>
          <w:lang w:eastAsia="zh-CN"/>
        </w:rPr>
        <w:t>“三公”经费</w:t>
      </w:r>
      <w:r>
        <w:rPr>
          <w:rFonts w:hint="eastAsia" w:ascii="仿宋_GB2312" w:hAnsi="仿宋" w:eastAsia="仿宋_GB2312" w:cs="仿宋"/>
          <w:kern w:val="0"/>
          <w:sz w:val="30"/>
          <w:szCs w:val="30"/>
        </w:rPr>
        <w:t>支出实行零增长。深化会议经费管理改革，强化部门支出责任，继续实行预算执行进度通报制度，加强支出审核，健全结余结转资金管理机制，提高预算执行的均衡性、有效性。</w:t>
      </w:r>
    </w:p>
    <w:p w14:paraId="7781D97E">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pPr>
      <w:r>
        <w:rPr>
          <w:rFonts w:hint="eastAsia" w:ascii="仿宋_GB2312" w:hAnsi="宋体" w:eastAsia="仿宋_GB2312" w:cs="宋体"/>
          <w:color w:val="000000"/>
          <w:kern w:val="0"/>
          <w:sz w:val="30"/>
          <w:szCs w:val="30"/>
        </w:rPr>
        <w:t>5、加强作风建设，为事业发展提供坚强保障。深入学习</w:t>
      </w:r>
      <w:r>
        <w:rPr>
          <w:rFonts w:hint="eastAsia" w:ascii="仿宋_GB2312" w:hAnsi="宋体" w:eastAsia="仿宋_GB2312" w:cs="宋体"/>
          <w:kern w:val="0"/>
          <w:sz w:val="30"/>
          <w:szCs w:val="30"/>
        </w:rPr>
        <w:t>党的十九大和十九届二中、三中、四中、五中全会精神，认真落实党中央、国务院和省市决策部署，坚持稳重求近工作总基调，坚持新发展理念，坚持“求真务实、敢于担当、艰苦奋斗”的原则，严格落实中央关于改进工作作风，进一步加强党风廉政建设，认真落实党风廉政建设责任制，严格履行“一岗双责”，进一步优化服务环境。</w:t>
      </w:r>
    </w:p>
    <w:p w14:paraId="3D03261E">
      <w:pPr>
        <w:pStyle w:val="7"/>
        <w:spacing w:line="360" w:lineRule="auto"/>
        <w:ind w:firstLine="472"/>
        <w:rPr>
          <w:rFonts w:hint="eastAsia" w:ascii="仿宋" w:hAnsi="仿宋" w:eastAsia="仿宋" w:cs="仿宋"/>
          <w:sz w:val="30"/>
          <w:szCs w:val="30"/>
        </w:rPr>
      </w:pPr>
      <w:r>
        <w:rPr>
          <w:rFonts w:hint="eastAsia" w:ascii="仿宋" w:hAnsi="仿宋" w:eastAsia="仿宋" w:cs="仿宋"/>
          <w:sz w:val="30"/>
          <w:szCs w:val="30"/>
        </w:rPr>
        <w:t>四、支出情况。</w:t>
      </w:r>
    </w:p>
    <w:p w14:paraId="650F9F0E">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0" w:firstLineChars="200"/>
        <w:jc w:val="left"/>
        <w:rPr>
          <w:rFonts w:hint="eastAsia" w:ascii="仿宋_GB2312" w:hAnsi="宋体" w:eastAsia="仿宋_GB2312" w:cs="宋体"/>
          <w:kern w:val="0"/>
          <w:sz w:val="30"/>
          <w:szCs w:val="30"/>
          <w:lang w:eastAsia="zh-CN"/>
        </w:rPr>
      </w:pPr>
      <w:r>
        <w:rPr>
          <w:rFonts w:hint="eastAsia" w:ascii="仿宋_GB2312" w:hAnsi="宋体" w:eastAsia="仿宋_GB2312" w:cs="宋体"/>
          <w:kern w:val="0"/>
          <w:sz w:val="30"/>
          <w:szCs w:val="30"/>
        </w:rPr>
        <w:t>2020年全乡财政预算总支出完成975.81万元</w:t>
      </w:r>
      <w:r>
        <w:rPr>
          <w:rFonts w:hint="eastAsia" w:ascii="仿宋_GB2312" w:hAnsi="宋体" w:eastAsia="仿宋_GB2312" w:cs="宋体"/>
          <w:kern w:val="0"/>
          <w:sz w:val="30"/>
          <w:szCs w:val="30"/>
          <w:lang w:eastAsia="zh-CN"/>
        </w:rPr>
        <w:t>，</w:t>
      </w:r>
      <w:r>
        <w:rPr>
          <w:rFonts w:hint="eastAsia" w:ascii="仿宋_GB2312" w:hAnsi="宋体" w:eastAsia="仿宋_GB2312" w:cs="宋体"/>
          <w:kern w:val="0"/>
          <w:sz w:val="30"/>
          <w:szCs w:val="30"/>
        </w:rPr>
        <w:t>一般公共服务支出394.53万元，占全年预算的,40.48%；文化旅游体育与传媒支出2.4万元，占全年预算的0.03%；社会保障和就业支出61.71万元，占全年预算的6.33%；卫生健康支出33.57万元，占全年预算的3.46%节能环保支出61.83万元，占全年预算的6.36%城乡社区事务支出130.16万元，占全年预算的13.4%农林水事务支出265.15万元，占全年预算的27.2%；住房保障支出26.46万元，占全年预算的2.74%</w:t>
      </w:r>
      <w:r>
        <w:rPr>
          <w:rFonts w:hint="eastAsia" w:ascii="仿宋_GB2312" w:hAnsi="宋体" w:eastAsia="仿宋_GB2312" w:cs="宋体"/>
          <w:kern w:val="0"/>
          <w:sz w:val="30"/>
          <w:szCs w:val="30"/>
          <w:lang w:eastAsia="zh-CN"/>
        </w:rPr>
        <w:t>。</w:t>
      </w:r>
    </w:p>
    <w:p w14:paraId="576364B5">
      <w:pPr>
        <w:spacing w:line="620" w:lineRule="exact"/>
        <w:rPr>
          <w:rFonts w:ascii="仿宋" w:hAnsi="仿宋" w:eastAsia="仿宋" w:cs="仿宋"/>
          <w:b/>
          <w:bCs/>
          <w:sz w:val="32"/>
          <w:szCs w:val="32"/>
        </w:rPr>
      </w:pPr>
      <w:r>
        <w:rPr>
          <w:rFonts w:hint="eastAsia" w:ascii="仿宋" w:hAnsi="仿宋" w:eastAsia="仿宋" w:cs="仿宋"/>
          <w:b/>
          <w:bCs/>
          <w:sz w:val="32"/>
          <w:szCs w:val="32"/>
        </w:rPr>
        <w:t>三、绩效自评工作情况</w:t>
      </w:r>
    </w:p>
    <w:p w14:paraId="1D944E05">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（一）绩效自评目的</w:t>
      </w:r>
    </w:p>
    <w:p w14:paraId="573CB6A4">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保证政府日常开支的正常运转，以及单位人员日常报销不受影响，确保政府各项工作的顺利进行；同时保证</w:t>
      </w:r>
      <w:r>
        <w:rPr>
          <w:rFonts w:hint="eastAsia" w:ascii="仿宋" w:hAnsi="仿宋" w:eastAsia="仿宋" w:cs="仿宋"/>
          <w:sz w:val="32"/>
          <w:szCs w:val="32"/>
          <w:lang w:eastAsia="zh-CN"/>
        </w:rPr>
        <w:t>牛家桥乡</w:t>
      </w:r>
      <w:r>
        <w:rPr>
          <w:rFonts w:hint="eastAsia" w:ascii="仿宋" w:hAnsi="仿宋" w:eastAsia="仿宋" w:cs="仿宋"/>
          <w:sz w:val="32"/>
          <w:szCs w:val="32"/>
        </w:rPr>
        <w:t>各项目建设的有推进，带动全</w:t>
      </w:r>
      <w:r>
        <w:rPr>
          <w:rFonts w:hint="eastAsia" w:ascii="仿宋" w:hAnsi="仿宋" w:eastAsia="仿宋" w:cs="仿宋"/>
          <w:sz w:val="32"/>
          <w:szCs w:val="32"/>
          <w:lang w:eastAsia="zh-CN"/>
        </w:rPr>
        <w:t>乡</w:t>
      </w:r>
      <w:r>
        <w:rPr>
          <w:rFonts w:hint="eastAsia" w:ascii="仿宋" w:hAnsi="仿宋" w:eastAsia="仿宋" w:cs="仿宋"/>
          <w:sz w:val="32"/>
          <w:szCs w:val="32"/>
        </w:rPr>
        <w:t>经济平稳较快发展的重要工作来落实，按照“统筹规划、分级负责、因地制宜、确保质量”的原则，通过项目实施加大农村建设力度，使我</w:t>
      </w:r>
      <w:r>
        <w:rPr>
          <w:rFonts w:hint="eastAsia" w:ascii="仿宋" w:hAnsi="仿宋" w:eastAsia="仿宋" w:cs="仿宋"/>
          <w:sz w:val="32"/>
          <w:szCs w:val="32"/>
          <w:lang w:eastAsia="zh-CN"/>
        </w:rPr>
        <w:t>乡</w:t>
      </w:r>
      <w:r>
        <w:rPr>
          <w:rFonts w:hint="eastAsia" w:ascii="仿宋" w:hAnsi="仿宋" w:eastAsia="仿宋" w:cs="仿宋"/>
          <w:sz w:val="32"/>
          <w:szCs w:val="32"/>
        </w:rPr>
        <w:t>各项基础设施建设再上一个新的台阶。</w:t>
      </w:r>
    </w:p>
    <w:p w14:paraId="2272B0F4">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 xml:space="preserve">（二）评价情况分析及综合评价结论                          </w:t>
      </w:r>
    </w:p>
    <w:p w14:paraId="674AF622">
      <w:pPr>
        <w:spacing w:line="620" w:lineRule="exact"/>
        <w:ind w:firstLine="640" w:firstLineChars="200"/>
        <w:rPr>
          <w:rFonts w:ascii="仿宋" w:hAnsi="仿宋" w:eastAsia="仿宋" w:cs="仿宋"/>
          <w:color w:val="000000"/>
          <w:sz w:val="32"/>
          <w:szCs w:val="32"/>
        </w:rPr>
      </w:pPr>
      <w:r>
        <w:rPr>
          <w:rFonts w:hint="eastAsia" w:ascii="仿宋" w:hAnsi="仿宋" w:eastAsia="仿宋" w:cs="仿宋"/>
          <w:sz w:val="32"/>
          <w:szCs w:val="32"/>
        </w:rPr>
        <w:t>绩效目标完成情况：</w:t>
      </w:r>
      <w:r>
        <w:rPr>
          <w:rFonts w:hint="eastAsia" w:ascii="仿宋" w:hAnsi="仿宋" w:eastAsia="仿宋" w:cs="仿宋"/>
          <w:color w:val="000000"/>
          <w:sz w:val="32"/>
          <w:szCs w:val="32"/>
        </w:rPr>
        <w:t>我们对2020年项目开展了绩效评价，预算金额</w:t>
      </w:r>
      <w:r>
        <w:rPr>
          <w:rFonts w:hint="eastAsia" w:ascii="仿宋" w:hAnsi="仿宋" w:eastAsia="仿宋" w:cs="仿宋"/>
          <w:color w:val="000000"/>
          <w:sz w:val="32"/>
          <w:szCs w:val="32"/>
          <w:lang w:val="en-US" w:eastAsia="zh-CN"/>
        </w:rPr>
        <w:t>976.66</w:t>
      </w:r>
      <w:r>
        <w:rPr>
          <w:rFonts w:hint="eastAsia" w:ascii="仿宋" w:hAnsi="仿宋" w:eastAsia="仿宋" w:cs="仿宋"/>
          <w:color w:val="000000"/>
          <w:sz w:val="32"/>
          <w:szCs w:val="32"/>
        </w:rPr>
        <w:t>万元，全年实际支出金额</w:t>
      </w:r>
      <w:r>
        <w:rPr>
          <w:rFonts w:hint="eastAsia" w:ascii="仿宋" w:hAnsi="仿宋" w:eastAsia="仿宋" w:cs="仿宋"/>
          <w:color w:val="000000"/>
          <w:sz w:val="32"/>
          <w:szCs w:val="32"/>
          <w:lang w:val="en-US" w:eastAsia="zh-CN"/>
        </w:rPr>
        <w:t>975.81</w:t>
      </w:r>
      <w:r>
        <w:rPr>
          <w:rFonts w:hint="eastAsia" w:ascii="仿宋" w:hAnsi="仿宋" w:eastAsia="仿宋" w:cs="仿宋"/>
          <w:color w:val="000000"/>
          <w:sz w:val="32"/>
          <w:szCs w:val="32"/>
        </w:rPr>
        <w:t>万元，预算执行率</w:t>
      </w:r>
      <w:r>
        <w:rPr>
          <w:rFonts w:hint="eastAsia" w:ascii="仿宋" w:hAnsi="仿宋" w:eastAsia="仿宋" w:cs="仿宋"/>
          <w:color w:val="000000"/>
          <w:sz w:val="32"/>
          <w:szCs w:val="32"/>
          <w:lang w:val="en-US" w:eastAsia="zh-CN"/>
        </w:rPr>
        <w:t>99.91</w:t>
      </w:r>
      <w:r>
        <w:rPr>
          <w:rFonts w:hint="eastAsia" w:ascii="仿宋" w:hAnsi="仿宋" w:eastAsia="仿宋" w:cs="仿宋"/>
          <w:color w:val="000000"/>
          <w:sz w:val="32"/>
          <w:szCs w:val="32"/>
        </w:rPr>
        <w:t>％。</w:t>
      </w:r>
    </w:p>
    <w:p w14:paraId="02FD4665">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从评价情况来看，我单位支出绩效水平较高，整体完成了年初设定的绩效目标，保障了本单位各部门的正常运转，促进了</w:t>
      </w:r>
      <w:r>
        <w:rPr>
          <w:rFonts w:hint="eastAsia" w:ascii="仿宋" w:hAnsi="仿宋" w:eastAsia="仿宋" w:cs="仿宋"/>
          <w:sz w:val="32"/>
          <w:szCs w:val="32"/>
          <w:lang w:eastAsia="zh-CN"/>
        </w:rPr>
        <w:t>牛家桥乡</w:t>
      </w:r>
      <w:r>
        <w:rPr>
          <w:rFonts w:hint="eastAsia" w:ascii="仿宋" w:hAnsi="仿宋" w:eastAsia="仿宋" w:cs="仿宋"/>
          <w:sz w:val="32"/>
          <w:szCs w:val="32"/>
        </w:rPr>
        <w:t>整体经济的平稳发展，充分发挥了财政资金的经济效益和社会效益。</w:t>
      </w:r>
    </w:p>
    <w:p w14:paraId="743A06C2">
      <w:pPr>
        <w:spacing w:line="620" w:lineRule="exact"/>
        <w:rPr>
          <w:rFonts w:ascii="仿宋" w:hAnsi="仿宋" w:eastAsia="仿宋" w:cs="仿宋"/>
          <w:sz w:val="32"/>
          <w:szCs w:val="32"/>
        </w:rPr>
      </w:pPr>
      <w:r>
        <w:rPr>
          <w:rFonts w:hint="eastAsia" w:ascii="仿宋" w:hAnsi="仿宋" w:eastAsia="仿宋" w:cs="仿宋"/>
          <w:b/>
          <w:bCs/>
          <w:sz w:val="32"/>
          <w:szCs w:val="32"/>
        </w:rPr>
        <w:t>四、存在的问题及改进的方向</w:t>
      </w:r>
    </w:p>
    <w:p w14:paraId="388A967F">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编制预算绩效目标量化指标的设定有待加强，绩效考核方案不够到位，自评结果应用不充分，总结经验反馈问题不够及时，绩效考核工作痕迹管理不完备，考核结果有效性有待加强和完善。部分项目当年没有支付资金，预算执行率不够高。在今后的工作中，我单位将严格按照有关法律法规及上级部门的要求，针对存在的问题，大力加强预算绩效监督管理力度，加快资金支付进度，重视绩效考核管理，认真做好绩效目标管理工作。</w:t>
      </w:r>
    </w:p>
    <w:p w14:paraId="4C844753">
      <w:pPr>
        <w:spacing w:line="620" w:lineRule="exact"/>
        <w:rPr>
          <w:rFonts w:ascii="仿宋" w:hAnsi="仿宋" w:eastAsia="仿宋" w:cs="仿宋"/>
          <w:b/>
          <w:bCs/>
          <w:sz w:val="32"/>
          <w:szCs w:val="32"/>
        </w:rPr>
      </w:pPr>
      <w:r>
        <w:rPr>
          <w:rFonts w:hint="eastAsia" w:ascii="仿宋" w:hAnsi="仿宋" w:eastAsia="仿宋" w:cs="仿宋"/>
          <w:b/>
          <w:bCs/>
          <w:sz w:val="32"/>
          <w:szCs w:val="32"/>
        </w:rPr>
        <w:t>五、建议</w:t>
      </w:r>
    </w:p>
    <w:p w14:paraId="424024FC">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1、认真学习预算绩效管理的政策知识，提高部门预算整体绩效管理水平，把绩效管理工作落实到每个环节、每个细节，努力提高</w:t>
      </w:r>
      <w:r>
        <w:rPr>
          <w:rFonts w:hint="eastAsia" w:ascii="仿宋" w:hAnsi="仿宋" w:eastAsia="仿宋" w:cs="仿宋"/>
          <w:sz w:val="32"/>
          <w:szCs w:val="32"/>
          <w:lang w:eastAsia="zh-CN"/>
        </w:rPr>
        <w:t>牛家桥乡</w:t>
      </w:r>
      <w:r>
        <w:rPr>
          <w:rFonts w:hint="eastAsia" w:ascii="仿宋" w:hAnsi="仿宋" w:eastAsia="仿宋" w:cs="仿宋"/>
          <w:sz w:val="32"/>
          <w:szCs w:val="32"/>
        </w:rPr>
        <w:t>部门预算的经济效益和社会效益。</w:t>
      </w:r>
    </w:p>
    <w:p w14:paraId="048327E6">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2、加强、细化制度建设。建立更加完善、更符合工作实际的制度、机制，保障每一项工作落到岗到人。</w:t>
      </w:r>
    </w:p>
    <w:p w14:paraId="0860385A">
      <w:pPr>
        <w:spacing w:line="620" w:lineRule="exact"/>
        <w:ind w:firstLine="640" w:firstLineChars="200"/>
        <w:rPr>
          <w:rFonts w:ascii="仿宋" w:hAnsi="仿宋" w:eastAsia="仿宋" w:cs="仿宋"/>
          <w:sz w:val="32"/>
          <w:szCs w:val="32"/>
        </w:rPr>
      </w:pPr>
      <w:r>
        <w:rPr>
          <w:rFonts w:hint="eastAsia" w:ascii="仿宋" w:hAnsi="仿宋" w:eastAsia="仿宋" w:cs="仿宋"/>
          <w:sz w:val="32"/>
          <w:szCs w:val="32"/>
        </w:rPr>
        <w:t>3、分解、落实工作职责。切实加强履职履责，让职责不留空缺，使财政拨款经费合理、有效使用。</w:t>
      </w:r>
    </w:p>
    <w:p w14:paraId="6E0CB6DE">
      <w:pPr>
        <w:pStyle w:val="2"/>
        <w:ind w:firstLine="0" w:firstLineChars="0"/>
        <w:rPr>
          <w:b/>
          <w:color w:val="auto"/>
        </w:rPr>
      </w:pPr>
      <w:r>
        <w:rPr>
          <w:rFonts w:hint="eastAsia"/>
          <w:b/>
          <w:color w:val="auto"/>
        </w:rPr>
        <w:t>六、绩效评分表：</w:t>
      </w:r>
    </w:p>
    <w:tbl>
      <w:tblPr>
        <w:tblStyle w:val="13"/>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14:paraId="3017D3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56482B07">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6E822E09">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14:paraId="65D28F40">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14:paraId="6CFFCFC4">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14:paraId="425059D0">
            <w:pPr>
              <w:widowControl/>
              <w:spacing w:line="240" w:lineRule="exact"/>
              <w:jc w:val="left"/>
              <w:rPr>
                <w:b/>
              </w:rPr>
            </w:pPr>
            <w:r>
              <w:rPr>
                <w:rFonts w:ascii="仿宋_GB2312" w:hAnsi="新宋体" w:eastAsia="仿宋_GB2312" w:cs="仿宋_GB2312"/>
                <w:b/>
                <w:kern w:val="0"/>
                <w:sz w:val="24"/>
                <w:szCs w:val="24"/>
              </w:rPr>
              <w:t>得分</w:t>
            </w:r>
          </w:p>
        </w:tc>
      </w:tr>
      <w:tr w14:paraId="2A771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A473399"/>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3F048398"/>
        </w:tc>
        <w:tc>
          <w:tcPr>
            <w:tcW w:w="1275" w:type="dxa"/>
            <w:tcBorders>
              <w:top w:val="single" w:color="000000" w:sz="4" w:space="0"/>
              <w:left w:val="single" w:color="000000" w:sz="4" w:space="0"/>
              <w:bottom w:val="single" w:color="000000" w:sz="4" w:space="0"/>
              <w:right w:val="single" w:color="auto" w:sz="4" w:space="0"/>
            </w:tcBorders>
            <w:vAlign w:val="center"/>
          </w:tcPr>
          <w:p w14:paraId="2EB2B130">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14:paraId="5748967E">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14:paraId="07CF4B81"/>
        </w:tc>
        <w:tc>
          <w:tcPr>
            <w:tcW w:w="764" w:type="dxa"/>
            <w:vMerge w:val="continue"/>
            <w:tcBorders>
              <w:top w:val="single" w:color="000000" w:sz="4" w:space="0"/>
              <w:left w:val="single" w:color="auto" w:sz="4" w:space="0"/>
              <w:bottom w:val="single" w:color="000000" w:sz="4" w:space="0"/>
              <w:right w:val="single" w:color="auto" w:sz="4" w:space="0"/>
            </w:tcBorders>
            <w:vAlign w:val="center"/>
          </w:tcPr>
          <w:p w14:paraId="7149FBAF"/>
        </w:tc>
      </w:tr>
      <w:tr w14:paraId="39C71A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7E449C1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8E009E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14:paraId="4C04AB92">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14:paraId="59E1916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14:paraId="3BFE376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14:paraId="1C23F8F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14:paraId="4DACFF9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7DC153C9">
            <w:pPr>
              <w:widowControl/>
              <w:spacing w:line="240" w:lineRule="exact"/>
              <w:jc w:val="left"/>
              <w:rPr>
                <w:szCs w:val="21"/>
              </w:rPr>
            </w:pPr>
            <w:r>
              <w:rPr>
                <w:rFonts w:hint="eastAsia"/>
                <w:szCs w:val="21"/>
              </w:rPr>
              <w:t>1</w:t>
            </w:r>
          </w:p>
        </w:tc>
      </w:tr>
      <w:tr w14:paraId="44C5B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8AB9F7F"/>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69AB390C"/>
        </w:tc>
        <w:tc>
          <w:tcPr>
            <w:tcW w:w="1275" w:type="dxa"/>
            <w:tcBorders>
              <w:top w:val="single" w:color="000000" w:sz="4" w:space="0"/>
              <w:left w:val="single" w:color="000000" w:sz="4" w:space="0"/>
              <w:bottom w:val="single" w:color="auto" w:sz="4" w:space="0"/>
              <w:right w:val="single" w:color="auto" w:sz="4" w:space="0"/>
            </w:tcBorders>
            <w:vAlign w:val="center"/>
          </w:tcPr>
          <w:p w14:paraId="5EE3BA1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14:paraId="44C433C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14:paraId="55FFC3A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368093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14:paraId="5A6AAC3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14:paraId="4E53559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4A27055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6583D9DD">
            <w:pPr>
              <w:widowControl/>
              <w:spacing w:line="240" w:lineRule="exact"/>
              <w:jc w:val="left"/>
              <w:rPr>
                <w:szCs w:val="21"/>
              </w:rPr>
            </w:pPr>
            <w:r>
              <w:rPr>
                <w:rFonts w:hint="eastAsia"/>
                <w:szCs w:val="21"/>
              </w:rPr>
              <w:t>2</w:t>
            </w:r>
          </w:p>
        </w:tc>
      </w:tr>
      <w:tr w14:paraId="151A57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29339BB"/>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2AC8BF16"/>
        </w:tc>
        <w:tc>
          <w:tcPr>
            <w:tcW w:w="1275" w:type="dxa"/>
            <w:tcBorders>
              <w:top w:val="single" w:color="000000" w:sz="4" w:space="0"/>
              <w:left w:val="single" w:color="000000" w:sz="4" w:space="0"/>
              <w:bottom w:val="single" w:color="auto" w:sz="4" w:space="0"/>
              <w:right w:val="single" w:color="auto" w:sz="4" w:space="0"/>
            </w:tcBorders>
            <w:vAlign w:val="center"/>
          </w:tcPr>
          <w:p w14:paraId="7A7ED84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14:paraId="7676D69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14:paraId="080B359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0F59511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14:paraId="0635400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14:paraId="176D617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14:paraId="4F4B915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14:paraId="49F94FBA">
            <w:pPr>
              <w:widowControl/>
              <w:spacing w:line="240" w:lineRule="exact"/>
              <w:jc w:val="left"/>
              <w:rPr>
                <w:szCs w:val="21"/>
              </w:rPr>
            </w:pPr>
            <w:r>
              <w:rPr>
                <w:rFonts w:hint="eastAsia"/>
                <w:szCs w:val="21"/>
              </w:rPr>
              <w:t>2</w:t>
            </w:r>
          </w:p>
        </w:tc>
      </w:tr>
      <w:tr w14:paraId="1ED975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5F59FC7F"/>
        </w:tc>
        <w:tc>
          <w:tcPr>
            <w:tcW w:w="743" w:type="dxa"/>
            <w:vMerge w:val="restart"/>
            <w:tcBorders>
              <w:top w:val="single" w:color="000000" w:sz="4" w:space="0"/>
              <w:left w:val="single" w:color="000000" w:sz="4" w:space="0"/>
              <w:right w:val="single" w:color="000000" w:sz="4" w:space="0"/>
            </w:tcBorders>
            <w:vAlign w:val="center"/>
          </w:tcPr>
          <w:p w14:paraId="3145882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14:paraId="0A3F235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14:paraId="3F509AB1">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14:paraId="22D85461">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14:paraId="76A87ACB">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14:paraId="6A9E362D">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14:paraId="28B35F4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14:paraId="2116460D">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14:paraId="5511FB46">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14:paraId="7D28E490">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482A0260">
            <w:pPr>
              <w:widowControl/>
              <w:spacing w:line="240" w:lineRule="exact"/>
              <w:jc w:val="left"/>
              <w:rPr>
                <w:szCs w:val="21"/>
              </w:rPr>
            </w:pPr>
            <w:r>
              <w:rPr>
                <w:rFonts w:hint="eastAsia"/>
                <w:szCs w:val="21"/>
              </w:rPr>
              <w:t>1</w:t>
            </w:r>
          </w:p>
        </w:tc>
      </w:tr>
      <w:tr w14:paraId="6D9D7F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14:paraId="3A47F058">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14:paraId="0DB059DA"/>
        </w:tc>
        <w:tc>
          <w:tcPr>
            <w:tcW w:w="1275" w:type="dxa"/>
            <w:tcBorders>
              <w:top w:val="single" w:color="auto" w:sz="4" w:space="0"/>
              <w:left w:val="single" w:color="000000" w:sz="4" w:space="0"/>
              <w:right w:val="single" w:color="auto" w:sz="4" w:space="0"/>
            </w:tcBorders>
            <w:vAlign w:val="center"/>
          </w:tcPr>
          <w:p w14:paraId="5FB751D2">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变动率（2分）</w:t>
            </w:r>
          </w:p>
        </w:tc>
        <w:tc>
          <w:tcPr>
            <w:tcW w:w="3436" w:type="dxa"/>
            <w:tcBorders>
              <w:top w:val="single" w:color="auto" w:sz="4" w:space="0"/>
              <w:left w:val="single" w:color="auto" w:sz="4" w:space="0"/>
              <w:right w:val="single" w:color="auto" w:sz="4" w:space="0"/>
            </w:tcBorders>
            <w:vAlign w:val="center"/>
          </w:tcPr>
          <w:p w14:paraId="24D1FDFA">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预算数与上年度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预算数的变动比率，用以反映和考核部门对控制重点行政成本的努力程度。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变动率=[（本年度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总额）/上年度</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14:paraId="283975B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小于或等于-5%的，得满分；</w:t>
            </w:r>
          </w:p>
          <w:p w14:paraId="6DD734ED">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大于或等于10%的，得0分；</w:t>
            </w:r>
          </w:p>
          <w:p w14:paraId="4A589B3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14:paraId="3F6EEF9C">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lang w:eastAsia="zh-CN"/>
              </w:rPr>
              <w:t>“三公”经费</w:t>
            </w:r>
            <w:r>
              <w:rPr>
                <w:rFonts w:hint="eastAsia" w:ascii="仿宋_GB2312" w:hAnsi="仿宋_GB2312" w:eastAsia="仿宋_GB2312" w:cs="仿宋_GB2312"/>
                <w:color w:val="000000"/>
                <w:kern w:val="0"/>
                <w:szCs w:val="21"/>
              </w:rPr>
              <w:t>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799D5046">
            <w:pPr>
              <w:widowControl/>
              <w:spacing w:line="240" w:lineRule="exact"/>
              <w:jc w:val="left"/>
              <w:rPr>
                <w:szCs w:val="21"/>
              </w:rPr>
            </w:pPr>
            <w:r>
              <w:rPr>
                <w:rFonts w:hint="eastAsia"/>
                <w:szCs w:val="21"/>
              </w:rPr>
              <w:t>2</w:t>
            </w:r>
          </w:p>
        </w:tc>
      </w:tr>
      <w:tr w14:paraId="4FEE95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14:paraId="4841CC9D"/>
        </w:tc>
        <w:tc>
          <w:tcPr>
            <w:tcW w:w="743" w:type="dxa"/>
            <w:vMerge w:val="continue"/>
            <w:tcBorders>
              <w:left w:val="single" w:color="000000" w:sz="4" w:space="0"/>
              <w:bottom w:val="single" w:color="000000" w:sz="4" w:space="0"/>
              <w:right w:val="single" w:color="000000" w:sz="4" w:space="0"/>
            </w:tcBorders>
            <w:vAlign w:val="center"/>
          </w:tcPr>
          <w:p w14:paraId="17D2CB25"/>
        </w:tc>
        <w:tc>
          <w:tcPr>
            <w:tcW w:w="1275" w:type="dxa"/>
            <w:tcBorders>
              <w:top w:val="single" w:color="auto" w:sz="4" w:space="0"/>
              <w:left w:val="single" w:color="000000" w:sz="4" w:space="0"/>
              <w:right w:val="single" w:color="auto" w:sz="4" w:space="0"/>
            </w:tcBorders>
            <w:vAlign w:val="center"/>
          </w:tcPr>
          <w:p w14:paraId="3519BE7C">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14:paraId="69971F13">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14:paraId="66B9A10F">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14:paraId="409CB859">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14:paraId="1CED467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14:paraId="70B47B1E">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1FC5D6A6">
            <w:pPr>
              <w:widowControl/>
              <w:spacing w:line="240" w:lineRule="exact"/>
              <w:jc w:val="left"/>
              <w:rPr>
                <w:szCs w:val="21"/>
              </w:rPr>
            </w:pPr>
            <w:r>
              <w:rPr>
                <w:rFonts w:hint="eastAsia"/>
                <w:szCs w:val="21"/>
              </w:rPr>
              <w:t>2</w:t>
            </w:r>
          </w:p>
        </w:tc>
      </w:tr>
      <w:tr w14:paraId="3D9776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4FC585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3E76FAF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14:paraId="526C146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14:paraId="2F30E106">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14:paraId="7FBEEB38">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3409F9AB">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14:paraId="4FF08565">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14:paraId="692834A9">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14:paraId="1ABC9D4F">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509414B">
            <w:pPr>
              <w:widowControl/>
              <w:spacing w:line="240" w:lineRule="exact"/>
              <w:jc w:val="left"/>
              <w:rPr>
                <w:szCs w:val="21"/>
              </w:rPr>
            </w:pPr>
            <w:r>
              <w:rPr>
                <w:rFonts w:hint="eastAsia"/>
                <w:szCs w:val="21"/>
              </w:rPr>
              <w:t>5</w:t>
            </w:r>
          </w:p>
        </w:tc>
      </w:tr>
      <w:tr w14:paraId="6C399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771C627C"/>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6EBCE29"/>
        </w:tc>
        <w:tc>
          <w:tcPr>
            <w:tcW w:w="1275" w:type="dxa"/>
            <w:tcBorders>
              <w:top w:val="single" w:color="000000" w:sz="4" w:space="0"/>
              <w:left w:val="single" w:color="000000" w:sz="4" w:space="0"/>
              <w:bottom w:val="single" w:color="000000" w:sz="4" w:space="0"/>
              <w:right w:val="single" w:color="auto" w:sz="4" w:space="0"/>
            </w:tcBorders>
            <w:vAlign w:val="center"/>
          </w:tcPr>
          <w:p w14:paraId="4C1A9F2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14:paraId="0B457F2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14:paraId="16E7B5F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421424D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14:paraId="75C108F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14:paraId="4305E5E3">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14:paraId="03F134C0">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50C3528D">
            <w:pPr>
              <w:widowControl/>
              <w:spacing w:line="240" w:lineRule="exact"/>
              <w:jc w:val="left"/>
              <w:rPr>
                <w:szCs w:val="21"/>
              </w:rPr>
            </w:pPr>
            <w:r>
              <w:rPr>
                <w:rFonts w:hint="eastAsia"/>
                <w:szCs w:val="21"/>
              </w:rPr>
              <w:t>3</w:t>
            </w:r>
          </w:p>
        </w:tc>
      </w:tr>
      <w:tr w14:paraId="3F28FD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806F989"/>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70449266"/>
        </w:tc>
        <w:tc>
          <w:tcPr>
            <w:tcW w:w="1275" w:type="dxa"/>
            <w:tcBorders>
              <w:top w:val="single" w:color="000000" w:sz="4" w:space="0"/>
              <w:left w:val="single" w:color="000000" w:sz="4" w:space="0"/>
              <w:bottom w:val="single" w:color="000000" w:sz="4" w:space="0"/>
              <w:right w:val="single" w:color="auto" w:sz="4" w:space="0"/>
            </w:tcBorders>
            <w:vAlign w:val="center"/>
          </w:tcPr>
          <w:p w14:paraId="663D09E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1266606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14:paraId="799C532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14:paraId="171C678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14:paraId="5D54DB5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14:paraId="5D88E9CD">
            <w:pPr>
              <w:widowControl/>
              <w:spacing w:line="240" w:lineRule="exact"/>
              <w:jc w:val="left"/>
              <w:rPr>
                <w:szCs w:val="21"/>
              </w:rPr>
            </w:pPr>
            <w:r>
              <w:rPr>
                <w:rFonts w:hint="eastAsia"/>
                <w:szCs w:val="21"/>
              </w:rPr>
              <w:t>4</w:t>
            </w:r>
          </w:p>
        </w:tc>
      </w:tr>
      <w:tr w14:paraId="34EFCF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947AE8E"/>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ADD2F56"/>
        </w:tc>
        <w:tc>
          <w:tcPr>
            <w:tcW w:w="1275" w:type="dxa"/>
            <w:tcBorders>
              <w:top w:val="single" w:color="000000" w:sz="4" w:space="0"/>
              <w:left w:val="single" w:color="000000" w:sz="4" w:space="0"/>
              <w:bottom w:val="single" w:color="000000" w:sz="4" w:space="0"/>
              <w:right w:val="single" w:color="auto" w:sz="4" w:space="0"/>
            </w:tcBorders>
            <w:vAlign w:val="center"/>
          </w:tcPr>
          <w:p w14:paraId="78350C6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514B5CF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14:paraId="4FE211E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14:paraId="5595853B">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14:paraId="44F09DA9">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14:paraId="7B8593A6">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14:paraId="06310305">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1C75D4BB">
            <w:pPr>
              <w:widowControl/>
              <w:spacing w:line="240" w:lineRule="exact"/>
              <w:jc w:val="left"/>
              <w:rPr>
                <w:szCs w:val="21"/>
              </w:rPr>
            </w:pPr>
            <w:r>
              <w:rPr>
                <w:rFonts w:hint="eastAsia"/>
                <w:szCs w:val="21"/>
              </w:rPr>
              <w:t>3</w:t>
            </w:r>
          </w:p>
        </w:tc>
      </w:tr>
      <w:tr w14:paraId="242034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BF8D397"/>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D947EDD"/>
        </w:tc>
        <w:tc>
          <w:tcPr>
            <w:tcW w:w="1275" w:type="dxa"/>
            <w:tcBorders>
              <w:top w:val="single" w:color="000000" w:sz="4" w:space="0"/>
              <w:left w:val="single" w:color="000000" w:sz="4" w:space="0"/>
              <w:bottom w:val="single" w:color="000000" w:sz="4" w:space="0"/>
              <w:right w:val="single" w:color="auto" w:sz="4" w:space="0"/>
            </w:tcBorders>
            <w:vAlign w:val="center"/>
          </w:tcPr>
          <w:p w14:paraId="722445C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43FC54A5">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14:paraId="218CC245">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14:paraId="0BBC864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14:paraId="0A5F9FE5">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14:paraId="5BD2A209">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14:paraId="64EC4497">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72B65FF7">
            <w:pPr>
              <w:widowControl/>
              <w:spacing w:line="240" w:lineRule="exact"/>
              <w:jc w:val="left"/>
              <w:rPr>
                <w:szCs w:val="21"/>
              </w:rPr>
            </w:pPr>
            <w:r>
              <w:rPr>
                <w:rFonts w:hint="eastAsia"/>
                <w:szCs w:val="21"/>
              </w:rPr>
              <w:t>4</w:t>
            </w:r>
          </w:p>
        </w:tc>
      </w:tr>
      <w:tr w14:paraId="258C54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10523ED8"/>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5952C49F"/>
        </w:tc>
        <w:tc>
          <w:tcPr>
            <w:tcW w:w="1275" w:type="dxa"/>
            <w:tcBorders>
              <w:top w:val="single" w:color="000000" w:sz="4" w:space="0"/>
              <w:left w:val="single" w:color="000000" w:sz="4" w:space="0"/>
              <w:bottom w:val="single" w:color="000000" w:sz="4" w:space="0"/>
              <w:right w:val="single" w:color="auto" w:sz="4" w:space="0"/>
            </w:tcBorders>
            <w:vAlign w:val="center"/>
          </w:tcPr>
          <w:p w14:paraId="392BB69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14:paraId="04134B42">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14:paraId="1B4B4EFC">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14:paraId="3553B782">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14:paraId="2297FA4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14:paraId="69C18C53">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14:paraId="643412DD">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14:paraId="6F4D93E1">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14:paraId="65CA5260">
            <w:pPr>
              <w:widowControl/>
              <w:spacing w:line="240" w:lineRule="exact"/>
              <w:jc w:val="left"/>
              <w:rPr>
                <w:szCs w:val="21"/>
              </w:rPr>
            </w:pPr>
            <w:r>
              <w:rPr>
                <w:rFonts w:hint="eastAsia"/>
                <w:szCs w:val="21"/>
              </w:rPr>
              <w:t>4</w:t>
            </w:r>
          </w:p>
        </w:tc>
      </w:tr>
      <w:tr w14:paraId="4F8613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BFB1972"/>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5879290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14:paraId="7B4CD71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14:paraId="6826884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14:paraId="19C1A34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14:paraId="3285019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50F338C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14:paraId="6AB5142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14:paraId="043EE50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14:paraId="266988E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14:paraId="281E5A8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14:paraId="65B51CB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14:paraId="5BE7EEE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14:paraId="48A59852">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14:paraId="5E78B89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14:paraId="06BA90E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14:paraId="07DC096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14:paraId="1AD0816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14:paraId="081AC4F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7E401FD4">
            <w:pPr>
              <w:widowControl/>
              <w:spacing w:line="240" w:lineRule="exact"/>
              <w:jc w:val="left"/>
              <w:rPr>
                <w:szCs w:val="21"/>
              </w:rPr>
            </w:pPr>
            <w:r>
              <w:rPr>
                <w:rFonts w:hint="eastAsia"/>
                <w:szCs w:val="21"/>
              </w:rPr>
              <w:t>8</w:t>
            </w:r>
          </w:p>
        </w:tc>
      </w:tr>
      <w:tr w14:paraId="177A6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73E3F25"/>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EB66F1C"/>
        </w:tc>
        <w:tc>
          <w:tcPr>
            <w:tcW w:w="1275" w:type="dxa"/>
            <w:tcBorders>
              <w:top w:val="single" w:color="000000" w:sz="4" w:space="0"/>
              <w:left w:val="single" w:color="000000" w:sz="4" w:space="0"/>
              <w:bottom w:val="single" w:color="000000" w:sz="4" w:space="0"/>
              <w:right w:val="single" w:color="auto" w:sz="4" w:space="0"/>
            </w:tcBorders>
            <w:vAlign w:val="center"/>
          </w:tcPr>
          <w:p w14:paraId="334CB93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14:paraId="4748EBB6">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14:paraId="4AF410D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14:paraId="6E5865C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353CFCF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14:paraId="5594569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14:paraId="557CD1A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14:paraId="514E413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14:paraId="5E66C14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543ECDF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7F78AED9">
            <w:pPr>
              <w:widowControl/>
              <w:spacing w:line="240" w:lineRule="exact"/>
              <w:jc w:val="left"/>
              <w:rPr>
                <w:szCs w:val="21"/>
              </w:rPr>
            </w:pPr>
            <w:r>
              <w:rPr>
                <w:rFonts w:hint="eastAsia"/>
                <w:szCs w:val="21"/>
              </w:rPr>
              <w:t>3</w:t>
            </w:r>
          </w:p>
        </w:tc>
      </w:tr>
      <w:tr w14:paraId="0460E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22F09610"/>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3FEBBA4"/>
        </w:tc>
        <w:tc>
          <w:tcPr>
            <w:tcW w:w="1275" w:type="dxa"/>
            <w:tcBorders>
              <w:top w:val="single" w:color="000000" w:sz="4" w:space="0"/>
              <w:left w:val="single" w:color="000000" w:sz="4" w:space="0"/>
              <w:bottom w:val="single" w:color="000000" w:sz="4" w:space="0"/>
              <w:right w:val="single" w:color="auto" w:sz="4" w:space="0"/>
            </w:tcBorders>
            <w:vAlign w:val="center"/>
          </w:tcPr>
          <w:p w14:paraId="72277B3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14:paraId="343790C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14:paraId="3E78499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C7ED81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14:paraId="18F6F3D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14:paraId="14D90C7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14:paraId="336CE089">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14:paraId="26C650F5">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14:paraId="247B6F9F">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14:paraId="05B6E5A1">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14:paraId="14B403C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14:paraId="416AFD9C">
            <w:pPr>
              <w:widowControl/>
              <w:spacing w:line="240" w:lineRule="exact"/>
              <w:jc w:val="left"/>
              <w:rPr>
                <w:szCs w:val="21"/>
              </w:rPr>
            </w:pPr>
            <w:r>
              <w:rPr>
                <w:rFonts w:hint="eastAsia"/>
                <w:szCs w:val="21"/>
              </w:rPr>
              <w:t>4</w:t>
            </w:r>
          </w:p>
        </w:tc>
      </w:tr>
      <w:tr w14:paraId="446031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3770807"/>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C03415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14:paraId="0A94DFA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14:paraId="7165ADA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14:paraId="44F4197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14:paraId="43198D8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14:paraId="2A3D9D8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w:t>
            </w:r>
            <w:r>
              <w:rPr>
                <w:rFonts w:hint="eastAsia" w:ascii="仿宋_GB2312" w:hAnsi="仿宋_GB2312" w:eastAsia="仿宋_GB2312" w:cs="仿宋_GB2312"/>
                <w:kern w:val="0"/>
                <w:szCs w:val="21"/>
                <w:lang w:eastAsia="zh-CN"/>
              </w:rPr>
              <w:t>账实相符</w:t>
            </w:r>
            <w:r>
              <w:rPr>
                <w:rFonts w:hint="eastAsia" w:ascii="仿宋_GB2312" w:hAnsi="仿宋_GB2312" w:eastAsia="仿宋_GB2312" w:cs="仿宋_GB2312"/>
                <w:kern w:val="0"/>
                <w:szCs w:val="21"/>
              </w:rPr>
              <w:t>；</w:t>
            </w:r>
          </w:p>
          <w:p w14:paraId="52B158B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14:paraId="41D498EC">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14:paraId="7ECCA32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14:paraId="09A6A9D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14:paraId="50C2BBB9">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14:paraId="6DDEF178">
            <w:pPr>
              <w:widowControl/>
              <w:spacing w:line="240" w:lineRule="exact"/>
              <w:jc w:val="left"/>
              <w:rPr>
                <w:szCs w:val="21"/>
              </w:rPr>
            </w:pPr>
            <w:r>
              <w:rPr>
                <w:rFonts w:hint="eastAsia"/>
                <w:szCs w:val="21"/>
              </w:rPr>
              <w:t>2</w:t>
            </w:r>
          </w:p>
        </w:tc>
      </w:tr>
      <w:tr w14:paraId="2ED59C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3D53E9C7"/>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174358FC"/>
        </w:tc>
        <w:tc>
          <w:tcPr>
            <w:tcW w:w="1275" w:type="dxa"/>
            <w:tcBorders>
              <w:top w:val="single" w:color="auto" w:sz="4" w:space="0"/>
              <w:left w:val="single" w:color="000000" w:sz="4" w:space="0"/>
              <w:bottom w:val="single" w:color="000000" w:sz="4" w:space="0"/>
              <w:right w:val="single" w:color="auto" w:sz="4" w:space="0"/>
            </w:tcBorders>
            <w:vAlign w:val="center"/>
          </w:tcPr>
          <w:p w14:paraId="1D9E480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14:paraId="091F5D53">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14:paraId="38F88CA4">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14:paraId="5F2A4FF6">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14:paraId="7764AC29">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14:paraId="5B1960B8">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14:paraId="2F85C7A3">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14:paraId="32D7ADB1">
            <w:pPr>
              <w:widowControl/>
              <w:spacing w:line="240" w:lineRule="exact"/>
              <w:jc w:val="left"/>
              <w:rPr>
                <w:szCs w:val="21"/>
              </w:rPr>
            </w:pPr>
            <w:r>
              <w:rPr>
                <w:rFonts w:hint="eastAsia"/>
                <w:szCs w:val="21"/>
              </w:rPr>
              <w:t>3</w:t>
            </w:r>
          </w:p>
        </w:tc>
      </w:tr>
      <w:tr w14:paraId="1325D1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2CC35E4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14:paraId="780983DA">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14:paraId="63FFE78B">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14:paraId="518FB97E">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14:paraId="4F766D5F">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14:paraId="4D17D73F">
            <w:pPr>
              <w:widowControl/>
              <w:spacing w:line="240" w:lineRule="exact"/>
              <w:jc w:val="left"/>
              <w:rPr>
                <w:szCs w:val="21"/>
              </w:rPr>
            </w:pPr>
            <w:r>
              <w:rPr>
                <w:rFonts w:hint="eastAsia"/>
                <w:szCs w:val="21"/>
              </w:rPr>
              <w:t>9</w:t>
            </w:r>
          </w:p>
        </w:tc>
      </w:tr>
      <w:tr w14:paraId="59A11F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69562099"/>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14:paraId="4AA8776D"/>
        </w:tc>
        <w:tc>
          <w:tcPr>
            <w:tcW w:w="1275" w:type="dxa"/>
            <w:tcBorders>
              <w:top w:val="single" w:color="000000" w:sz="4" w:space="0"/>
              <w:left w:val="single" w:color="000000" w:sz="4" w:space="0"/>
              <w:right w:val="single" w:color="auto" w:sz="4" w:space="0"/>
            </w:tcBorders>
            <w:vAlign w:val="center"/>
          </w:tcPr>
          <w:p w14:paraId="380A4FB0">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14:paraId="5AFA5D43">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14:paraId="42F59317">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14:paraId="0EAEDDF5">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14:paraId="34EF42A0">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14:paraId="1063BD2E">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14:paraId="6CB0A0EA">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14:paraId="7CD838E4">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14:paraId="027222A3">
            <w:pPr>
              <w:widowControl/>
              <w:spacing w:line="240" w:lineRule="exact"/>
              <w:jc w:val="left"/>
              <w:rPr>
                <w:szCs w:val="21"/>
              </w:rPr>
            </w:pPr>
            <w:r>
              <w:rPr>
                <w:rFonts w:hint="eastAsia"/>
                <w:szCs w:val="21"/>
              </w:rPr>
              <w:t>13</w:t>
            </w:r>
          </w:p>
        </w:tc>
      </w:tr>
      <w:tr w14:paraId="5DB0B0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14:paraId="3F5DB2AD">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14:paraId="5F83F1BD">
            <w:pPr>
              <w:widowControl/>
              <w:spacing w:line="240" w:lineRule="exact"/>
              <w:jc w:val="left"/>
              <w:rPr>
                <w:rFonts w:ascii="仿宋_GB2312" w:hAnsi="仿宋_GB2312" w:eastAsia="仿宋_GB2312" w:cs="仿宋_GB2312"/>
                <w:kern w:val="0"/>
                <w:szCs w:val="21"/>
              </w:rPr>
            </w:pPr>
          </w:p>
          <w:p w14:paraId="51AEF1E8">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14:paraId="0DB05D3E">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14:paraId="028B4EBE">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14:paraId="15D9A0B7">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14:paraId="3D586651">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14:paraId="502CF409">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69163E80">
            <w:pPr>
              <w:widowControl/>
              <w:spacing w:line="240" w:lineRule="exact"/>
              <w:jc w:val="left"/>
              <w:rPr>
                <w:szCs w:val="21"/>
              </w:rPr>
            </w:pPr>
            <w:r>
              <w:rPr>
                <w:rFonts w:hint="eastAsia"/>
                <w:szCs w:val="21"/>
              </w:rPr>
              <w:t>5</w:t>
            </w:r>
          </w:p>
        </w:tc>
      </w:tr>
      <w:tr w14:paraId="16D256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19C03617"/>
        </w:tc>
        <w:tc>
          <w:tcPr>
            <w:tcW w:w="743" w:type="dxa"/>
            <w:vMerge w:val="continue"/>
            <w:tcBorders>
              <w:left w:val="single" w:color="000000" w:sz="4" w:space="0"/>
              <w:right w:val="single" w:color="000000" w:sz="4" w:space="0"/>
            </w:tcBorders>
            <w:vAlign w:val="center"/>
          </w:tcPr>
          <w:p w14:paraId="6266A79D"/>
        </w:tc>
        <w:tc>
          <w:tcPr>
            <w:tcW w:w="1275" w:type="dxa"/>
            <w:tcBorders>
              <w:top w:val="single" w:color="000000" w:sz="4" w:space="0"/>
              <w:left w:val="single" w:color="000000" w:sz="4" w:space="0"/>
              <w:bottom w:val="single" w:color="000000" w:sz="4" w:space="0"/>
              <w:right w:val="single" w:color="auto" w:sz="4" w:space="0"/>
            </w:tcBorders>
            <w:vAlign w:val="center"/>
          </w:tcPr>
          <w:p w14:paraId="755194EF">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23F2532">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14:paraId="3D9443C2">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14:paraId="38D6D763">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34B679B8">
            <w:pPr>
              <w:widowControl/>
              <w:spacing w:line="240" w:lineRule="exact"/>
              <w:jc w:val="left"/>
              <w:rPr>
                <w:szCs w:val="21"/>
              </w:rPr>
            </w:pPr>
            <w:r>
              <w:rPr>
                <w:rFonts w:hint="eastAsia"/>
                <w:szCs w:val="21"/>
              </w:rPr>
              <w:t>5</w:t>
            </w:r>
          </w:p>
        </w:tc>
      </w:tr>
      <w:tr w14:paraId="7C1FF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14:paraId="20322071"/>
        </w:tc>
        <w:tc>
          <w:tcPr>
            <w:tcW w:w="743" w:type="dxa"/>
            <w:vMerge w:val="continue"/>
            <w:tcBorders>
              <w:left w:val="single" w:color="000000" w:sz="4" w:space="0"/>
              <w:right w:val="single" w:color="000000" w:sz="4" w:space="0"/>
            </w:tcBorders>
            <w:vAlign w:val="center"/>
          </w:tcPr>
          <w:p w14:paraId="2616B672"/>
        </w:tc>
        <w:tc>
          <w:tcPr>
            <w:tcW w:w="1275" w:type="dxa"/>
            <w:tcBorders>
              <w:top w:val="single" w:color="000000" w:sz="4" w:space="0"/>
              <w:left w:val="single" w:color="000000" w:sz="4" w:space="0"/>
              <w:bottom w:val="single" w:color="000000" w:sz="4" w:space="0"/>
              <w:right w:val="single" w:color="auto" w:sz="4" w:space="0"/>
            </w:tcBorders>
            <w:vAlign w:val="center"/>
          </w:tcPr>
          <w:p w14:paraId="00ECE5D4">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14:paraId="66A9726A">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14:paraId="62E03F23">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14:paraId="437084B3">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14:paraId="26383573">
            <w:pPr>
              <w:widowControl/>
              <w:spacing w:line="240" w:lineRule="exact"/>
              <w:jc w:val="left"/>
              <w:rPr>
                <w:szCs w:val="21"/>
              </w:rPr>
            </w:pPr>
            <w:r>
              <w:rPr>
                <w:rFonts w:hint="eastAsia"/>
                <w:szCs w:val="21"/>
              </w:rPr>
              <w:t>5</w:t>
            </w:r>
          </w:p>
        </w:tc>
      </w:tr>
      <w:tr w14:paraId="4E9FE7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14:paraId="47DBF82D"/>
        </w:tc>
        <w:tc>
          <w:tcPr>
            <w:tcW w:w="743" w:type="dxa"/>
            <w:vMerge w:val="continue"/>
            <w:tcBorders>
              <w:left w:val="single" w:color="000000" w:sz="4" w:space="0"/>
              <w:bottom w:val="single" w:color="auto" w:sz="4" w:space="0"/>
              <w:right w:val="single" w:color="000000" w:sz="4" w:space="0"/>
            </w:tcBorders>
            <w:vAlign w:val="center"/>
          </w:tcPr>
          <w:p w14:paraId="655CB9AC"/>
        </w:tc>
        <w:tc>
          <w:tcPr>
            <w:tcW w:w="1275" w:type="dxa"/>
            <w:tcBorders>
              <w:top w:val="single" w:color="000000" w:sz="4" w:space="0"/>
              <w:left w:val="single" w:color="000000" w:sz="4" w:space="0"/>
              <w:bottom w:val="single" w:color="000000" w:sz="4" w:space="0"/>
              <w:right w:val="single" w:color="auto" w:sz="4" w:space="0"/>
            </w:tcBorders>
            <w:vAlign w:val="center"/>
          </w:tcPr>
          <w:p w14:paraId="6A26B3B8">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14:paraId="1E78E58B">
            <w:pPr>
              <w:widowControl/>
              <w:pBdr>
                <w:top w:val="none" w:color="auto" w:sz="0" w:space="0"/>
                <w:left w:val="none" w:color="auto" w:sz="0" w:space="0"/>
                <w:bottom w:val="none" w:color="auto" w:sz="0" w:space="0"/>
                <w:right w:val="none" w:color="auto"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14:paraId="06E9ED15">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14:paraId="47DAFB83">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14:paraId="75609C64">
            <w:pPr>
              <w:widowControl/>
              <w:spacing w:line="240" w:lineRule="exact"/>
              <w:jc w:val="left"/>
              <w:rPr>
                <w:szCs w:val="21"/>
              </w:rPr>
            </w:pPr>
            <w:r>
              <w:rPr>
                <w:rFonts w:hint="eastAsia"/>
                <w:szCs w:val="21"/>
              </w:rPr>
              <w:t>5</w:t>
            </w:r>
          </w:p>
        </w:tc>
      </w:tr>
    </w:tbl>
    <w:p w14:paraId="584027CC">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E0B72">
    <w:pPr>
      <w:pStyle w:val="10"/>
      <w:framePr w:wrap="around" w:vAnchor="text" w:hAnchor="margin" w:xAlign="outside" w:y="1"/>
      <w:rPr>
        <w:rStyle w:val="16"/>
        <w:rFonts w:ascii="宋体" w:hAnsi="宋体" w:eastAsia="宋体"/>
        <w:sz w:val="28"/>
        <w:szCs w:val="28"/>
      </w:rPr>
    </w:pPr>
    <w:r>
      <w:rPr>
        <w:rStyle w:val="16"/>
        <w:rFonts w:hint="eastAsia" w:ascii="宋体" w:hAnsi="宋体" w:eastAsia="宋体"/>
        <w:sz w:val="28"/>
        <w:szCs w:val="28"/>
      </w:rPr>
      <w:t>-</w:t>
    </w:r>
    <w:r>
      <w:rPr>
        <w:rStyle w:val="16"/>
        <w:rFonts w:ascii="宋体" w:hAnsi="宋体" w:eastAsia="宋体"/>
        <w:sz w:val="28"/>
        <w:szCs w:val="28"/>
      </w:rPr>
      <w:fldChar w:fldCharType="begin"/>
    </w:r>
    <w:r>
      <w:rPr>
        <w:rStyle w:val="16"/>
        <w:rFonts w:ascii="宋体" w:hAnsi="宋体" w:eastAsia="宋体"/>
        <w:sz w:val="28"/>
        <w:szCs w:val="28"/>
      </w:rPr>
      <w:instrText xml:space="preserve">PAGE  </w:instrText>
    </w:r>
    <w:r>
      <w:rPr>
        <w:rStyle w:val="16"/>
        <w:rFonts w:ascii="宋体" w:hAnsi="宋体" w:eastAsia="宋体"/>
        <w:sz w:val="28"/>
        <w:szCs w:val="28"/>
      </w:rPr>
      <w:fldChar w:fldCharType="separate"/>
    </w:r>
    <w:r>
      <w:rPr>
        <w:rStyle w:val="16"/>
        <w:rFonts w:ascii="宋体" w:hAnsi="宋体" w:eastAsia="宋体"/>
        <w:sz w:val="28"/>
        <w:szCs w:val="28"/>
      </w:rPr>
      <w:t>1</w:t>
    </w:r>
    <w:r>
      <w:rPr>
        <w:rStyle w:val="16"/>
        <w:rFonts w:ascii="宋体" w:hAnsi="宋体" w:eastAsia="宋体"/>
        <w:sz w:val="28"/>
        <w:szCs w:val="28"/>
      </w:rPr>
      <w:fldChar w:fldCharType="end"/>
    </w:r>
    <w:r>
      <w:rPr>
        <w:rStyle w:val="16"/>
        <w:rFonts w:hint="eastAsia" w:ascii="宋体" w:hAnsi="宋体" w:eastAsia="宋体"/>
        <w:sz w:val="28"/>
        <w:szCs w:val="28"/>
      </w:rPr>
      <w:t>-</w:t>
    </w:r>
  </w:p>
  <w:p w14:paraId="69F0E6E4">
    <w:pPr>
      <w:pStyle w:val="10"/>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31513">
    <w:pPr>
      <w:pStyle w:val="10"/>
      <w:framePr w:wrap="around" w:vAnchor="text" w:hAnchor="margin" w:xAlign="outside" w:y="1"/>
      <w:rPr>
        <w:rStyle w:val="16"/>
      </w:rPr>
    </w:pPr>
    <w:r>
      <w:rPr>
        <w:rStyle w:val="16"/>
      </w:rPr>
      <w:fldChar w:fldCharType="begin"/>
    </w:r>
    <w:r>
      <w:rPr>
        <w:rStyle w:val="16"/>
      </w:rPr>
      <w:instrText xml:space="preserve">PAGE  </w:instrText>
    </w:r>
    <w:r>
      <w:rPr>
        <w:rStyle w:val="16"/>
      </w:rPr>
      <w:fldChar w:fldCharType="separate"/>
    </w:r>
    <w:r>
      <w:rPr>
        <w:rStyle w:val="16"/>
      </w:rPr>
      <w:t xml:space="preserve"> </w:t>
    </w:r>
    <w:r>
      <w:rPr>
        <w:rStyle w:val="16"/>
      </w:rPr>
      <w:fldChar w:fldCharType="end"/>
    </w:r>
  </w:p>
  <w:p w14:paraId="5D0C67AE">
    <w:pPr>
      <w:pStyle w:val="10"/>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useFELayout/>
    <w:compatSetting w:name="compatibilityMode" w:uri="http://schemas.microsoft.com/office/word" w:val="14"/>
  </w:compat>
  <w:rsids>
    <w:rsidRoot w:val="00000000"/>
    <w:rsid w:val="0C901718"/>
    <w:rsid w:val="3CD259BE"/>
    <w:rsid w:val="74FE61C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Arial"/>
      <w:kern w:val="2"/>
      <w:sz w:val="21"/>
      <w:szCs w:val="22"/>
      <w:lang w:val="en-US" w:eastAsia="zh-CN" w:bidi="ar-SA"/>
    </w:rPr>
  </w:style>
  <w:style w:type="paragraph" w:styleId="4">
    <w:name w:val="heading 1"/>
    <w:basedOn w:val="1"/>
    <w:next w:val="1"/>
    <w:link w:val="17"/>
    <w:qFormat/>
    <w:uiPriority w:val="0"/>
    <w:pPr>
      <w:spacing w:before="100" w:beforeAutospacing="1" w:after="100" w:afterAutospacing="1"/>
      <w:jc w:val="left"/>
      <w:outlineLvl w:val="0"/>
    </w:pPr>
    <w:rPr>
      <w:rFonts w:ascii="宋体" w:hAnsi="宋体" w:eastAsia="宋体" w:cs="宋体"/>
      <w:b/>
      <w:kern w:val="44"/>
      <w:sz w:val="48"/>
      <w:szCs w:val="48"/>
    </w:rPr>
  </w:style>
  <w:style w:type="paragraph" w:styleId="5">
    <w:name w:val="heading 2"/>
    <w:basedOn w:val="1"/>
    <w:next w:val="1"/>
    <w:link w:val="18"/>
    <w:qFormat/>
    <w:uiPriority w:val="0"/>
    <w:pPr>
      <w:keepNext/>
      <w:keepLines/>
      <w:spacing w:before="260" w:after="260" w:line="415" w:lineRule="auto"/>
      <w:outlineLvl w:val="1"/>
    </w:pPr>
    <w:rPr>
      <w:rFonts w:ascii="Times New Roman" w:hAnsi="Times New Roman" w:eastAsia="黑体"/>
      <w:b/>
      <w:bCs/>
      <w:sz w:val="32"/>
      <w:szCs w:val="32"/>
    </w:rPr>
  </w:style>
  <w:style w:type="paragraph" w:styleId="6">
    <w:name w:val="heading 3"/>
    <w:basedOn w:val="1"/>
    <w:next w:val="1"/>
    <w:link w:val="19"/>
    <w:qFormat/>
    <w:uiPriority w:val="0"/>
    <w:pPr>
      <w:keepNext/>
      <w:keepLines/>
      <w:spacing w:before="260" w:after="260" w:line="415" w:lineRule="auto"/>
      <w:outlineLvl w:val="2"/>
    </w:pPr>
    <w:rPr>
      <w:b/>
      <w:bCs/>
      <w:sz w:val="32"/>
      <w:szCs w:val="32"/>
    </w:rPr>
  </w:style>
  <w:style w:type="character" w:default="1" w:styleId="14">
    <w:name w:val="Default Paragraph Font"/>
    <w:qFormat/>
    <w:uiPriority w:val="0"/>
  </w:style>
  <w:style w:type="table" w:default="1" w:styleId="13">
    <w:name w:val="Normal Table"/>
    <w:semiHidden/>
    <w:uiPriority w:val="0"/>
    <w:tblPr>
      <w:tblCellMar>
        <w:top w:w="0" w:type="dxa"/>
        <w:left w:w="108" w:type="dxa"/>
        <w:bottom w:w="0" w:type="dxa"/>
        <w:right w:w="108" w:type="dxa"/>
      </w:tblCellMar>
    </w:tblPr>
  </w:style>
  <w:style w:type="paragraph" w:styleId="2">
    <w:name w:val="Body Text First Indent 2"/>
    <w:basedOn w:val="3"/>
    <w:qFormat/>
    <w:uiPriority w:val="0"/>
  </w:style>
  <w:style w:type="paragraph" w:styleId="3">
    <w:name w:val="Body Text Indent"/>
    <w:basedOn w:val="1"/>
    <w:qFormat/>
    <w:uiPriority w:val="0"/>
    <w:pPr>
      <w:spacing w:line="600" w:lineRule="exact"/>
      <w:ind w:firstLine="200" w:firstLineChars="200"/>
      <w:textAlignment w:val="center"/>
    </w:pPr>
    <w:rPr>
      <w:rFonts w:ascii="宋体" w:hAnsi="宋体"/>
      <w:color w:val="FF0000"/>
      <w:sz w:val="28"/>
      <w:szCs w:val="28"/>
    </w:rPr>
  </w:style>
  <w:style w:type="paragraph" w:styleId="7">
    <w:name w:val="Body Text"/>
    <w:basedOn w:val="1"/>
    <w:qFormat/>
    <w:uiPriority w:val="0"/>
    <w:pPr>
      <w:autoSpaceDE w:val="0"/>
      <w:autoSpaceDN w:val="0"/>
      <w:adjustRightInd w:val="0"/>
      <w:snapToGrid w:val="0"/>
      <w:spacing w:line="588" w:lineRule="atLeast"/>
    </w:pPr>
    <w:rPr>
      <w:rFonts w:ascii="宋体" w:hAnsi="宋体" w:eastAsia="仿宋_GB2312"/>
      <w:spacing w:val="-2"/>
      <w:sz w:val="32"/>
      <w:szCs w:val="24"/>
    </w:rPr>
  </w:style>
  <w:style w:type="paragraph" w:styleId="8">
    <w:name w:val="Plain Text"/>
    <w:basedOn w:val="1"/>
    <w:qFormat/>
    <w:uiPriority w:val="0"/>
    <w:rPr>
      <w:rFonts w:ascii="宋体" w:hAnsi="Courier New" w:eastAsia="宋体" w:cs="Courier New"/>
      <w:szCs w:val="21"/>
    </w:rPr>
  </w:style>
  <w:style w:type="paragraph" w:styleId="9">
    <w:name w:val="Balloon Text"/>
    <w:basedOn w:val="1"/>
    <w:qFormat/>
    <w:uiPriority w:val="0"/>
    <w:rPr>
      <w:sz w:val="18"/>
      <w:szCs w:val="18"/>
    </w:rPr>
  </w:style>
  <w:style w:type="paragraph" w:styleId="10">
    <w:name w:val="footer"/>
    <w:basedOn w:val="1"/>
    <w:qFormat/>
    <w:uiPriority w:val="0"/>
    <w:pPr>
      <w:tabs>
        <w:tab w:val="center" w:pos="4153"/>
        <w:tab w:val="right" w:pos="8306"/>
      </w:tabs>
      <w:snapToGrid w:val="0"/>
      <w:jc w:val="left"/>
    </w:pPr>
    <w:rPr>
      <w:sz w:val="18"/>
      <w:szCs w:val="18"/>
    </w:rPr>
  </w:style>
  <w:style w:type="paragraph" w:styleId="1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2">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styleId="15">
    <w:name w:val="Strong"/>
    <w:basedOn w:val="14"/>
    <w:qFormat/>
    <w:uiPriority w:val="0"/>
    <w:rPr>
      <w:b/>
      <w:bCs/>
    </w:rPr>
  </w:style>
  <w:style w:type="character" w:styleId="16">
    <w:name w:val="page number"/>
    <w:basedOn w:val="14"/>
    <w:qFormat/>
    <w:uiPriority w:val="0"/>
  </w:style>
  <w:style w:type="character" w:customStyle="1" w:styleId="17">
    <w:name w:val="heading 1 Char"/>
    <w:basedOn w:val="14"/>
    <w:link w:val="4"/>
    <w:uiPriority w:val="0"/>
    <w:rPr>
      <w:rFonts w:ascii="宋体" w:hAnsi="宋体" w:eastAsia="宋体" w:cs="宋体"/>
      <w:b/>
      <w:kern w:val="44"/>
      <w:sz w:val="48"/>
      <w:szCs w:val="48"/>
      <w:lang w:val="en-US" w:eastAsia="zh-CN" w:bidi="ar-SA"/>
    </w:rPr>
  </w:style>
  <w:style w:type="character" w:customStyle="1" w:styleId="18">
    <w:name w:val="heading 2 Char"/>
    <w:basedOn w:val="14"/>
    <w:link w:val="5"/>
    <w:uiPriority w:val="0"/>
    <w:rPr>
      <w:rFonts w:ascii="Times New Roman" w:hAnsi="Calibri" w:eastAsia="黑体" w:cs="Arial"/>
      <w:b/>
      <w:bCs/>
      <w:kern w:val="2"/>
      <w:sz w:val="32"/>
      <w:szCs w:val="32"/>
      <w:lang w:val="en-US" w:eastAsia="zh-CN" w:bidi="ar-SA"/>
    </w:rPr>
  </w:style>
  <w:style w:type="character" w:customStyle="1" w:styleId="19">
    <w:name w:val="heading 3 Char"/>
    <w:basedOn w:val="14"/>
    <w:link w:val="6"/>
    <w:uiPriority w:val="0"/>
    <w:rPr>
      <w:rFonts w:ascii="Calibri" w:hAnsi="Calibri" w:eastAsia="宋体" w:cs="Arial"/>
      <w:b/>
      <w:bCs/>
      <w:kern w:val="2"/>
      <w:sz w:val="32"/>
      <w:szCs w:val="32"/>
      <w:lang w:val="en-US" w:eastAsia="zh-CN" w:bidi="ar-SA"/>
    </w:rPr>
  </w:style>
  <w:style w:type="character" w:customStyle="1" w:styleId="20">
    <w:name w:val="font31"/>
    <w:basedOn w:val="14"/>
    <w:qFormat/>
    <w:uiPriority w:val="0"/>
    <w:rPr>
      <w:rFonts w:ascii="宋体" w:hAnsi="宋体" w:eastAsia="宋体" w:cs="宋体"/>
      <w:b/>
      <w:color w:val="000000"/>
      <w:sz w:val="36"/>
      <w:szCs w:val="36"/>
      <w:u w:val="none"/>
    </w:rPr>
  </w:style>
  <w:style w:type="paragraph" w:customStyle="1" w:styleId="21">
    <w:name w:val="[Normal]"/>
    <w:qFormat/>
    <w:uiPriority w:val="0"/>
    <w:rPr>
      <w:rFonts w:ascii="宋体" w:hAnsi="宋体" w:eastAsia="宋体" w:cs="Times New Roman"/>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990D667A-D268-4199-8DA1-D113A2BAF5F6}">
  <ds:schemaRefs/>
</ds:datastoreItem>
</file>

<file path=docProps/app.xml><?xml version="1.0" encoding="utf-8"?>
<Properties xmlns="http://schemas.openxmlformats.org/officeDocument/2006/extended-properties" xmlns:vt="http://schemas.openxmlformats.org/officeDocument/2006/docPropsVTypes">
  <Template>Normal.eit</Template>
  <Company>微软中国</Company>
  <Pages>12</Pages>
  <Words>531</Words>
  <Characters>535</Characters>
  <Lines>0</Lines>
  <Paragraphs>47</Paragraphs>
  <TotalTime>6</TotalTime>
  <ScaleCrop>false</ScaleCrop>
  <LinksUpToDate>false</LinksUpToDate>
  <CharactersWithSpaces>535</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忘忧鸭</cp:lastModifiedBy>
  <cp:lastPrinted>2021-03-24T07:28:00Z</cp:lastPrinted>
  <dcterms:modified xsi:type="dcterms:W3CDTF">2025-04-09T02:29:26Z</dcterms:modified>
  <cp:revision>77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43EBCF31D9024DB1A379C94CCCA5C7B8_13</vt:lpwstr>
  </property>
  <property fmtid="{D5CDD505-2E9C-101B-9397-08002B2CF9AE}" pid="4" name="KSOTemplateDocerSaveRecord">
    <vt:lpwstr>eyJoZGlkIjoiOGFhMmUxMGIxMzc1YTY4MDkyMzMxMjA0YTU2YTViOGEiLCJ1c2VySWQiOiI2MTE3MjA3NDYifQ==</vt:lpwstr>
  </property>
</Properties>
</file>