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7061CF">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14:paraId="6FA4EB10">
      <w:pPr>
        <w:spacing w:line="480" w:lineRule="exact"/>
        <w:jc w:val="center"/>
        <w:rPr>
          <w:rFonts w:ascii="宋体" w:hAnsi="宋体"/>
          <w:b/>
          <w:sz w:val="44"/>
          <w:szCs w:val="44"/>
        </w:rPr>
      </w:pPr>
      <w:r>
        <w:rPr>
          <w:rFonts w:hint="eastAsia" w:ascii="宋体" w:hAnsi="宋体"/>
          <w:b/>
          <w:sz w:val="44"/>
          <w:szCs w:val="44"/>
        </w:rPr>
        <w:t>隆尧县退役军人事务局2021年</w:t>
      </w:r>
    </w:p>
    <w:p w14:paraId="29BB325B">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7F90D220">
      <w:pPr>
        <w:spacing w:line="480" w:lineRule="exact"/>
        <w:jc w:val="left"/>
        <w:rPr>
          <w:rFonts w:ascii="仿宋" w:hAnsi="仿宋" w:eastAsia="仿宋" w:cs="仿宋"/>
          <w:sz w:val="24"/>
          <w:szCs w:val="24"/>
        </w:rPr>
      </w:pPr>
      <w:r>
        <w:rPr>
          <w:rFonts w:hint="eastAsia" w:ascii="仿宋" w:hAnsi="仿宋" w:eastAsia="仿宋" w:cs="仿宋"/>
          <w:sz w:val="24"/>
          <w:szCs w:val="24"/>
        </w:rPr>
        <w:t xml:space="preserve">单位名称:        (公章)         单位负责人: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14:paraId="587C55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B2635D2">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537C81BF">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3AF2F38F">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78ADB4EE">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14:paraId="50AAABFA">
            <w:pPr>
              <w:widowControl/>
              <w:spacing w:line="240" w:lineRule="exact"/>
              <w:jc w:val="left"/>
              <w:rPr>
                <w:b/>
              </w:rPr>
            </w:pPr>
            <w:r>
              <w:rPr>
                <w:rFonts w:ascii="仿宋_GB2312" w:hAnsi="新宋体" w:eastAsia="仿宋_GB2312" w:cs="仿宋_GB2312"/>
                <w:b/>
                <w:kern w:val="0"/>
                <w:sz w:val="24"/>
                <w:szCs w:val="24"/>
              </w:rPr>
              <w:t>得分</w:t>
            </w:r>
          </w:p>
        </w:tc>
      </w:tr>
      <w:tr w14:paraId="23E3CB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1C9C757">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5689E2D">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D602201">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6D4D13D6">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78B614B3">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14:paraId="61C7F82F">
            <w:pPr>
              <w:rPr>
                <w:rFonts w:ascii="宋体"/>
                <w:szCs w:val="21"/>
              </w:rPr>
            </w:pPr>
          </w:p>
        </w:tc>
      </w:tr>
      <w:tr w14:paraId="165577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1EEF622D">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14:paraId="6C179306">
            <w:pPr>
              <w:widowControl/>
              <w:spacing w:line="240" w:lineRule="exact"/>
              <w:jc w:val="left"/>
              <w:rPr>
                <w:szCs w:val="21"/>
              </w:rPr>
            </w:pPr>
          </w:p>
        </w:tc>
      </w:tr>
      <w:tr w14:paraId="1FED22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4BB74FCC">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4B3BAF8">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1A4F3200">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00E10C0C">
            <w:pPr>
              <w:widowControl/>
              <w:spacing w:line="240" w:lineRule="exact"/>
              <w:jc w:val="left"/>
              <w:rPr>
                <w:rFonts w:ascii="仿宋_GB2312" w:hAnsi="新宋体" w:eastAsia="仿宋_GB2312" w:cs="仿宋_GB2312"/>
                <w:kern w:val="0"/>
                <w:szCs w:val="21"/>
              </w:rPr>
            </w:pPr>
          </w:p>
          <w:p w14:paraId="7A21DAB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252EC293">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241A5864">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39650FA2">
            <w:pPr>
              <w:widowControl/>
              <w:spacing w:line="240" w:lineRule="exact"/>
              <w:jc w:val="left"/>
              <w:rPr>
                <w:szCs w:val="21"/>
              </w:rPr>
            </w:pPr>
            <w:r>
              <w:rPr>
                <w:rFonts w:ascii="仿宋_GB2312" w:hAnsi="新宋体" w:eastAsia="仿宋_GB2312" w:cs="仿宋_GB2312"/>
                <w:kern w:val="0"/>
                <w:szCs w:val="21"/>
              </w:rPr>
              <w:t>符合（1）；</w:t>
            </w:r>
          </w:p>
          <w:p w14:paraId="7802AD12">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3147DEA8">
            <w:pPr>
              <w:widowControl/>
              <w:spacing w:line="240" w:lineRule="exact"/>
              <w:jc w:val="left"/>
              <w:rPr>
                <w:rFonts w:hint="eastAsia"/>
                <w:szCs w:val="21"/>
              </w:rPr>
            </w:pPr>
            <w:r>
              <w:rPr>
                <w:rFonts w:hint="eastAsia"/>
                <w:szCs w:val="21"/>
              </w:rPr>
              <w:t>1</w:t>
            </w:r>
          </w:p>
          <w:p w14:paraId="5FC4BB6F">
            <w:pPr>
              <w:widowControl/>
              <w:spacing w:line="240" w:lineRule="exact"/>
              <w:jc w:val="left"/>
              <w:rPr>
                <w:szCs w:val="21"/>
              </w:rPr>
            </w:pPr>
          </w:p>
        </w:tc>
      </w:tr>
      <w:tr w14:paraId="458823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03350BA">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D2ABE5F">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0D767FB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61FE99E6">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03B237BC">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429369F6">
            <w:pPr>
              <w:widowControl/>
              <w:spacing w:line="240" w:lineRule="exact"/>
              <w:jc w:val="left"/>
              <w:rPr>
                <w:szCs w:val="21"/>
              </w:rPr>
            </w:pPr>
            <w:r>
              <w:rPr>
                <w:rFonts w:ascii="仿宋_GB2312" w:hAnsi="新宋体" w:eastAsia="仿宋_GB2312" w:cs="仿宋_GB2312"/>
                <w:kern w:val="0"/>
                <w:szCs w:val="21"/>
              </w:rPr>
              <w:t>评价要点：</w:t>
            </w:r>
          </w:p>
          <w:p w14:paraId="338D83FC">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41B6B57F">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21140631">
            <w:pPr>
              <w:widowControl/>
              <w:spacing w:line="240" w:lineRule="exact"/>
              <w:jc w:val="left"/>
              <w:rPr>
                <w:szCs w:val="21"/>
              </w:rPr>
            </w:pPr>
            <w:r>
              <w:rPr>
                <w:rFonts w:ascii="仿宋_GB2312" w:hAnsi="新宋体" w:eastAsia="仿宋_GB2312" w:cs="仿宋_GB2312"/>
                <w:kern w:val="0"/>
                <w:szCs w:val="21"/>
              </w:rPr>
              <w:t>全部符合（2）；</w:t>
            </w:r>
          </w:p>
          <w:p w14:paraId="262706A8">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29541738">
            <w:pPr>
              <w:widowControl/>
              <w:spacing w:line="240" w:lineRule="exact"/>
              <w:jc w:val="left"/>
              <w:rPr>
                <w:szCs w:val="21"/>
              </w:rPr>
            </w:pPr>
            <w:r>
              <w:rPr>
                <w:rFonts w:hint="eastAsia"/>
                <w:szCs w:val="21"/>
              </w:rPr>
              <w:t>2</w:t>
            </w:r>
          </w:p>
        </w:tc>
      </w:tr>
      <w:tr w14:paraId="0C703A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EEB10BD">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FB31643">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12E0EF9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35221A6A">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61683130">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06D1F1CE">
            <w:pPr>
              <w:widowControl/>
              <w:spacing w:line="240" w:lineRule="exact"/>
              <w:jc w:val="left"/>
              <w:rPr>
                <w:szCs w:val="21"/>
              </w:rPr>
            </w:pPr>
            <w:r>
              <w:rPr>
                <w:rFonts w:ascii="仿宋_GB2312" w:hAnsi="新宋体" w:eastAsia="仿宋_GB2312" w:cs="仿宋_GB2312"/>
                <w:kern w:val="0"/>
                <w:szCs w:val="21"/>
              </w:rPr>
              <w:t>评价要点：</w:t>
            </w:r>
          </w:p>
          <w:p w14:paraId="576D8D40">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29233E55">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7014E180">
            <w:pPr>
              <w:widowControl/>
              <w:spacing w:line="240" w:lineRule="exact"/>
              <w:jc w:val="left"/>
              <w:rPr>
                <w:szCs w:val="21"/>
              </w:rPr>
            </w:pPr>
            <w:r>
              <w:rPr>
                <w:rFonts w:ascii="仿宋_GB2312" w:hAnsi="新宋体" w:eastAsia="仿宋_GB2312" w:cs="仿宋_GB2312"/>
                <w:kern w:val="0"/>
                <w:szCs w:val="21"/>
              </w:rPr>
              <w:t>全部符合（2）；</w:t>
            </w:r>
          </w:p>
          <w:p w14:paraId="5A35202C">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73B1390F">
            <w:pPr>
              <w:widowControl/>
              <w:spacing w:line="240" w:lineRule="exact"/>
              <w:jc w:val="left"/>
              <w:rPr>
                <w:szCs w:val="21"/>
              </w:rPr>
            </w:pPr>
            <w:r>
              <w:rPr>
                <w:rFonts w:hint="eastAsia"/>
                <w:szCs w:val="21"/>
              </w:rPr>
              <w:t>2</w:t>
            </w:r>
          </w:p>
        </w:tc>
      </w:tr>
      <w:tr w14:paraId="2FA1CE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D8F871A">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3461A874">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104C3B07">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64AD05C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2B0F9F5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043F491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3CDE1AF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7EDF8F3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5851DAE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12322E8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1590CF8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50F049DC">
            <w:pPr>
              <w:widowControl/>
              <w:spacing w:line="240" w:lineRule="exact"/>
              <w:jc w:val="left"/>
              <w:rPr>
                <w:szCs w:val="21"/>
              </w:rPr>
            </w:pPr>
            <w:r>
              <w:rPr>
                <w:rFonts w:hint="eastAsia"/>
                <w:szCs w:val="21"/>
              </w:rPr>
              <w:t>1</w:t>
            </w:r>
          </w:p>
        </w:tc>
      </w:tr>
      <w:tr w14:paraId="00567B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367B1C7F">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748B2858">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4FC8F6B0">
            <w:pPr>
              <w:widowControl/>
              <w:spacing w:line="240" w:lineRule="exact"/>
              <w:jc w:val="left"/>
              <w:textAlignment w:val="center"/>
              <w:rPr>
                <w:rFonts w:ascii="仿宋" w:hAnsi="仿宋" w:eastAsia="仿宋" w:cs="仿宋"/>
                <w:kern w:val="0"/>
                <w:szCs w:val="21"/>
                <w:highlight w:val="none"/>
              </w:rPr>
            </w:pPr>
            <w:r>
              <w:rPr>
                <w:rFonts w:hint="eastAsia" w:ascii="仿宋" w:hAnsi="仿宋" w:eastAsia="仿宋" w:cs="仿宋"/>
                <w:color w:val="000000"/>
                <w:kern w:val="0"/>
                <w:szCs w:val="21"/>
                <w:highlight w:val="none"/>
                <w:lang w:eastAsia="zh-CN"/>
              </w:rPr>
              <w:t>“三公”经费</w:t>
            </w:r>
            <w:r>
              <w:rPr>
                <w:rFonts w:hint="eastAsia" w:ascii="仿宋" w:hAnsi="仿宋" w:eastAsia="仿宋" w:cs="仿宋"/>
                <w:color w:val="000000"/>
                <w:kern w:val="0"/>
                <w:szCs w:val="21"/>
                <w:highlight w:val="none"/>
              </w:rPr>
              <w:t>变动率（2分）</w:t>
            </w:r>
          </w:p>
        </w:tc>
        <w:tc>
          <w:tcPr>
            <w:tcW w:w="3260" w:type="dxa"/>
            <w:tcBorders>
              <w:top w:val="single" w:color="auto" w:sz="4" w:space="0"/>
              <w:left w:val="single" w:color="auto" w:sz="4" w:space="0"/>
              <w:right w:val="single" w:color="auto" w:sz="4" w:space="0"/>
            </w:tcBorders>
            <w:vAlign w:val="center"/>
          </w:tcPr>
          <w:p w14:paraId="461B1991">
            <w:pPr>
              <w:widowControl/>
              <w:spacing w:line="240" w:lineRule="exact"/>
              <w:jc w:val="left"/>
              <w:textAlignment w:val="center"/>
              <w:rPr>
                <w:rFonts w:ascii="仿宋" w:hAnsi="仿宋" w:eastAsia="仿宋" w:cs="仿宋"/>
                <w:kern w:val="0"/>
                <w:szCs w:val="21"/>
                <w:highlight w:val="none"/>
              </w:rPr>
            </w:pPr>
            <w:r>
              <w:rPr>
                <w:rFonts w:hint="eastAsia" w:ascii="仿宋" w:hAnsi="仿宋" w:eastAsia="仿宋" w:cs="仿宋"/>
                <w:color w:val="000000"/>
                <w:kern w:val="0"/>
                <w:szCs w:val="21"/>
                <w:highlight w:val="none"/>
              </w:rPr>
              <w:t>部门本年度</w:t>
            </w:r>
            <w:r>
              <w:rPr>
                <w:rFonts w:hint="eastAsia" w:ascii="仿宋" w:hAnsi="仿宋" w:eastAsia="仿宋" w:cs="仿宋"/>
                <w:color w:val="000000"/>
                <w:kern w:val="0"/>
                <w:szCs w:val="21"/>
                <w:highlight w:val="none"/>
                <w:lang w:eastAsia="zh-CN"/>
              </w:rPr>
              <w:t>“三公”经费</w:t>
            </w:r>
            <w:r>
              <w:rPr>
                <w:rFonts w:hint="eastAsia" w:ascii="仿宋" w:hAnsi="仿宋" w:eastAsia="仿宋" w:cs="仿宋"/>
                <w:color w:val="000000"/>
                <w:kern w:val="0"/>
                <w:szCs w:val="21"/>
                <w:highlight w:val="none"/>
              </w:rPr>
              <w:t>预算数与上年度</w:t>
            </w:r>
            <w:r>
              <w:rPr>
                <w:rFonts w:hint="eastAsia" w:ascii="仿宋" w:hAnsi="仿宋" w:eastAsia="仿宋" w:cs="仿宋"/>
                <w:color w:val="000000"/>
                <w:kern w:val="0"/>
                <w:szCs w:val="21"/>
                <w:highlight w:val="none"/>
                <w:lang w:eastAsia="zh-CN"/>
              </w:rPr>
              <w:t>“三公”经费</w:t>
            </w:r>
            <w:r>
              <w:rPr>
                <w:rFonts w:hint="eastAsia" w:ascii="仿宋" w:hAnsi="仿宋" w:eastAsia="仿宋" w:cs="仿宋"/>
                <w:color w:val="000000"/>
                <w:kern w:val="0"/>
                <w:szCs w:val="21"/>
                <w:highlight w:val="none"/>
              </w:rPr>
              <w:t>预算数的变动比率，用以</w:t>
            </w:r>
            <w:bookmarkStart w:id="0" w:name="_GoBack"/>
            <w:bookmarkEnd w:id="0"/>
            <w:r>
              <w:rPr>
                <w:rFonts w:hint="eastAsia" w:ascii="仿宋" w:hAnsi="仿宋" w:eastAsia="仿宋" w:cs="仿宋"/>
                <w:color w:val="000000"/>
                <w:kern w:val="0"/>
                <w:szCs w:val="21"/>
                <w:highlight w:val="none"/>
              </w:rPr>
              <w:t>反映和考核部门对控制重点行政成本的努力程度。</w:t>
            </w:r>
            <w:r>
              <w:rPr>
                <w:rFonts w:hint="eastAsia" w:ascii="仿宋" w:hAnsi="仿宋" w:eastAsia="仿宋" w:cs="仿宋"/>
                <w:color w:val="000000"/>
                <w:kern w:val="0"/>
                <w:szCs w:val="21"/>
                <w:highlight w:val="none"/>
                <w:lang w:eastAsia="zh-CN"/>
              </w:rPr>
              <w:t>“三公”经费</w:t>
            </w:r>
            <w:r>
              <w:rPr>
                <w:rFonts w:hint="eastAsia" w:ascii="仿宋" w:hAnsi="仿宋" w:eastAsia="仿宋" w:cs="仿宋"/>
                <w:color w:val="000000"/>
                <w:kern w:val="0"/>
                <w:szCs w:val="21"/>
                <w:highlight w:val="none"/>
              </w:rPr>
              <w:t>变动率=[（本年度</w:t>
            </w:r>
            <w:r>
              <w:rPr>
                <w:rFonts w:hint="eastAsia" w:ascii="仿宋" w:hAnsi="仿宋" w:eastAsia="仿宋" w:cs="仿宋"/>
                <w:color w:val="000000"/>
                <w:kern w:val="0"/>
                <w:szCs w:val="21"/>
                <w:highlight w:val="none"/>
                <w:lang w:eastAsia="zh-CN"/>
              </w:rPr>
              <w:t>“三公”经费</w:t>
            </w:r>
            <w:r>
              <w:rPr>
                <w:rFonts w:hint="eastAsia" w:ascii="仿宋" w:hAnsi="仿宋" w:eastAsia="仿宋" w:cs="仿宋"/>
                <w:color w:val="000000"/>
                <w:kern w:val="0"/>
                <w:szCs w:val="21"/>
                <w:highlight w:val="none"/>
              </w:rPr>
              <w:t>总额-上年度</w:t>
            </w:r>
            <w:r>
              <w:rPr>
                <w:rFonts w:hint="eastAsia" w:ascii="仿宋" w:hAnsi="仿宋" w:eastAsia="仿宋" w:cs="仿宋"/>
                <w:color w:val="000000"/>
                <w:kern w:val="0"/>
                <w:szCs w:val="21"/>
                <w:highlight w:val="none"/>
                <w:lang w:eastAsia="zh-CN"/>
              </w:rPr>
              <w:t>“三公”经费</w:t>
            </w:r>
            <w:r>
              <w:rPr>
                <w:rFonts w:hint="eastAsia" w:ascii="仿宋" w:hAnsi="仿宋" w:eastAsia="仿宋" w:cs="仿宋"/>
                <w:color w:val="000000"/>
                <w:kern w:val="0"/>
                <w:szCs w:val="21"/>
                <w:highlight w:val="none"/>
              </w:rPr>
              <w:t>总额）/上年度</w:t>
            </w:r>
            <w:r>
              <w:rPr>
                <w:rFonts w:hint="eastAsia" w:ascii="仿宋" w:hAnsi="仿宋" w:eastAsia="仿宋" w:cs="仿宋"/>
                <w:color w:val="000000"/>
                <w:kern w:val="0"/>
                <w:szCs w:val="21"/>
                <w:highlight w:val="none"/>
                <w:lang w:eastAsia="zh-CN"/>
              </w:rPr>
              <w:t>“三公”经费</w:t>
            </w:r>
            <w:r>
              <w:rPr>
                <w:rFonts w:hint="eastAsia" w:ascii="仿宋" w:hAnsi="仿宋" w:eastAsia="仿宋" w:cs="仿宋"/>
                <w:color w:val="000000"/>
                <w:kern w:val="0"/>
                <w:szCs w:val="21"/>
                <w:highlight w:val="none"/>
              </w:rPr>
              <w:t>总额]×100%。</w:t>
            </w:r>
            <w:r>
              <w:rPr>
                <w:rFonts w:hint="eastAsia" w:ascii="仿宋" w:hAnsi="仿宋" w:eastAsia="仿宋" w:cs="仿宋"/>
                <w:color w:val="000000"/>
                <w:kern w:val="0"/>
                <w:szCs w:val="21"/>
                <w:highlight w:val="none"/>
              </w:rPr>
              <w:br w:type="textWrapping"/>
            </w:r>
            <w:r>
              <w:rPr>
                <w:rFonts w:hint="eastAsia" w:ascii="仿宋" w:hAnsi="仿宋" w:eastAsia="仿宋" w:cs="仿宋"/>
                <w:color w:val="000000"/>
                <w:kern w:val="0"/>
                <w:szCs w:val="21"/>
                <w:highlight w:val="none"/>
                <w:lang w:eastAsia="zh-CN"/>
              </w:rPr>
              <w:t>“三公”经费</w:t>
            </w:r>
            <w:r>
              <w:rPr>
                <w:rFonts w:hint="eastAsia" w:ascii="仿宋" w:hAnsi="仿宋" w:eastAsia="仿宋" w:cs="仿宋"/>
                <w:color w:val="000000"/>
                <w:kern w:val="0"/>
                <w:szCs w:val="21"/>
                <w:highlight w:val="none"/>
              </w:rPr>
              <w:t>：年度预算安排的因公出国（境）费、公务车辆购置及运行费和公务招待费。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6DBFB44D">
            <w:pPr>
              <w:widowControl/>
              <w:pBdr>
                <w:top w:val="none" w:color="000000" w:sz="0" w:space="0"/>
                <w:left w:val="none" w:color="000000" w:sz="0" w:space="0"/>
                <w:bottom w:val="none" w:color="000000" w:sz="0" w:space="0"/>
                <w:right w:val="none" w:color="000000" w:sz="0" w:space="0"/>
              </w:pBdr>
              <w:spacing w:line="240" w:lineRule="exact"/>
              <w:jc w:val="left"/>
              <w:rPr>
                <w:szCs w:val="21"/>
                <w:highlight w:val="none"/>
              </w:rPr>
            </w:pPr>
            <w:r>
              <w:rPr>
                <w:rFonts w:ascii="仿宋_GB2312" w:hAnsi="新宋体" w:eastAsia="仿宋_GB2312" w:cs="仿宋_GB2312"/>
                <w:kern w:val="0"/>
                <w:szCs w:val="21"/>
                <w:highlight w:val="none"/>
              </w:rPr>
              <w:t>1.</w:t>
            </w:r>
            <w:r>
              <w:rPr>
                <w:rFonts w:hint="eastAsia" w:ascii="仿宋" w:hAnsi="仿宋" w:eastAsia="仿宋" w:cs="仿宋"/>
                <w:color w:val="000000"/>
                <w:kern w:val="0"/>
                <w:szCs w:val="21"/>
                <w:highlight w:val="none"/>
                <w:lang w:eastAsia="zh-CN"/>
              </w:rPr>
              <w:t>“三公”经费</w:t>
            </w:r>
            <w:r>
              <w:rPr>
                <w:rFonts w:hint="eastAsia" w:ascii="仿宋" w:hAnsi="仿宋" w:eastAsia="仿宋" w:cs="仿宋"/>
                <w:color w:val="000000"/>
                <w:kern w:val="0"/>
                <w:szCs w:val="21"/>
                <w:highlight w:val="none"/>
              </w:rPr>
              <w:t>变动率</w:t>
            </w:r>
            <w:r>
              <w:rPr>
                <w:rFonts w:ascii="仿宋_GB2312" w:hAnsi="新宋体" w:eastAsia="仿宋_GB2312" w:cs="仿宋_GB2312"/>
                <w:kern w:val="0"/>
                <w:szCs w:val="21"/>
                <w:highlight w:val="none"/>
              </w:rPr>
              <w:t>小于或等于</w:t>
            </w:r>
            <w:r>
              <w:rPr>
                <w:rFonts w:hint="eastAsia" w:ascii="仿宋_GB2312" w:hAnsi="新宋体" w:eastAsia="仿宋_GB2312" w:cs="仿宋_GB2312"/>
                <w:kern w:val="0"/>
                <w:szCs w:val="21"/>
                <w:highlight w:val="none"/>
              </w:rPr>
              <w:t>-5</w:t>
            </w:r>
            <w:r>
              <w:rPr>
                <w:rFonts w:ascii="仿宋_GB2312" w:hAnsi="新宋体" w:eastAsia="仿宋_GB2312" w:cs="仿宋_GB2312"/>
                <w:kern w:val="0"/>
                <w:szCs w:val="21"/>
                <w:highlight w:val="none"/>
              </w:rPr>
              <w:t>%的，得满分；</w:t>
            </w:r>
          </w:p>
          <w:p w14:paraId="0A2C4AB3">
            <w:pPr>
              <w:widowControl/>
              <w:pBdr>
                <w:top w:val="none" w:color="000000" w:sz="0" w:space="0"/>
                <w:left w:val="none" w:color="000000" w:sz="0" w:space="0"/>
                <w:bottom w:val="none" w:color="000000" w:sz="0" w:space="0"/>
                <w:right w:val="none" w:color="000000" w:sz="0" w:space="0"/>
              </w:pBdr>
              <w:spacing w:line="240" w:lineRule="exact"/>
              <w:jc w:val="left"/>
              <w:rPr>
                <w:szCs w:val="21"/>
                <w:highlight w:val="none"/>
              </w:rPr>
            </w:pPr>
            <w:r>
              <w:rPr>
                <w:rFonts w:ascii="仿宋_GB2312" w:hAnsi="新宋体" w:eastAsia="仿宋_GB2312" w:cs="仿宋_GB2312"/>
                <w:kern w:val="0"/>
                <w:szCs w:val="21"/>
                <w:highlight w:val="none"/>
              </w:rPr>
              <w:t>2.</w:t>
            </w:r>
            <w:r>
              <w:rPr>
                <w:rFonts w:hint="eastAsia" w:ascii="仿宋" w:hAnsi="仿宋" w:eastAsia="仿宋" w:cs="仿宋"/>
                <w:color w:val="000000"/>
                <w:kern w:val="0"/>
                <w:szCs w:val="21"/>
                <w:highlight w:val="none"/>
                <w:lang w:eastAsia="zh-CN"/>
              </w:rPr>
              <w:t>“三公”经费</w:t>
            </w:r>
            <w:r>
              <w:rPr>
                <w:rFonts w:hint="eastAsia" w:ascii="仿宋" w:hAnsi="仿宋" w:eastAsia="仿宋" w:cs="仿宋"/>
                <w:color w:val="000000"/>
                <w:kern w:val="0"/>
                <w:szCs w:val="21"/>
                <w:highlight w:val="none"/>
              </w:rPr>
              <w:t>变动率</w:t>
            </w:r>
            <w:r>
              <w:rPr>
                <w:rFonts w:ascii="仿宋_GB2312" w:hAnsi="新宋体" w:eastAsia="仿宋_GB2312" w:cs="仿宋_GB2312"/>
                <w:kern w:val="0"/>
                <w:szCs w:val="21"/>
                <w:highlight w:val="none"/>
              </w:rPr>
              <w:t>大于或等于1</w:t>
            </w:r>
            <w:r>
              <w:rPr>
                <w:rFonts w:hint="eastAsia" w:ascii="仿宋_GB2312" w:hAnsi="新宋体" w:eastAsia="仿宋_GB2312" w:cs="仿宋_GB2312"/>
                <w:kern w:val="0"/>
                <w:szCs w:val="21"/>
                <w:highlight w:val="none"/>
              </w:rPr>
              <w:t>0</w:t>
            </w:r>
            <w:r>
              <w:rPr>
                <w:rFonts w:ascii="仿宋_GB2312" w:hAnsi="新宋体" w:eastAsia="仿宋_GB2312" w:cs="仿宋_GB2312"/>
                <w:kern w:val="0"/>
                <w:szCs w:val="21"/>
                <w:highlight w:val="none"/>
              </w:rPr>
              <w:t>%的，得0分；</w:t>
            </w:r>
          </w:p>
          <w:p w14:paraId="3DDCEFD9">
            <w:pPr>
              <w:widowControl/>
              <w:pBdr>
                <w:top w:val="none" w:color="000000" w:sz="0" w:space="0"/>
                <w:left w:val="none" w:color="000000" w:sz="0" w:space="0"/>
                <w:bottom w:val="none" w:color="000000" w:sz="0" w:space="0"/>
                <w:right w:val="none" w:color="000000" w:sz="0" w:space="0"/>
              </w:pBdr>
              <w:spacing w:line="240" w:lineRule="exact"/>
              <w:jc w:val="left"/>
              <w:rPr>
                <w:szCs w:val="21"/>
                <w:highlight w:val="none"/>
              </w:rPr>
            </w:pPr>
            <w:r>
              <w:rPr>
                <w:rFonts w:ascii="仿宋_GB2312" w:hAnsi="新宋体" w:eastAsia="仿宋_GB2312" w:cs="仿宋_GB2312"/>
                <w:kern w:val="0"/>
                <w:szCs w:val="21"/>
                <w:highlight w:val="none"/>
              </w:rPr>
              <w:t>3.在职人员控制率在</w:t>
            </w:r>
            <w:r>
              <w:rPr>
                <w:rFonts w:hint="eastAsia" w:ascii="仿宋_GB2312" w:hAnsi="新宋体" w:eastAsia="仿宋_GB2312" w:cs="仿宋_GB2312"/>
                <w:kern w:val="0"/>
                <w:szCs w:val="21"/>
                <w:highlight w:val="none"/>
              </w:rPr>
              <w:t>-5</w:t>
            </w:r>
            <w:r>
              <w:rPr>
                <w:rFonts w:ascii="仿宋_GB2312" w:hAnsi="新宋体" w:eastAsia="仿宋_GB2312" w:cs="仿宋_GB2312"/>
                <w:kern w:val="0"/>
                <w:szCs w:val="21"/>
                <w:highlight w:val="none"/>
              </w:rPr>
              <w:t>%-</w:t>
            </w:r>
            <w:r>
              <w:rPr>
                <w:rFonts w:hint="eastAsia" w:ascii="仿宋_GB2312" w:hAnsi="新宋体" w:eastAsia="仿宋_GB2312" w:cs="仿宋_GB2312"/>
                <w:kern w:val="0"/>
                <w:szCs w:val="21"/>
                <w:highlight w:val="none"/>
              </w:rPr>
              <w:t>10</w:t>
            </w:r>
            <w:r>
              <w:rPr>
                <w:rFonts w:ascii="仿宋_GB2312" w:hAnsi="新宋体" w:eastAsia="仿宋_GB2312" w:cs="仿宋_GB2312"/>
                <w:kern w:val="0"/>
                <w:szCs w:val="21"/>
                <w:highlight w:val="none"/>
              </w:rPr>
              <w:t>%之间的，在0分和满分之间计算确定：</w:t>
            </w:r>
          </w:p>
          <w:p w14:paraId="341B7218">
            <w:pPr>
              <w:widowControl/>
              <w:spacing w:line="240" w:lineRule="exact"/>
              <w:jc w:val="left"/>
              <w:textAlignment w:val="center"/>
              <w:rPr>
                <w:rFonts w:ascii="仿宋" w:hAnsi="仿宋" w:eastAsia="仿宋" w:cs="仿宋"/>
                <w:kern w:val="0"/>
                <w:szCs w:val="21"/>
                <w:highlight w:val="none"/>
              </w:rPr>
            </w:pPr>
            <w:r>
              <w:rPr>
                <w:rFonts w:ascii="仿宋_GB2312" w:hAnsi="新宋体" w:eastAsia="仿宋_GB2312" w:cs="仿宋_GB2312"/>
                <w:kern w:val="0"/>
                <w:szCs w:val="21"/>
                <w:highlight w:val="none"/>
              </w:rPr>
              <w:t>得分=[max（</w:t>
            </w:r>
            <w:r>
              <w:rPr>
                <w:rFonts w:hint="eastAsia" w:ascii="仿宋" w:hAnsi="仿宋" w:eastAsia="仿宋" w:cs="仿宋"/>
                <w:color w:val="000000"/>
                <w:kern w:val="0"/>
                <w:szCs w:val="21"/>
                <w:highlight w:val="none"/>
                <w:lang w:eastAsia="zh-CN"/>
              </w:rPr>
              <w:t>“三公”经费</w:t>
            </w:r>
            <w:r>
              <w:rPr>
                <w:rFonts w:hint="eastAsia" w:ascii="仿宋" w:hAnsi="仿宋" w:eastAsia="仿宋" w:cs="仿宋"/>
                <w:color w:val="000000"/>
                <w:kern w:val="0"/>
                <w:szCs w:val="21"/>
                <w:highlight w:val="none"/>
              </w:rPr>
              <w:t>变动率</w:t>
            </w:r>
            <w:r>
              <w:rPr>
                <w:rFonts w:ascii="仿宋_GB2312" w:hAnsi="新宋体" w:eastAsia="仿宋_GB2312" w:cs="仿宋_GB2312"/>
                <w:kern w:val="0"/>
                <w:szCs w:val="21"/>
                <w:highlight w:val="none"/>
              </w:rPr>
              <w:t>）－</w:t>
            </w:r>
            <w:r>
              <w:rPr>
                <w:rFonts w:hint="eastAsia" w:ascii="仿宋" w:hAnsi="仿宋" w:eastAsia="仿宋" w:cs="仿宋"/>
                <w:color w:val="000000"/>
                <w:kern w:val="0"/>
                <w:szCs w:val="21"/>
                <w:highlight w:val="none"/>
                <w:lang w:eastAsia="zh-CN"/>
              </w:rPr>
              <w:t>“三公”经费</w:t>
            </w:r>
            <w:r>
              <w:rPr>
                <w:rFonts w:hint="eastAsia" w:ascii="仿宋" w:hAnsi="仿宋" w:eastAsia="仿宋" w:cs="仿宋"/>
                <w:color w:val="000000"/>
                <w:kern w:val="0"/>
                <w:szCs w:val="21"/>
                <w:highlight w:val="none"/>
              </w:rPr>
              <w:t>变动率</w:t>
            </w:r>
            <w:r>
              <w:rPr>
                <w:rFonts w:ascii="仿宋_GB2312" w:hAnsi="新宋体" w:eastAsia="仿宋_GB2312" w:cs="仿宋_GB2312"/>
                <w:kern w:val="0"/>
                <w:szCs w:val="21"/>
                <w:highlight w:val="none"/>
              </w:rPr>
              <w:t>]/[max（</w:t>
            </w:r>
            <w:r>
              <w:rPr>
                <w:rFonts w:hint="eastAsia" w:ascii="仿宋" w:hAnsi="仿宋" w:eastAsia="仿宋" w:cs="仿宋"/>
                <w:color w:val="000000"/>
                <w:kern w:val="0"/>
                <w:szCs w:val="21"/>
                <w:highlight w:val="none"/>
                <w:lang w:eastAsia="zh-CN"/>
              </w:rPr>
              <w:t>“三公”经费</w:t>
            </w:r>
            <w:r>
              <w:rPr>
                <w:rFonts w:hint="eastAsia" w:ascii="仿宋" w:hAnsi="仿宋" w:eastAsia="仿宋" w:cs="仿宋"/>
                <w:color w:val="000000"/>
                <w:kern w:val="0"/>
                <w:szCs w:val="21"/>
                <w:highlight w:val="none"/>
              </w:rPr>
              <w:t>变动率</w:t>
            </w:r>
            <w:r>
              <w:rPr>
                <w:rFonts w:ascii="仿宋_GB2312" w:hAnsi="新宋体" w:eastAsia="仿宋_GB2312" w:cs="仿宋_GB2312"/>
                <w:kern w:val="0"/>
                <w:szCs w:val="21"/>
                <w:highlight w:val="none"/>
              </w:rPr>
              <w:t>）－min（</w:t>
            </w:r>
            <w:r>
              <w:rPr>
                <w:rFonts w:hint="eastAsia" w:ascii="仿宋" w:hAnsi="仿宋" w:eastAsia="仿宋" w:cs="仿宋"/>
                <w:color w:val="000000"/>
                <w:kern w:val="0"/>
                <w:szCs w:val="21"/>
                <w:highlight w:val="none"/>
                <w:lang w:eastAsia="zh-CN"/>
              </w:rPr>
              <w:t>“三公”经费</w:t>
            </w:r>
            <w:r>
              <w:rPr>
                <w:rFonts w:hint="eastAsia" w:ascii="仿宋" w:hAnsi="仿宋" w:eastAsia="仿宋" w:cs="仿宋"/>
                <w:color w:val="000000"/>
                <w:kern w:val="0"/>
                <w:szCs w:val="21"/>
                <w:highlight w:val="none"/>
              </w:rPr>
              <w:t>变动率</w:t>
            </w:r>
            <w:r>
              <w:rPr>
                <w:rFonts w:ascii="仿宋_GB2312" w:hAnsi="新宋体" w:eastAsia="仿宋_GB2312" w:cs="仿宋_GB2312"/>
                <w:kern w:val="0"/>
                <w:szCs w:val="21"/>
                <w:highlight w:val="none"/>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50762AAA">
            <w:pPr>
              <w:widowControl/>
              <w:spacing w:line="240" w:lineRule="exact"/>
              <w:jc w:val="left"/>
              <w:rPr>
                <w:szCs w:val="21"/>
              </w:rPr>
            </w:pPr>
            <w:r>
              <w:rPr>
                <w:rFonts w:hint="eastAsia"/>
                <w:szCs w:val="21"/>
              </w:rPr>
              <w:t>2</w:t>
            </w:r>
          </w:p>
        </w:tc>
      </w:tr>
      <w:tr w14:paraId="226636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395C08A0">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242CE6C0">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4E12EC5A">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5F399794">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601E9AB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764A4A0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6AB33D6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22217FE0">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6C1F72E1">
            <w:pPr>
              <w:widowControl/>
              <w:spacing w:line="240" w:lineRule="exact"/>
              <w:jc w:val="left"/>
              <w:rPr>
                <w:szCs w:val="21"/>
              </w:rPr>
            </w:pPr>
            <w:r>
              <w:rPr>
                <w:rFonts w:hint="eastAsia"/>
                <w:szCs w:val="21"/>
              </w:rPr>
              <w:t>2</w:t>
            </w:r>
          </w:p>
        </w:tc>
      </w:tr>
      <w:tr w14:paraId="0CFC8F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2D624751">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BFEEE4D">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56D3340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2A8785E5">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6C572A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2AFF12C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6FB62D7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7C4A74A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46285D1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26719CE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73543B5A">
            <w:pPr>
              <w:widowControl/>
              <w:spacing w:line="240" w:lineRule="exact"/>
              <w:jc w:val="left"/>
              <w:rPr>
                <w:szCs w:val="21"/>
              </w:rPr>
            </w:pPr>
            <w:r>
              <w:rPr>
                <w:rFonts w:hint="eastAsia"/>
                <w:szCs w:val="21"/>
              </w:rPr>
              <w:t>5</w:t>
            </w:r>
          </w:p>
        </w:tc>
      </w:tr>
      <w:tr w14:paraId="77E883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E217B91">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2C78AC3">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1B00A1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154EFF4B">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F2B2574">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2DF959D9">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51BB6833">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3DF6D23B">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34AE5AD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06645C7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132F1D98">
            <w:pPr>
              <w:widowControl/>
              <w:spacing w:line="240" w:lineRule="exact"/>
              <w:jc w:val="left"/>
              <w:rPr>
                <w:szCs w:val="21"/>
              </w:rPr>
            </w:pPr>
            <w:r>
              <w:rPr>
                <w:rFonts w:hint="eastAsia"/>
                <w:szCs w:val="21"/>
              </w:rPr>
              <w:t>0</w:t>
            </w:r>
          </w:p>
        </w:tc>
      </w:tr>
      <w:tr w14:paraId="5855AE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BD655F8">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4E74B20">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98F2059">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7CAF38C3">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24CFAD6">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6E74529B">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4CA83D18">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7413699B">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2409E968">
            <w:pPr>
              <w:widowControl/>
              <w:spacing w:line="240" w:lineRule="exact"/>
              <w:jc w:val="left"/>
              <w:rPr>
                <w:szCs w:val="21"/>
              </w:rPr>
            </w:pPr>
            <w:r>
              <w:rPr>
                <w:rFonts w:hint="eastAsia"/>
                <w:szCs w:val="21"/>
              </w:rPr>
              <w:t>5</w:t>
            </w:r>
          </w:p>
        </w:tc>
      </w:tr>
      <w:tr w14:paraId="3BB2EF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BE9448F">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88A264A">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59BD43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7B216AC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6AA6907E">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14717F0">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5B73D915">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687C4CC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231C0F2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1CA9019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4BE6911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5F850FA7">
            <w:pPr>
              <w:widowControl/>
              <w:spacing w:line="240" w:lineRule="exact"/>
              <w:jc w:val="left"/>
              <w:rPr>
                <w:szCs w:val="21"/>
              </w:rPr>
            </w:pPr>
            <w:r>
              <w:rPr>
                <w:rFonts w:hint="eastAsia"/>
                <w:szCs w:val="21"/>
              </w:rPr>
              <w:t>3</w:t>
            </w:r>
          </w:p>
        </w:tc>
      </w:tr>
      <w:tr w14:paraId="6F522A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439B686">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2B2772F">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EC17F2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32AA16F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78AEA5DE">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8C5263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7784E39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1EFAB7C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5545BAC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2422124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4E43024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3BFE4294">
            <w:pPr>
              <w:widowControl/>
              <w:spacing w:line="240" w:lineRule="exact"/>
              <w:jc w:val="left"/>
              <w:rPr>
                <w:szCs w:val="21"/>
              </w:rPr>
            </w:pPr>
            <w:r>
              <w:rPr>
                <w:rFonts w:hint="eastAsia"/>
                <w:szCs w:val="21"/>
              </w:rPr>
              <w:t>4</w:t>
            </w:r>
          </w:p>
        </w:tc>
      </w:tr>
      <w:tr w14:paraId="4ACA03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727A36D">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FE0507E">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D19C2B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4142E55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324D25D9">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4A9DE9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015822C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68427BE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2D34207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27051D6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709C977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2FAA4C4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525C83AB">
            <w:pPr>
              <w:widowControl/>
              <w:spacing w:line="240" w:lineRule="exact"/>
              <w:jc w:val="left"/>
              <w:rPr>
                <w:szCs w:val="21"/>
              </w:rPr>
            </w:pPr>
            <w:r>
              <w:rPr>
                <w:rFonts w:hint="eastAsia"/>
                <w:szCs w:val="21"/>
              </w:rPr>
              <w:t>4</w:t>
            </w:r>
          </w:p>
        </w:tc>
      </w:tr>
      <w:tr w14:paraId="1CE3D1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E28F2ED">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211D51DA">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0410E758">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3E39376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3564935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60BCC8B5">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44625E5">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1C3FD52A">
            <w:pPr>
              <w:widowControl/>
              <w:spacing w:line="240" w:lineRule="exact"/>
              <w:jc w:val="left"/>
              <w:rPr>
                <w:szCs w:val="21"/>
              </w:rPr>
            </w:pPr>
            <w:r>
              <w:rPr>
                <w:rFonts w:ascii="仿宋_GB2312" w:hAnsi="新宋体" w:eastAsia="仿宋_GB2312" w:cs="仿宋_GB2312"/>
                <w:kern w:val="0"/>
                <w:szCs w:val="21"/>
              </w:rPr>
              <w:t>评价要点：</w:t>
            </w:r>
          </w:p>
          <w:p w14:paraId="4BD1AE7F">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5961E902">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33862A60">
            <w:pPr>
              <w:widowControl/>
              <w:spacing w:line="240" w:lineRule="exact"/>
              <w:jc w:val="left"/>
              <w:rPr>
                <w:szCs w:val="21"/>
              </w:rPr>
            </w:pPr>
            <w:r>
              <w:rPr>
                <w:rFonts w:ascii="仿宋_GB2312" w:hAnsi="新宋体" w:eastAsia="仿宋_GB2312" w:cs="仿宋_GB2312"/>
                <w:kern w:val="0"/>
                <w:szCs w:val="21"/>
              </w:rPr>
              <w:t>3.项目的重大开支经过评估论证；</w:t>
            </w:r>
          </w:p>
          <w:p w14:paraId="774E96F0">
            <w:pPr>
              <w:widowControl/>
              <w:spacing w:line="240" w:lineRule="exact"/>
              <w:jc w:val="left"/>
              <w:rPr>
                <w:szCs w:val="21"/>
              </w:rPr>
            </w:pPr>
            <w:r>
              <w:rPr>
                <w:rFonts w:ascii="仿宋_GB2312" w:hAnsi="新宋体" w:eastAsia="仿宋_GB2312" w:cs="仿宋_GB2312"/>
                <w:kern w:val="0"/>
                <w:szCs w:val="21"/>
              </w:rPr>
              <w:t>4.符合部门预算批复的用途；</w:t>
            </w:r>
          </w:p>
          <w:p w14:paraId="1E4F8F05">
            <w:pPr>
              <w:widowControl/>
              <w:spacing w:line="240" w:lineRule="exact"/>
              <w:jc w:val="left"/>
              <w:rPr>
                <w:szCs w:val="21"/>
              </w:rPr>
            </w:pPr>
            <w:r>
              <w:rPr>
                <w:rFonts w:ascii="仿宋_GB2312" w:hAnsi="新宋体" w:eastAsia="仿宋_GB2312" w:cs="仿宋_GB2312"/>
                <w:kern w:val="0"/>
                <w:szCs w:val="21"/>
              </w:rPr>
              <w:t>5.不存在截留情况；</w:t>
            </w:r>
          </w:p>
          <w:p w14:paraId="1A6C81FA">
            <w:pPr>
              <w:widowControl/>
              <w:spacing w:line="240" w:lineRule="exact"/>
              <w:jc w:val="left"/>
              <w:rPr>
                <w:szCs w:val="21"/>
              </w:rPr>
            </w:pPr>
            <w:r>
              <w:rPr>
                <w:rFonts w:ascii="仿宋_GB2312" w:hAnsi="新宋体" w:eastAsia="仿宋_GB2312" w:cs="仿宋_GB2312"/>
                <w:kern w:val="0"/>
                <w:szCs w:val="21"/>
              </w:rPr>
              <w:t>6.不存在挤占情况；</w:t>
            </w:r>
          </w:p>
          <w:p w14:paraId="2471E49B">
            <w:pPr>
              <w:widowControl/>
              <w:spacing w:line="240" w:lineRule="exact"/>
              <w:jc w:val="left"/>
              <w:rPr>
                <w:szCs w:val="21"/>
              </w:rPr>
            </w:pPr>
            <w:r>
              <w:rPr>
                <w:rFonts w:ascii="仿宋_GB2312" w:hAnsi="新宋体" w:eastAsia="仿宋_GB2312" w:cs="仿宋_GB2312"/>
                <w:kern w:val="0"/>
                <w:szCs w:val="21"/>
              </w:rPr>
              <w:t>7.不存在挪用情况；</w:t>
            </w:r>
          </w:p>
          <w:p w14:paraId="195D9438">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1F5447E6">
            <w:pPr>
              <w:widowControl/>
              <w:spacing w:line="240" w:lineRule="exact"/>
              <w:jc w:val="left"/>
              <w:rPr>
                <w:szCs w:val="21"/>
              </w:rPr>
            </w:pPr>
            <w:r>
              <w:rPr>
                <w:rFonts w:ascii="仿宋_GB2312" w:hAnsi="新宋体" w:eastAsia="仿宋_GB2312" w:cs="仿宋_GB2312"/>
                <w:kern w:val="0"/>
                <w:szCs w:val="21"/>
              </w:rPr>
              <w:t>全部符合（8）；</w:t>
            </w:r>
          </w:p>
          <w:p w14:paraId="0BBBC902">
            <w:pPr>
              <w:widowControl/>
              <w:spacing w:line="240" w:lineRule="exact"/>
              <w:jc w:val="left"/>
              <w:rPr>
                <w:szCs w:val="21"/>
              </w:rPr>
            </w:pPr>
            <w:r>
              <w:rPr>
                <w:rFonts w:ascii="仿宋_GB2312" w:hAnsi="新宋体" w:eastAsia="仿宋_GB2312" w:cs="仿宋_GB2312"/>
                <w:kern w:val="0"/>
                <w:szCs w:val="21"/>
              </w:rPr>
              <w:t>符合其中七项（6）；</w:t>
            </w:r>
          </w:p>
          <w:p w14:paraId="11565977">
            <w:pPr>
              <w:widowControl/>
              <w:spacing w:line="240" w:lineRule="exact"/>
              <w:jc w:val="left"/>
              <w:rPr>
                <w:szCs w:val="21"/>
              </w:rPr>
            </w:pPr>
            <w:r>
              <w:rPr>
                <w:rFonts w:ascii="仿宋_GB2312" w:hAnsi="新宋体" w:eastAsia="仿宋_GB2312" w:cs="仿宋_GB2312"/>
                <w:kern w:val="0"/>
                <w:szCs w:val="21"/>
              </w:rPr>
              <w:t>符合其中六项（4）；</w:t>
            </w:r>
          </w:p>
          <w:p w14:paraId="32EBF376">
            <w:pPr>
              <w:widowControl/>
              <w:spacing w:line="240" w:lineRule="exact"/>
              <w:jc w:val="left"/>
              <w:rPr>
                <w:szCs w:val="21"/>
              </w:rPr>
            </w:pPr>
            <w:r>
              <w:rPr>
                <w:rFonts w:ascii="仿宋_GB2312" w:hAnsi="新宋体" w:eastAsia="仿宋_GB2312" w:cs="仿宋_GB2312"/>
                <w:kern w:val="0"/>
                <w:szCs w:val="21"/>
              </w:rPr>
              <w:t>符合其中五项（2）；</w:t>
            </w:r>
          </w:p>
          <w:p w14:paraId="7B44E55E">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71F9D120">
            <w:pPr>
              <w:widowControl/>
              <w:spacing w:line="240" w:lineRule="exact"/>
              <w:jc w:val="left"/>
              <w:rPr>
                <w:szCs w:val="21"/>
              </w:rPr>
            </w:pPr>
            <w:r>
              <w:rPr>
                <w:rFonts w:hint="eastAsia"/>
                <w:szCs w:val="21"/>
              </w:rPr>
              <w:t>8</w:t>
            </w:r>
          </w:p>
        </w:tc>
      </w:tr>
      <w:tr w14:paraId="3AD112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6D192A1">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2502037">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EB95FA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15BA7C1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7F6056CA">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121C6DF">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35667285">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14261173">
            <w:pPr>
              <w:widowControl/>
              <w:spacing w:line="240" w:lineRule="exact"/>
              <w:jc w:val="left"/>
              <w:rPr>
                <w:szCs w:val="21"/>
              </w:rPr>
            </w:pPr>
            <w:r>
              <w:rPr>
                <w:rFonts w:ascii="仿宋_GB2312" w:hAnsi="新宋体" w:eastAsia="仿宋_GB2312" w:cs="仿宋_GB2312"/>
                <w:kern w:val="0"/>
                <w:szCs w:val="21"/>
              </w:rPr>
              <w:t>评价要点：</w:t>
            </w:r>
          </w:p>
          <w:p w14:paraId="39375B2C">
            <w:pPr>
              <w:widowControl/>
              <w:spacing w:line="240" w:lineRule="exact"/>
              <w:jc w:val="left"/>
              <w:rPr>
                <w:szCs w:val="21"/>
              </w:rPr>
            </w:pPr>
            <w:r>
              <w:rPr>
                <w:rFonts w:ascii="仿宋_GB2312" w:hAnsi="新宋体" w:eastAsia="仿宋_GB2312" w:cs="仿宋_GB2312"/>
                <w:kern w:val="0"/>
                <w:szCs w:val="21"/>
              </w:rPr>
              <w:t>1.公开预决算信息；</w:t>
            </w:r>
          </w:p>
          <w:p w14:paraId="30861F62">
            <w:pPr>
              <w:widowControl/>
              <w:spacing w:line="240" w:lineRule="exact"/>
              <w:jc w:val="left"/>
              <w:rPr>
                <w:szCs w:val="21"/>
              </w:rPr>
            </w:pPr>
            <w:r>
              <w:rPr>
                <w:rFonts w:ascii="仿宋_GB2312" w:hAnsi="新宋体" w:eastAsia="仿宋_GB2312" w:cs="仿宋_GB2312"/>
                <w:kern w:val="0"/>
                <w:szCs w:val="21"/>
              </w:rPr>
              <w:t>2.按规定内容公开预决算信息；</w:t>
            </w:r>
          </w:p>
          <w:p w14:paraId="0AE891EB">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092AF7FE">
            <w:pPr>
              <w:widowControl/>
              <w:spacing w:line="240" w:lineRule="exact"/>
              <w:jc w:val="left"/>
              <w:rPr>
                <w:szCs w:val="21"/>
              </w:rPr>
            </w:pPr>
            <w:r>
              <w:rPr>
                <w:rFonts w:ascii="仿宋_GB2312" w:hAnsi="新宋体" w:eastAsia="仿宋_GB2312" w:cs="仿宋_GB2312"/>
                <w:kern w:val="0"/>
                <w:szCs w:val="21"/>
              </w:rPr>
              <w:t>全部符合（3）；</w:t>
            </w:r>
          </w:p>
          <w:p w14:paraId="6AC74921">
            <w:pPr>
              <w:widowControl/>
              <w:spacing w:line="240" w:lineRule="exact"/>
              <w:jc w:val="left"/>
              <w:rPr>
                <w:szCs w:val="21"/>
              </w:rPr>
            </w:pPr>
            <w:r>
              <w:rPr>
                <w:rFonts w:ascii="仿宋_GB2312" w:hAnsi="新宋体" w:eastAsia="仿宋_GB2312" w:cs="仿宋_GB2312"/>
                <w:kern w:val="0"/>
                <w:szCs w:val="21"/>
              </w:rPr>
              <w:t>符合其中两项（2）</w:t>
            </w:r>
          </w:p>
          <w:p w14:paraId="6130125D">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22BBECA0">
            <w:pPr>
              <w:widowControl/>
              <w:spacing w:line="240" w:lineRule="exact"/>
              <w:jc w:val="left"/>
              <w:rPr>
                <w:szCs w:val="21"/>
              </w:rPr>
            </w:pPr>
            <w:r>
              <w:rPr>
                <w:rFonts w:hint="eastAsia"/>
                <w:szCs w:val="21"/>
              </w:rPr>
              <w:t>3</w:t>
            </w:r>
          </w:p>
        </w:tc>
      </w:tr>
      <w:tr w14:paraId="4506E6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90491D0">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248E973">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7D3C5D4">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40264973">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098800F5">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59E2985">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25235BBC">
            <w:pPr>
              <w:widowControl/>
              <w:spacing w:line="240" w:lineRule="exact"/>
              <w:jc w:val="left"/>
              <w:rPr>
                <w:szCs w:val="21"/>
              </w:rPr>
            </w:pPr>
            <w:r>
              <w:rPr>
                <w:rFonts w:ascii="仿宋_GB2312" w:hAnsi="新宋体" w:eastAsia="仿宋_GB2312" w:cs="仿宋_GB2312"/>
                <w:kern w:val="0"/>
                <w:szCs w:val="21"/>
              </w:rPr>
              <w:t>评价要点：</w:t>
            </w:r>
          </w:p>
          <w:p w14:paraId="3BE5F86A">
            <w:pPr>
              <w:widowControl/>
              <w:spacing w:line="240" w:lineRule="exact"/>
              <w:jc w:val="left"/>
              <w:rPr>
                <w:szCs w:val="21"/>
              </w:rPr>
            </w:pPr>
            <w:r>
              <w:rPr>
                <w:rFonts w:ascii="仿宋_GB2312" w:hAnsi="新宋体" w:eastAsia="仿宋_GB2312" w:cs="仿宋_GB2312"/>
                <w:kern w:val="0"/>
                <w:szCs w:val="21"/>
              </w:rPr>
              <w:t>1.基本财务管理制度健全；</w:t>
            </w:r>
          </w:p>
          <w:p w14:paraId="6C49200C">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52323438">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068CD042">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1FCB19FA">
            <w:pPr>
              <w:widowControl/>
              <w:spacing w:line="240" w:lineRule="exact"/>
              <w:jc w:val="left"/>
              <w:rPr>
                <w:szCs w:val="21"/>
              </w:rPr>
            </w:pPr>
            <w:r>
              <w:rPr>
                <w:rFonts w:ascii="仿宋_GB2312" w:hAnsi="新宋体" w:eastAsia="仿宋_GB2312" w:cs="仿宋_GB2312"/>
                <w:kern w:val="0"/>
                <w:szCs w:val="21"/>
              </w:rPr>
              <w:t>符合全部四项（4）；</w:t>
            </w:r>
          </w:p>
          <w:p w14:paraId="49702D8C">
            <w:pPr>
              <w:widowControl/>
              <w:spacing w:line="240" w:lineRule="exact"/>
              <w:jc w:val="left"/>
              <w:rPr>
                <w:szCs w:val="21"/>
              </w:rPr>
            </w:pPr>
            <w:r>
              <w:rPr>
                <w:rFonts w:ascii="仿宋_GB2312" w:hAnsi="新宋体" w:eastAsia="仿宋_GB2312" w:cs="仿宋_GB2312"/>
                <w:kern w:val="0"/>
                <w:szCs w:val="21"/>
              </w:rPr>
              <w:t>符合其中三项（2）；</w:t>
            </w:r>
          </w:p>
          <w:p w14:paraId="5E3348AC">
            <w:pPr>
              <w:widowControl/>
              <w:spacing w:line="240" w:lineRule="exact"/>
              <w:jc w:val="left"/>
              <w:rPr>
                <w:szCs w:val="21"/>
              </w:rPr>
            </w:pPr>
            <w:r>
              <w:rPr>
                <w:rFonts w:ascii="仿宋_GB2312" w:hAnsi="新宋体" w:eastAsia="仿宋_GB2312" w:cs="仿宋_GB2312"/>
                <w:kern w:val="0"/>
                <w:szCs w:val="21"/>
              </w:rPr>
              <w:t>符合其中两项（1）；</w:t>
            </w:r>
          </w:p>
          <w:p w14:paraId="6FF323C5">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63AED9C9">
            <w:pPr>
              <w:widowControl/>
              <w:spacing w:line="240" w:lineRule="exact"/>
              <w:jc w:val="left"/>
              <w:rPr>
                <w:szCs w:val="21"/>
              </w:rPr>
            </w:pPr>
            <w:r>
              <w:rPr>
                <w:rFonts w:hint="eastAsia"/>
                <w:szCs w:val="21"/>
              </w:rPr>
              <w:t>4</w:t>
            </w:r>
          </w:p>
        </w:tc>
      </w:tr>
      <w:tr w14:paraId="712644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6260D6B">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6F344AD">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6A251CD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0D019FB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4FA42F31">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1729DD11">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267EDFF2">
            <w:pPr>
              <w:widowControl/>
              <w:spacing w:line="240" w:lineRule="exact"/>
              <w:jc w:val="left"/>
              <w:rPr>
                <w:szCs w:val="21"/>
              </w:rPr>
            </w:pPr>
            <w:r>
              <w:rPr>
                <w:rFonts w:ascii="仿宋_GB2312" w:hAnsi="新宋体" w:eastAsia="仿宋_GB2312" w:cs="仿宋_GB2312"/>
                <w:kern w:val="0"/>
                <w:szCs w:val="21"/>
              </w:rPr>
              <w:t>评价要点：</w:t>
            </w:r>
          </w:p>
          <w:p w14:paraId="15E1B545">
            <w:pPr>
              <w:widowControl/>
              <w:spacing w:line="240" w:lineRule="exact"/>
              <w:jc w:val="left"/>
              <w:rPr>
                <w:szCs w:val="21"/>
              </w:rPr>
            </w:pPr>
            <w:r>
              <w:rPr>
                <w:rFonts w:ascii="仿宋_GB2312" w:hAnsi="新宋体" w:eastAsia="仿宋_GB2312" w:cs="仿宋_GB2312"/>
                <w:kern w:val="0"/>
                <w:szCs w:val="21"/>
              </w:rPr>
              <w:t>1.资产保存完整；</w:t>
            </w:r>
          </w:p>
          <w:p w14:paraId="6B753B5B">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lang w:eastAsia="zh-CN"/>
              </w:rPr>
              <w:t>账</w:t>
            </w:r>
            <w:r>
              <w:rPr>
                <w:rFonts w:ascii="仿宋_GB2312" w:hAnsi="新宋体" w:eastAsia="仿宋_GB2312" w:cs="仿宋_GB2312"/>
                <w:kern w:val="0"/>
                <w:szCs w:val="21"/>
              </w:rPr>
              <w:t>实相符；</w:t>
            </w:r>
          </w:p>
          <w:p w14:paraId="57140D3C">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55BCBDA1">
            <w:pPr>
              <w:widowControl/>
              <w:spacing w:line="240" w:lineRule="exact"/>
              <w:jc w:val="left"/>
              <w:rPr>
                <w:szCs w:val="21"/>
              </w:rPr>
            </w:pPr>
            <w:r>
              <w:rPr>
                <w:rFonts w:ascii="仿宋_GB2312" w:hAnsi="新宋体" w:eastAsia="仿宋_GB2312" w:cs="仿宋_GB2312"/>
                <w:kern w:val="0"/>
                <w:szCs w:val="21"/>
              </w:rPr>
              <w:t>符合全部三项（3）；</w:t>
            </w:r>
          </w:p>
          <w:p w14:paraId="585B311A">
            <w:pPr>
              <w:widowControl/>
              <w:spacing w:line="240" w:lineRule="exact"/>
              <w:jc w:val="left"/>
              <w:rPr>
                <w:szCs w:val="21"/>
              </w:rPr>
            </w:pPr>
            <w:r>
              <w:rPr>
                <w:rFonts w:ascii="仿宋_GB2312" w:hAnsi="新宋体" w:eastAsia="仿宋_GB2312" w:cs="仿宋_GB2312"/>
                <w:kern w:val="0"/>
                <w:szCs w:val="21"/>
              </w:rPr>
              <w:t>符合其中两项（2）；</w:t>
            </w:r>
          </w:p>
          <w:p w14:paraId="27511119">
            <w:pPr>
              <w:widowControl/>
              <w:spacing w:line="240" w:lineRule="exact"/>
              <w:jc w:val="left"/>
              <w:rPr>
                <w:szCs w:val="21"/>
              </w:rPr>
            </w:pPr>
            <w:r>
              <w:rPr>
                <w:rFonts w:ascii="仿宋_GB2312" w:hAnsi="新宋体" w:eastAsia="仿宋_GB2312" w:cs="仿宋_GB2312"/>
                <w:kern w:val="0"/>
                <w:szCs w:val="21"/>
              </w:rPr>
              <w:t>符合其中一项（1）；</w:t>
            </w:r>
          </w:p>
          <w:p w14:paraId="42736C7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14:paraId="0807CC96">
            <w:pPr>
              <w:widowControl/>
              <w:spacing w:line="240" w:lineRule="exact"/>
              <w:jc w:val="left"/>
              <w:rPr>
                <w:szCs w:val="21"/>
              </w:rPr>
            </w:pPr>
            <w:r>
              <w:rPr>
                <w:rFonts w:hint="eastAsia"/>
                <w:szCs w:val="21"/>
              </w:rPr>
              <w:t>2</w:t>
            </w:r>
          </w:p>
        </w:tc>
      </w:tr>
      <w:tr w14:paraId="56D2CA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3273830">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D8B5C23">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6A5BA44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4D893C9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46A56874">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679EFFE3">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009F4A23">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20CDA03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0FFE7D8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2E91B36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0DAA3654">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32AE0436">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4E3CEBE3">
            <w:pPr>
              <w:widowControl/>
              <w:spacing w:line="240" w:lineRule="exact"/>
              <w:jc w:val="left"/>
              <w:rPr>
                <w:szCs w:val="21"/>
              </w:rPr>
            </w:pPr>
            <w:r>
              <w:rPr>
                <w:rFonts w:hint="eastAsia"/>
                <w:szCs w:val="21"/>
              </w:rPr>
              <w:t>3</w:t>
            </w:r>
          </w:p>
        </w:tc>
      </w:tr>
      <w:tr w14:paraId="656081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57BF3F18">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99822E3">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362828EB">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59C9A6CB">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78D7CFD3">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185D970D">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20CA7262">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48E61932">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14:paraId="216D94B5">
            <w:pPr>
              <w:widowControl/>
              <w:spacing w:line="240" w:lineRule="exact"/>
              <w:jc w:val="left"/>
              <w:rPr>
                <w:szCs w:val="21"/>
              </w:rPr>
            </w:pPr>
            <w:r>
              <w:rPr>
                <w:rFonts w:hint="eastAsia"/>
                <w:szCs w:val="21"/>
              </w:rPr>
              <w:t>10</w:t>
            </w:r>
          </w:p>
        </w:tc>
      </w:tr>
      <w:tr w14:paraId="4637DE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823BE10">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D3A4038">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0C05F7A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2EAE20FE">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4B8314B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7CCB4D29">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2D05E4A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27E904C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1E56551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50F1338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4CCC04A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14:paraId="3441267B">
            <w:pPr>
              <w:widowControl/>
              <w:spacing w:line="240" w:lineRule="exact"/>
              <w:jc w:val="left"/>
              <w:rPr>
                <w:szCs w:val="21"/>
              </w:rPr>
            </w:pPr>
            <w:r>
              <w:rPr>
                <w:rFonts w:hint="eastAsia"/>
                <w:szCs w:val="21"/>
              </w:rPr>
              <w:t>15</w:t>
            </w:r>
          </w:p>
        </w:tc>
      </w:tr>
      <w:tr w14:paraId="23B2A5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68C418F2">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60A9434A">
            <w:pPr>
              <w:widowControl/>
              <w:spacing w:line="240" w:lineRule="exact"/>
              <w:jc w:val="left"/>
              <w:rPr>
                <w:rFonts w:ascii="仿宋_GB2312" w:hAnsi="新宋体" w:eastAsia="仿宋_GB2312" w:cs="仿宋_GB2312"/>
                <w:kern w:val="0"/>
                <w:szCs w:val="21"/>
              </w:rPr>
            </w:pPr>
          </w:p>
          <w:p w14:paraId="329708E8">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22751F5D">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5E5963B7">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38A28F21">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C8ECECE">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753EB99B">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49CCD679">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25C7B42C">
            <w:pPr>
              <w:widowControl/>
              <w:spacing w:line="240" w:lineRule="exact"/>
              <w:jc w:val="left"/>
              <w:rPr>
                <w:szCs w:val="21"/>
              </w:rPr>
            </w:pPr>
            <w:r>
              <w:rPr>
                <w:rFonts w:hint="eastAsia"/>
                <w:szCs w:val="21"/>
              </w:rPr>
              <w:t>5</w:t>
            </w:r>
          </w:p>
        </w:tc>
      </w:tr>
      <w:tr w14:paraId="3DB85D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2CE35420">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29308387">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DA817FF">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6A62B336">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0A6C9FAF">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22B7F336">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159DA850">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42BC0090">
            <w:pPr>
              <w:widowControl/>
              <w:spacing w:line="240" w:lineRule="exact"/>
              <w:jc w:val="left"/>
              <w:rPr>
                <w:szCs w:val="21"/>
              </w:rPr>
            </w:pPr>
            <w:r>
              <w:rPr>
                <w:rFonts w:hint="eastAsia"/>
                <w:szCs w:val="21"/>
              </w:rPr>
              <w:t>5</w:t>
            </w:r>
          </w:p>
        </w:tc>
      </w:tr>
      <w:tr w14:paraId="1D6BE7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235E431D">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69F4C910">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EC47CBC">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3646E518">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2E110C41">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79B34565">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732D2FEB">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7807F142">
            <w:pPr>
              <w:widowControl/>
              <w:spacing w:line="240" w:lineRule="exact"/>
              <w:jc w:val="left"/>
              <w:rPr>
                <w:szCs w:val="21"/>
              </w:rPr>
            </w:pPr>
            <w:r>
              <w:rPr>
                <w:rFonts w:hint="eastAsia"/>
                <w:szCs w:val="21"/>
              </w:rPr>
              <w:t>5</w:t>
            </w:r>
          </w:p>
        </w:tc>
      </w:tr>
      <w:tr w14:paraId="20E6F1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B0E3383">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646077DB">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EAC11FA">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5449E02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6D8FA2A8">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41B745F0">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14:paraId="0EBC906C">
            <w:pPr>
              <w:widowControl/>
              <w:spacing w:line="240" w:lineRule="exact"/>
              <w:jc w:val="left"/>
              <w:rPr>
                <w:szCs w:val="21"/>
              </w:rPr>
            </w:pPr>
            <w:r>
              <w:rPr>
                <w:rFonts w:hint="eastAsia"/>
                <w:szCs w:val="21"/>
              </w:rPr>
              <w:t>5</w:t>
            </w:r>
          </w:p>
        </w:tc>
      </w:tr>
    </w:tbl>
    <w:p w14:paraId="086A392F">
      <w:pPr>
        <w:widowControl/>
        <w:spacing w:line="480" w:lineRule="exact"/>
        <w:jc w:val="left"/>
        <w:rPr>
          <w:rFonts w:ascii="仿宋" w:hAnsi="仿宋" w:eastAsia="仿宋" w:cs="仿宋"/>
          <w:kern w:val="0"/>
          <w:sz w:val="32"/>
          <w:szCs w:val="32"/>
          <w:shd w:val="clear" w:color="auto" w:fill="FFFFFF"/>
        </w:rPr>
      </w:pPr>
    </w:p>
    <w:p w14:paraId="4F739D5A">
      <w:pPr>
        <w:rPr>
          <w:rFonts w:ascii="黑体" w:hAnsi="黑体" w:eastAsia="黑体" w:cs="黑体"/>
          <w:b/>
          <w:bCs/>
          <w:sz w:val="30"/>
          <w:szCs w:val="30"/>
        </w:rPr>
      </w:pPr>
      <w:r>
        <w:rPr>
          <w:rFonts w:hint="eastAsia" w:ascii="黑体" w:hAnsi="黑体" w:eastAsia="黑体" w:cs="黑体"/>
          <w:b/>
          <w:bCs/>
          <w:sz w:val="30"/>
          <w:szCs w:val="30"/>
        </w:rPr>
        <w:t>(后附部门整体自评报告)</w:t>
      </w:r>
    </w:p>
    <w:p w14:paraId="106F7765">
      <w:pPr>
        <w:rPr>
          <w:rFonts w:ascii="黑体" w:hAnsi="黑体" w:eastAsia="黑体" w:cs="黑体"/>
          <w:b/>
          <w:bCs/>
          <w:sz w:val="30"/>
          <w:szCs w:val="30"/>
        </w:rPr>
      </w:pPr>
    </w:p>
    <w:p w14:paraId="672D78BC">
      <w:pPr>
        <w:rPr>
          <w:rFonts w:ascii="黑体" w:hAnsi="黑体" w:eastAsia="黑体" w:cs="黑体"/>
          <w:b/>
          <w:bCs/>
          <w:sz w:val="30"/>
          <w:szCs w:val="30"/>
        </w:rPr>
      </w:pPr>
    </w:p>
    <w:p w14:paraId="3B3BDE79">
      <w:pPr>
        <w:rPr>
          <w:rFonts w:ascii="黑体" w:hAnsi="黑体" w:eastAsia="黑体" w:cs="黑体"/>
          <w:b/>
          <w:bCs/>
          <w:sz w:val="30"/>
          <w:szCs w:val="30"/>
        </w:rPr>
      </w:pPr>
    </w:p>
    <w:p w14:paraId="258EA310">
      <w:pPr>
        <w:rPr>
          <w:rFonts w:ascii="黑体" w:hAnsi="黑体" w:eastAsia="黑体" w:cs="黑体"/>
          <w:b/>
          <w:bCs/>
          <w:sz w:val="30"/>
          <w:szCs w:val="30"/>
        </w:rPr>
      </w:pPr>
    </w:p>
    <w:p w14:paraId="2999E21E">
      <w:pPr>
        <w:rPr>
          <w:rFonts w:ascii="黑体" w:hAnsi="黑体" w:eastAsia="黑体" w:cs="黑体"/>
          <w:b/>
          <w:bCs/>
          <w:sz w:val="30"/>
          <w:szCs w:val="30"/>
        </w:rPr>
      </w:pPr>
    </w:p>
    <w:p w14:paraId="2D86585E">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隆尧县退役军人事务局</w:t>
      </w:r>
    </w:p>
    <w:p w14:paraId="32B47EBB">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0CD6C737">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14:paraId="32959AE5">
      <w:pPr>
        <w:shd w:val="clear" w:color="auto" w:fill="FFFFFF"/>
        <w:spacing w:line="360" w:lineRule="auto"/>
        <w:ind w:firstLine="480" w:firstLineChars="150"/>
        <w:rPr>
          <w:rFonts w:hint="eastAsia" w:ascii="仿宋" w:hAnsi="仿宋" w:eastAsia="仿宋" w:cs="仿宋"/>
          <w:sz w:val="32"/>
          <w:szCs w:val="32"/>
        </w:rPr>
      </w:pPr>
      <w:r>
        <w:rPr>
          <w:rFonts w:hint="eastAsia" w:ascii="仿宋" w:hAnsi="仿宋" w:eastAsia="仿宋" w:cs="仿宋"/>
          <w:sz w:val="32"/>
          <w:szCs w:val="32"/>
        </w:rPr>
        <w:t>(一)部门主要职责职能和部门组织架构</w:t>
      </w:r>
    </w:p>
    <w:p w14:paraId="0CC91A60">
      <w:pPr>
        <w:shd w:val="clear" w:color="auto" w:fill="FFFFFF"/>
        <w:spacing w:line="360" w:lineRule="auto"/>
        <w:ind w:firstLine="800" w:firstLineChars="250"/>
        <w:rPr>
          <w:rFonts w:hint="eastAsia" w:ascii="仿宋" w:hAnsi="仿宋" w:eastAsia="仿宋" w:cs="黑体"/>
          <w:sz w:val="32"/>
          <w:szCs w:val="32"/>
        </w:rPr>
      </w:pPr>
      <w:r>
        <w:rPr>
          <w:rFonts w:hint="eastAsia" w:ascii="仿宋" w:hAnsi="仿宋" w:eastAsia="仿宋" w:cs="黑体"/>
          <w:sz w:val="32"/>
          <w:szCs w:val="32"/>
        </w:rPr>
        <w:t>部门主要职责：贯彻执行国家和省、市退役军人思想政治、管理保障和安置优抚等工作政策、法规和规章，拟订全县退役军人思想政治、管理保障和安置优抚等政策并组织实施，褒扬彰显退役军人为党、国家和人民牺牲奉献的精神风范和价值导向。负责全县军队转业干部、复员干部、离退休干部、退役士兵、符合条件消防员和无军籍退休退职职工的移交安置工作以及自主择业、就业退役军人的服务管理工作。组织指导退役军人教育培训工作。会同有关部门落实国家和省、市、县退役军人特殊保障政策，落实企业中军队转业干部的解困政策。组织协调落实移交地方的离退休军人、符合条件的其他退役军人和无军籍退休退职职工的住房保障工作，以及退役军人医疗保障、社会保险等待遇保障工作。</w:t>
      </w:r>
    </w:p>
    <w:p w14:paraId="2F6DDAEA">
      <w:pPr>
        <w:shd w:val="clear" w:color="auto" w:fill="FFFFFF"/>
        <w:spacing w:line="360" w:lineRule="auto"/>
        <w:rPr>
          <w:rFonts w:hint="eastAsia" w:ascii="仿宋" w:hAnsi="仿宋" w:eastAsia="仿宋" w:cs="黑体"/>
          <w:sz w:val="32"/>
          <w:szCs w:val="32"/>
        </w:rPr>
      </w:pPr>
      <w:r>
        <w:rPr>
          <w:rFonts w:hint="eastAsia" w:ascii="仿宋" w:hAnsi="仿宋" w:eastAsia="仿宋" w:cs="黑体"/>
          <w:sz w:val="32"/>
          <w:szCs w:val="32"/>
        </w:rPr>
        <w:t>组织指导伤病残退役军人服务管理和抚恤工作。指导实施有关退役军人医疗、疗养、养老等机构的规划政策。组织指导全县拥军优属工作。负责烈士及退役军人荣誉奖励、军人公墓管理维护、纪念活动等工作。指导并监督坚持退役军人相关法律法规和政策措施的落实，组织开展退役军人权益维护和有关人员的帮扶援助工作。完成县委、县政府交办的其他任务。</w:t>
      </w:r>
    </w:p>
    <w:p w14:paraId="05D2947D">
      <w:pPr>
        <w:shd w:val="clear" w:color="auto" w:fill="FFFFFF"/>
        <w:spacing w:line="360" w:lineRule="auto"/>
        <w:ind w:firstLine="645"/>
        <w:rPr>
          <w:rFonts w:hint="eastAsia" w:ascii="仿宋" w:hAnsi="仿宋" w:eastAsia="仿宋" w:cs="黑体"/>
          <w:sz w:val="32"/>
          <w:szCs w:val="32"/>
        </w:rPr>
      </w:pPr>
      <w:r>
        <w:rPr>
          <w:rFonts w:hint="eastAsia" w:ascii="仿宋" w:hAnsi="仿宋" w:eastAsia="仿宋" w:cs="黑体"/>
          <w:sz w:val="32"/>
          <w:szCs w:val="32"/>
        </w:rPr>
        <w:t>转变职能：县退役军人事务局建立健全集中统一、职责清晰的退役军人管理保障体制，协调各方力量更好为军人军属服务，维护军人军属合法权益，让军人成为全社会尊崇的职业，褒扬彰显退役军人为党、国家和人民牺牲奉献的精神风范和价值导向，更好地为增强部队战斗力和凝聚力做好组织保障。</w:t>
      </w:r>
    </w:p>
    <w:p w14:paraId="676912E0">
      <w:pPr>
        <w:shd w:val="clear" w:color="auto" w:fill="FFFFFF"/>
        <w:spacing w:line="360" w:lineRule="auto"/>
        <w:ind w:firstLine="645"/>
        <w:rPr>
          <w:rFonts w:ascii="仿宋" w:hAnsi="仿宋" w:eastAsia="仿宋" w:cs="黑体"/>
          <w:sz w:val="32"/>
          <w:szCs w:val="32"/>
        </w:rPr>
      </w:pPr>
      <w:r>
        <w:rPr>
          <w:rFonts w:hint="eastAsia" w:ascii="仿宋" w:hAnsi="仿宋" w:eastAsia="仿宋" w:cs="黑体"/>
          <w:sz w:val="32"/>
          <w:szCs w:val="32"/>
        </w:rPr>
        <w:t>部门组织架构按三定方案分两个股室：综合办公室和双拥优抚安置股，下设三个事业单位：退役军人服务中心、光荣院、军休疗养所</w:t>
      </w:r>
    </w:p>
    <w:p w14:paraId="050159EA">
      <w:pPr>
        <w:adjustRightInd w:val="0"/>
        <w:rPr>
          <w:rFonts w:hint="eastAsia" w:ascii="仿宋" w:hAnsi="仿宋" w:eastAsia="仿宋" w:cs="仿宋"/>
          <w:sz w:val="32"/>
          <w:szCs w:val="32"/>
        </w:rPr>
      </w:pPr>
      <w:r>
        <w:rPr>
          <w:rFonts w:hint="eastAsia" w:ascii="仿宋" w:hAnsi="仿宋" w:eastAsia="仿宋" w:cs="仿宋"/>
          <w:sz w:val="32"/>
          <w:szCs w:val="32"/>
        </w:rPr>
        <w:t xml:space="preserve">   （二）人员及资产情况。</w:t>
      </w:r>
    </w:p>
    <w:p w14:paraId="17896AFC">
      <w:pPr>
        <w:adjustRightInd w:val="0"/>
        <w:rPr>
          <w:rFonts w:ascii="仿宋" w:hAnsi="仿宋" w:eastAsia="仿宋" w:cs="仿宋"/>
          <w:sz w:val="32"/>
          <w:szCs w:val="32"/>
        </w:rPr>
      </w:pPr>
      <w:r>
        <w:rPr>
          <w:rFonts w:hint="eastAsia" w:ascii="仿宋" w:hAnsi="仿宋" w:eastAsia="仿宋" w:cs="仿宋"/>
          <w:sz w:val="32"/>
          <w:szCs w:val="32"/>
        </w:rPr>
        <w:t xml:space="preserve">     隆尧县退役军人事务局为行政机关单位。行政人员编制7个，实际在编在岗人员6人。事业编制11个，实际在编在岗9人。</w:t>
      </w:r>
    </w:p>
    <w:p w14:paraId="334EFC2D">
      <w:pPr>
        <w:adjustRightInd w:val="0"/>
        <w:rPr>
          <w:rFonts w:hint="eastAsia" w:ascii="仿宋" w:hAnsi="仿宋" w:eastAsia="仿宋" w:cs="仿宋"/>
          <w:sz w:val="32"/>
          <w:szCs w:val="32"/>
        </w:rPr>
      </w:pPr>
      <w:r>
        <w:rPr>
          <w:rFonts w:hint="eastAsia" w:ascii="仿宋" w:hAnsi="仿宋" w:eastAsia="仿宋" w:cs="仿宋"/>
          <w:sz w:val="32"/>
          <w:szCs w:val="32"/>
        </w:rPr>
        <w:t xml:space="preserve">   （三）部门履职总体目标。</w:t>
      </w:r>
    </w:p>
    <w:p w14:paraId="27C4AF6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ascii="仿宋" w:hAnsi="仿宋" w:eastAsia="仿宋"/>
          <w:sz w:val="32"/>
          <w:szCs w:val="32"/>
        </w:rPr>
      </w:pPr>
      <w:r>
        <w:rPr>
          <w:rFonts w:hint="eastAsia" w:ascii="仿宋" w:hAnsi="仿宋" w:eastAsia="仿宋" w:cs="仿宋"/>
          <w:sz w:val="32"/>
          <w:szCs w:val="32"/>
        </w:rPr>
        <w:t xml:space="preserve"> </w:t>
      </w:r>
      <w:r>
        <w:rPr>
          <w:rFonts w:hint="eastAsia" w:ascii="仿宋" w:hAnsi="仿宋" w:eastAsia="仿宋"/>
          <w:sz w:val="32"/>
          <w:szCs w:val="32"/>
        </w:rPr>
        <w:t>以习近平新时代中国特色社会主义思想为指导,深入贯彻习近平总书记关于退役军人工作重要论述精神,围绕“让军人成为全社会尊崇的职业”,以“带一流队伍,创一流业绩,保一方稳定”为目标,以“建好队伍、推进创新、守住底线、提质提效”为路径,坚持以退役军人为中心,坚持为经济社会发展、国防和军队建设服务,综合施策,持续发力,突出抓好党的建设、移交安置、权益保障、促进就业、优待抚恤、信访稳定等重点工作,增强广大退役军人和其他优抚对象获得感、幸福感。</w:t>
      </w:r>
    </w:p>
    <w:p w14:paraId="7EE20BE3">
      <w:pPr>
        <w:adjustRightInd w:val="0"/>
        <w:rPr>
          <w:rFonts w:hint="eastAsia" w:ascii="仿宋" w:hAnsi="仿宋" w:eastAsia="仿宋" w:cs="仿宋"/>
          <w:sz w:val="32"/>
          <w:szCs w:val="32"/>
        </w:rPr>
      </w:pPr>
      <w:r>
        <w:rPr>
          <w:rFonts w:hint="eastAsia" w:ascii="仿宋" w:hAnsi="仿宋" w:eastAsia="仿宋" w:cs="仿宋"/>
          <w:sz w:val="32"/>
          <w:szCs w:val="32"/>
        </w:rPr>
        <w:t xml:space="preserve">   （四）年度整体绩效目标和工作任务。</w:t>
      </w:r>
    </w:p>
    <w:p w14:paraId="225851E4">
      <w:pPr>
        <w:pStyle w:val="1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0" w:after="0" w:line="276" w:lineRule="auto"/>
        <w:ind w:firstLine="640" w:firstLineChars="200"/>
        <w:jc w:val="both"/>
        <w:rPr>
          <w:rFonts w:hint="eastAsia" w:ascii="仿宋" w:hAnsi="仿宋" w:eastAsia="仿宋"/>
          <w:color w:val="4C4C4C"/>
          <w:sz w:val="32"/>
          <w:szCs w:val="32"/>
          <w:shd w:val="clear" w:color="auto" w:fill="FFFFFF"/>
          <w:lang w:eastAsia="zh-CN"/>
        </w:rPr>
      </w:pPr>
      <w:r>
        <w:rPr>
          <w:rFonts w:ascii="仿宋" w:hAnsi="仿宋" w:eastAsia="仿宋"/>
          <w:color w:val="4C4C4C"/>
          <w:sz w:val="32"/>
          <w:szCs w:val="32"/>
          <w:shd w:val="clear" w:color="auto" w:fill="FFFFFF"/>
        </w:rPr>
        <w:t>通过实施财政支出绩效评价，增强部门单位的绩效观念和责任意识，确保“预算编制有目标、预算执行有监控、预算完成有评价、评价结果有应用”，使财政资金得到全面监管，财政预算和政策得到有效实施，逐步建立以“绩效”为导向的部门单位整体支出和项目支出评价监督机制。</w:t>
      </w:r>
    </w:p>
    <w:p w14:paraId="680823B8">
      <w:pPr>
        <w:pStyle w:val="18"/>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before="0" w:after="0" w:line="276" w:lineRule="auto"/>
        <w:ind w:firstLine="640" w:firstLineChars="200"/>
        <w:jc w:val="both"/>
        <w:rPr>
          <w:rFonts w:ascii="仿宋" w:hAnsi="仿宋" w:eastAsia="仿宋"/>
          <w:color w:val="4C4C4C"/>
          <w:sz w:val="32"/>
          <w:szCs w:val="32"/>
          <w:shd w:val="clear" w:color="auto" w:fill="FFFFFF"/>
        </w:rPr>
      </w:pPr>
      <w:r>
        <w:rPr>
          <w:rFonts w:ascii="仿宋" w:hAnsi="仿宋" w:eastAsia="仿宋"/>
          <w:sz w:val="32"/>
          <w:szCs w:val="32"/>
        </w:rPr>
        <w:t>202</w:t>
      </w:r>
      <w:r>
        <w:rPr>
          <w:rFonts w:hint="eastAsia" w:ascii="仿宋" w:hAnsi="仿宋" w:eastAsia="仿宋"/>
          <w:sz w:val="32"/>
          <w:szCs w:val="32"/>
        </w:rPr>
        <w:t>1</w:t>
      </w:r>
      <w:r>
        <w:rPr>
          <w:rFonts w:ascii="仿宋" w:hAnsi="仿宋" w:eastAsia="仿宋"/>
          <w:sz w:val="32"/>
          <w:szCs w:val="32"/>
        </w:rPr>
        <w:t>年度各类资金整体使用管理情况总体必须规范，相关制度逐渐完善，支出符合政策文件规定。下一步，退役军人事务局和财政部门业务主管人员，将进一步加强对国家财经法律法规的学习，借鉴兄弟县市的好经验、好办法，进一步强化和完善各项补助资金使用管理情况的监督管理，切实管好用好各项资金，为隆尧的发展和社会和谐稳定做出积极的贡献。</w:t>
      </w:r>
    </w:p>
    <w:p w14:paraId="7362D0A3">
      <w:pPr>
        <w:adjustRightInd w:val="0"/>
        <w:rPr>
          <w:rFonts w:ascii="仿宋" w:hAnsi="仿宋" w:eastAsia="仿宋" w:cs="仿宋"/>
          <w:sz w:val="32"/>
          <w:szCs w:val="32"/>
        </w:rPr>
      </w:pPr>
    </w:p>
    <w:p w14:paraId="37D3592A">
      <w:pPr>
        <w:adjustRightInd w:val="0"/>
        <w:rPr>
          <w:rFonts w:hint="eastAsia" w:ascii="楷体" w:hAnsi="楷体" w:eastAsia="楷体" w:cs="仿宋"/>
          <w:sz w:val="32"/>
          <w:szCs w:val="32"/>
        </w:rPr>
      </w:pPr>
      <w:r>
        <w:rPr>
          <w:rFonts w:hint="eastAsia" w:ascii="仿宋" w:hAnsi="仿宋" w:eastAsia="仿宋" w:cs="仿宋"/>
          <w:sz w:val="32"/>
          <w:szCs w:val="32"/>
        </w:rPr>
        <w:t xml:space="preserve">   （五）预算资金安排及资金支出</w:t>
      </w:r>
      <w:r>
        <w:rPr>
          <w:rFonts w:hint="eastAsia" w:ascii="楷体" w:hAnsi="楷体" w:eastAsia="楷体" w:cs="仿宋"/>
          <w:sz w:val="32"/>
          <w:szCs w:val="32"/>
        </w:rPr>
        <w:t>情况。</w:t>
      </w:r>
    </w:p>
    <w:p w14:paraId="13E182D6">
      <w:pPr>
        <w:snapToGrid w:val="0"/>
        <w:spacing w:line="360" w:lineRule="auto"/>
        <w:ind w:firstLine="640" w:firstLineChars="200"/>
        <w:rPr>
          <w:rFonts w:hint="eastAsia" w:ascii="仿宋" w:hAnsi="仿宋" w:eastAsia="仿宋" w:cs="Times New Roman"/>
          <w:sz w:val="32"/>
          <w:szCs w:val="32"/>
        </w:rPr>
      </w:pPr>
      <w:r>
        <w:rPr>
          <w:rFonts w:hint="eastAsia" w:ascii="仿宋" w:hAnsi="仿宋" w:eastAsia="仿宋" w:cs="仿宋"/>
          <w:sz w:val="32"/>
          <w:szCs w:val="32"/>
        </w:rPr>
        <w:t xml:space="preserve"> </w:t>
      </w:r>
      <w:r>
        <w:rPr>
          <w:rFonts w:hint="eastAsia" w:ascii="仿宋" w:hAnsi="仿宋" w:eastAsia="仿宋" w:cs="Times New Roman"/>
          <w:sz w:val="32"/>
          <w:szCs w:val="32"/>
        </w:rPr>
        <w:t>隆尧县退役军人事务局2021年年初预算数为98830541元，当年资金调整预算数为136209860.88元，财政拨款收入136209860.88元。其中：一般公共预算资金136209860.88元，其中一般公共服务支出16876.97元，社会保障和就业支出134299498.73元，卫生健康支出1794817.58元，住房保障支出98667.6元。</w:t>
      </w:r>
    </w:p>
    <w:p w14:paraId="1CB7E74F">
      <w:pPr>
        <w:snapToGrid w:val="0"/>
        <w:spacing w:line="360" w:lineRule="auto"/>
        <w:ind w:firstLine="640" w:firstLineChars="200"/>
        <w:rPr>
          <w:rFonts w:hint="eastAsia" w:ascii="仿宋" w:hAnsi="仿宋" w:eastAsia="仿宋" w:cs="Times New Roman"/>
          <w:sz w:val="32"/>
          <w:szCs w:val="32"/>
        </w:rPr>
      </w:pPr>
      <w:r>
        <w:rPr>
          <w:rFonts w:hint="eastAsia" w:ascii="仿宋" w:hAnsi="仿宋" w:eastAsia="仿宋" w:cs="Times New Roman"/>
          <w:sz w:val="32"/>
          <w:szCs w:val="32"/>
        </w:rPr>
        <w:t>隆尧县退役军人事务局为全额拨款的行政单位，无其他收入，2021年收入136209860.88元全部为财政拨款收入，其中：（1）一般公共预算资金136209860.88元；（2）财政拨款收入中基本支出1469603.4元，项目支出134740257.48元。</w:t>
      </w:r>
    </w:p>
    <w:p w14:paraId="0E9B0260">
      <w:pPr>
        <w:snapToGrid w:val="0"/>
        <w:spacing w:line="360" w:lineRule="auto"/>
        <w:ind w:firstLine="640" w:firstLineChars="200"/>
        <w:rPr>
          <w:rFonts w:ascii="仿宋" w:hAnsi="仿宋" w:eastAsia="仿宋"/>
          <w:sz w:val="32"/>
          <w:szCs w:val="32"/>
        </w:rPr>
      </w:pPr>
      <w:r>
        <w:rPr>
          <w:rFonts w:hint="eastAsia" w:ascii="仿宋" w:hAnsi="仿宋" w:eastAsia="仿宋" w:cs="Times New Roman"/>
          <w:sz w:val="32"/>
          <w:szCs w:val="32"/>
        </w:rPr>
        <w:t>2021年全年共支出资金137306621.98元。其中：一般公共服务支出16876.97元，社会保障和就业支出135386979.83元，卫生健康支出1804097.58元，住房保障支出98667.6元。</w:t>
      </w:r>
    </w:p>
    <w:p w14:paraId="0850D154">
      <w:pPr>
        <w:pStyle w:val="17"/>
        <w:numPr>
          <w:ilvl w:val="0"/>
          <w:numId w:val="1"/>
        </w:numPr>
        <w:ind w:firstLineChars="0"/>
        <w:rPr>
          <w:rFonts w:ascii="黑体" w:hAnsi="黑体" w:eastAsia="黑体" w:cs="仿宋"/>
          <w:sz w:val="32"/>
          <w:szCs w:val="32"/>
        </w:rPr>
      </w:pPr>
      <w:r>
        <w:rPr>
          <w:rFonts w:hint="eastAsia" w:ascii="黑体" w:hAnsi="黑体" w:eastAsia="黑体" w:cs="仿宋"/>
          <w:sz w:val="32"/>
          <w:szCs w:val="32"/>
        </w:rPr>
        <w:t>预算绩效管理开展及整体绩效实现情况。</w:t>
      </w:r>
    </w:p>
    <w:p w14:paraId="4AEEC86C">
      <w:pPr>
        <w:pStyle w:val="17"/>
        <w:numPr>
          <w:ilvl w:val="0"/>
          <w:numId w:val="2"/>
        </w:numPr>
        <w:adjustRightInd w:val="0"/>
        <w:ind w:firstLineChars="0"/>
        <w:rPr>
          <w:rFonts w:hint="eastAsia" w:ascii="仿宋" w:hAnsi="仿宋" w:eastAsia="仿宋" w:cs="仿宋"/>
          <w:sz w:val="32"/>
          <w:szCs w:val="32"/>
        </w:rPr>
      </w:pPr>
      <w:r>
        <w:rPr>
          <w:rFonts w:hint="eastAsia" w:ascii="仿宋" w:hAnsi="仿宋" w:eastAsia="仿宋" w:cs="仿宋"/>
          <w:sz w:val="32"/>
          <w:szCs w:val="32"/>
        </w:rPr>
        <w:t>部门开展预算绩效管理情况。</w:t>
      </w:r>
    </w:p>
    <w:p w14:paraId="1E6C5B7E">
      <w:pPr>
        <w:widowControl/>
        <w:ind w:left="480" w:firstLine="480" w:firstLineChars="150"/>
        <w:rPr>
          <w:rFonts w:hint="eastAsia" w:ascii="黑体" w:hAnsi="黑体" w:eastAsia="黑体" w:cs="宋体"/>
          <w:b/>
          <w:bCs/>
          <w:kern w:val="0"/>
          <w:sz w:val="32"/>
          <w:szCs w:val="32"/>
        </w:rPr>
      </w:pPr>
      <w:r>
        <w:rPr>
          <w:rFonts w:hint="eastAsia" w:ascii="仿宋" w:hAnsi="仿宋" w:eastAsia="仿宋" w:cs="宋体"/>
          <w:kern w:val="0"/>
          <w:sz w:val="32"/>
          <w:szCs w:val="32"/>
        </w:rPr>
        <w:t>我单位制定了详细可行的工作活动实施计划，已按实施计划具体落实。</w:t>
      </w:r>
    </w:p>
    <w:p w14:paraId="581E1E8F">
      <w:pPr>
        <w:pStyle w:val="17"/>
        <w:numPr>
          <w:ilvl w:val="0"/>
          <w:numId w:val="2"/>
        </w:numPr>
        <w:adjustRightInd w:val="0"/>
        <w:ind w:firstLineChars="0"/>
        <w:rPr>
          <w:rFonts w:hint="eastAsia" w:ascii="仿宋" w:hAnsi="仿宋" w:eastAsia="仿宋" w:cs="仿宋"/>
          <w:sz w:val="32"/>
          <w:szCs w:val="32"/>
        </w:rPr>
      </w:pPr>
      <w:r>
        <w:rPr>
          <w:rFonts w:hint="eastAsia" w:ascii="仿宋" w:hAnsi="仿宋" w:eastAsia="仿宋" w:cs="仿宋"/>
          <w:sz w:val="32"/>
          <w:szCs w:val="32"/>
        </w:rPr>
        <w:t>工作履行活动完成情况。</w:t>
      </w:r>
    </w:p>
    <w:p w14:paraId="348BE7CF">
      <w:pPr>
        <w:adjustRightInd w:val="0"/>
        <w:ind w:left="480" w:firstLine="640" w:firstLineChars="200"/>
        <w:rPr>
          <w:rFonts w:ascii="仿宋" w:hAnsi="仿宋" w:eastAsia="仿宋" w:cs="仿宋"/>
          <w:sz w:val="32"/>
          <w:szCs w:val="32"/>
        </w:rPr>
      </w:pPr>
      <w:r>
        <w:rPr>
          <w:rFonts w:hint="eastAsia" w:ascii="仿宋" w:hAnsi="仿宋" w:eastAsia="仿宋" w:cs="Times New Roman"/>
          <w:sz w:val="32"/>
          <w:szCs w:val="32"/>
        </w:rPr>
        <w:t>隆尧县退役军人事务局对资金有专门的管理办法，制度完善，执行情况良好。项目经费严格按照单位的财务制度和预算支出范围使用。县退役军人事务局履职尽责组织运行良好，年度各项工作目标任务基本达成，优抚对象抚恤和生活补助得到有效改善，退役安置人员就业生活改善情况效果显著，促进了社会和谐，优抚对象和退役安置人员对服务工作满意。</w:t>
      </w:r>
    </w:p>
    <w:p w14:paraId="4867A22D">
      <w:pPr>
        <w:pStyle w:val="17"/>
        <w:numPr>
          <w:ilvl w:val="0"/>
          <w:numId w:val="2"/>
        </w:numPr>
        <w:adjustRightInd w:val="0"/>
        <w:ind w:firstLineChars="0"/>
        <w:rPr>
          <w:rFonts w:hint="eastAsia" w:ascii="仿宋" w:hAnsi="仿宋" w:eastAsia="仿宋" w:cs="仿宋"/>
          <w:sz w:val="32"/>
          <w:szCs w:val="32"/>
        </w:rPr>
      </w:pPr>
      <w:r>
        <w:rPr>
          <w:rFonts w:hint="eastAsia" w:ascii="仿宋" w:hAnsi="仿宋" w:eastAsia="仿宋" w:cs="仿宋"/>
          <w:sz w:val="32"/>
          <w:szCs w:val="32"/>
        </w:rPr>
        <w:t>实施履职活动产生的效果或服务对象满意程度。</w:t>
      </w:r>
    </w:p>
    <w:p w14:paraId="23150C48">
      <w:pPr>
        <w:adjustRightInd w:val="0"/>
        <w:ind w:left="480" w:firstLine="640" w:firstLineChars="200"/>
        <w:rPr>
          <w:rFonts w:ascii="仿宋" w:hAnsi="仿宋" w:eastAsia="仿宋" w:cs="仿宋"/>
          <w:sz w:val="32"/>
          <w:szCs w:val="32"/>
        </w:rPr>
      </w:pPr>
      <w:r>
        <w:rPr>
          <w:rFonts w:hint="eastAsia" w:ascii="仿宋" w:hAnsi="仿宋" w:eastAsia="仿宋" w:cs="Times New Roman"/>
          <w:sz w:val="32"/>
          <w:szCs w:val="32"/>
        </w:rPr>
        <w:t>优抚对象抚恤和生活补助得到有效改善，退役安置人员就业生活改善情况效果显著，促进了社会和谐，优抚对象和退役安置人员对服务工作满意。</w:t>
      </w:r>
    </w:p>
    <w:p w14:paraId="21139178">
      <w:pPr>
        <w:pStyle w:val="17"/>
        <w:numPr>
          <w:ilvl w:val="0"/>
          <w:numId w:val="1"/>
        </w:numPr>
        <w:ind w:firstLineChars="0"/>
        <w:rPr>
          <w:rFonts w:ascii="黑体" w:hAnsi="黑体" w:eastAsia="黑体" w:cs="仿宋"/>
          <w:sz w:val="32"/>
          <w:szCs w:val="32"/>
        </w:rPr>
      </w:pPr>
      <w:r>
        <w:rPr>
          <w:rFonts w:hint="eastAsia" w:ascii="黑体" w:hAnsi="黑体" w:eastAsia="黑体" w:cs="仿宋"/>
          <w:sz w:val="32"/>
          <w:szCs w:val="32"/>
        </w:rPr>
        <w:t>绩效评价的组织实施情况</w:t>
      </w:r>
    </w:p>
    <w:p w14:paraId="6F9ACEC3">
      <w:pPr>
        <w:adjustRightInd w:val="0"/>
        <w:ind w:firstLine="480" w:firstLineChars="150"/>
        <w:rPr>
          <w:rFonts w:ascii="仿宋" w:hAnsi="仿宋" w:eastAsia="仿宋" w:cs="仿宋"/>
          <w:sz w:val="32"/>
          <w:szCs w:val="32"/>
        </w:rPr>
      </w:pPr>
      <w:r>
        <w:rPr>
          <w:rFonts w:hint="eastAsia" w:ascii="仿宋" w:hAnsi="仿宋" w:eastAsia="仿宋" w:cs="仿宋"/>
          <w:sz w:val="32"/>
          <w:szCs w:val="32"/>
        </w:rPr>
        <w:t>（一）评价对象绩效目标。各项补助资金使用及时、有效、合理，及时发放到位。使优抚对象生活、医疗得到有效改善，维护社会稳定，促进社会和谐。</w:t>
      </w:r>
    </w:p>
    <w:p w14:paraId="6E9B4A6A">
      <w:pPr>
        <w:adjustRightInd w:val="0"/>
        <w:ind w:firstLine="480" w:firstLineChars="150"/>
        <w:rPr>
          <w:rFonts w:ascii="仿宋" w:hAnsi="仿宋" w:eastAsia="仿宋" w:cs="仿宋"/>
          <w:sz w:val="32"/>
          <w:szCs w:val="32"/>
        </w:rPr>
      </w:pPr>
      <w:r>
        <w:rPr>
          <w:rFonts w:hint="eastAsia" w:ascii="仿宋" w:hAnsi="仿宋" w:eastAsia="仿宋" w:cs="仿宋"/>
          <w:sz w:val="32"/>
          <w:szCs w:val="32"/>
        </w:rPr>
        <w:t>（二）绩效指标。各项指标逐一评价，按实际填写指标完成情况。</w:t>
      </w:r>
    </w:p>
    <w:p w14:paraId="5D0CA109">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（三）评价标准和评价方法。</w:t>
      </w:r>
    </w:p>
    <w:p w14:paraId="2F07F494">
      <w:pPr>
        <w:ind w:firstLine="800" w:firstLineChars="250"/>
        <w:rPr>
          <w:rFonts w:ascii="仿宋" w:hAnsi="仿宋" w:eastAsia="仿宋" w:cs="仿宋"/>
          <w:sz w:val="32"/>
          <w:szCs w:val="32"/>
        </w:rPr>
      </w:pPr>
      <w:r>
        <w:rPr>
          <w:rFonts w:hint="eastAsia" w:ascii="仿宋" w:hAnsi="仿宋" w:eastAsia="仿宋" w:cs="仿宋"/>
          <w:sz w:val="32"/>
          <w:szCs w:val="32"/>
        </w:rPr>
        <w:t>我局高度重视财政支出项目绩效评价工作，进一步树立了以绩效结果为导向的预算理念，成立了以局党组书记、局长郎立勇为组长，副局长司跃林和巩文周为组员的工作领导小组，及时召开相关会议，做出了财政支出绩效评价工作部署，局绩效评价工作由局财务科室组长管理，各股室分级实施，全面完成我局项目财政支出的绩效自评工作。</w:t>
      </w:r>
    </w:p>
    <w:p w14:paraId="532A1E56">
      <w:pPr>
        <w:pStyle w:val="17"/>
        <w:numPr>
          <w:ilvl w:val="0"/>
          <w:numId w:val="1"/>
        </w:numPr>
        <w:ind w:firstLineChars="0"/>
        <w:rPr>
          <w:rFonts w:hint="eastAsia" w:ascii="黑体" w:hAnsi="黑体" w:eastAsia="黑体" w:cs="仿宋"/>
          <w:sz w:val="32"/>
          <w:szCs w:val="32"/>
        </w:rPr>
      </w:pPr>
      <w:r>
        <w:rPr>
          <w:rFonts w:hint="eastAsia" w:ascii="黑体" w:hAnsi="黑体" w:eastAsia="黑体" w:cs="仿宋"/>
          <w:sz w:val="32"/>
          <w:szCs w:val="32"/>
        </w:rPr>
        <w:t>各项绩效目标的实现程度及差异性原因分析。</w:t>
      </w:r>
    </w:p>
    <w:p w14:paraId="23FB00C6">
      <w:pPr>
        <w:adjustRightInd w:val="0"/>
        <w:ind w:firstLine="640" w:firstLineChars="200"/>
        <w:rPr>
          <w:rFonts w:ascii="仿宋" w:hAnsi="仿宋" w:eastAsia="仿宋" w:cs="仿宋"/>
          <w:sz w:val="32"/>
          <w:szCs w:val="32"/>
        </w:rPr>
      </w:pPr>
      <w:r>
        <w:rPr>
          <w:rFonts w:hint="eastAsia" w:ascii="仿宋" w:hAnsi="仿宋" w:eastAsia="仿宋" w:cs="仿宋"/>
          <w:sz w:val="32"/>
          <w:szCs w:val="32"/>
        </w:rPr>
        <w:t>各项绩效目标基本都已完成，优抚对象生活、医疗得到了有效改善，维护社会稳定，促进社会和谐。</w:t>
      </w:r>
    </w:p>
    <w:p w14:paraId="5372580D">
      <w:pPr>
        <w:pStyle w:val="17"/>
        <w:numPr>
          <w:ilvl w:val="0"/>
          <w:numId w:val="1"/>
        </w:numPr>
        <w:ind w:firstLineChars="0"/>
        <w:rPr>
          <w:rFonts w:ascii="黑体" w:hAnsi="黑体" w:eastAsia="黑体" w:cs="仿宋"/>
          <w:sz w:val="32"/>
          <w:szCs w:val="32"/>
        </w:rPr>
      </w:pPr>
      <w:r>
        <w:rPr>
          <w:rFonts w:hint="eastAsia" w:ascii="黑体" w:hAnsi="黑体" w:eastAsia="黑体" w:cs="仿宋"/>
          <w:sz w:val="32"/>
          <w:szCs w:val="32"/>
        </w:rPr>
        <w:t>存在问题、</w:t>
      </w:r>
    </w:p>
    <w:p w14:paraId="044F2E0E">
      <w:pPr>
        <w:pStyle w:val="17"/>
        <w:numPr>
          <w:ilvl w:val="0"/>
          <w:numId w:val="1"/>
        </w:numPr>
        <w:ind w:firstLineChars="0"/>
        <w:rPr>
          <w:rFonts w:ascii="黑体" w:hAnsi="黑体" w:eastAsia="黑体" w:cs="仿宋"/>
          <w:sz w:val="32"/>
          <w:szCs w:val="32"/>
        </w:rPr>
      </w:pPr>
      <w:r>
        <w:rPr>
          <w:rFonts w:hint="eastAsia" w:ascii="黑体" w:hAnsi="黑体" w:eastAsia="黑体" w:cs="仿宋"/>
          <w:sz w:val="32"/>
          <w:szCs w:val="32"/>
        </w:rPr>
        <w:t>采取的纠偏措施及改进绩效管理建议。</w:t>
      </w: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01FB">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12</w:t>
    </w:r>
    <w:r>
      <w:rPr>
        <w:rStyle w:val="11"/>
        <w:rFonts w:ascii="宋体" w:hAnsi="宋体" w:eastAsia="宋体"/>
        <w:sz w:val="28"/>
        <w:szCs w:val="28"/>
      </w:rPr>
      <w:fldChar w:fldCharType="end"/>
    </w:r>
    <w:r>
      <w:rPr>
        <w:rStyle w:val="11"/>
        <w:rFonts w:hint="eastAsia" w:ascii="宋体" w:hAnsi="宋体" w:eastAsia="宋体"/>
        <w:sz w:val="28"/>
        <w:szCs w:val="28"/>
      </w:rPr>
      <w:t>-</w:t>
    </w:r>
  </w:p>
  <w:p w14:paraId="43657412">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D9BF7A">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61C11133">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DE332E9"/>
    <w:multiLevelType w:val="multilevel"/>
    <w:tmpl w:val="4DE332E9"/>
    <w:lvl w:ilvl="0" w:tentative="0">
      <w:start w:val="1"/>
      <w:numFmt w:val="japaneseCounting"/>
      <w:lvlText w:val="%1、"/>
      <w:lvlJc w:val="left"/>
      <w:pPr>
        <w:ind w:left="1429" w:hanging="720"/>
      </w:pPr>
      <w:rPr>
        <w:rFonts w:hint="default"/>
        <w:lang w:val="en-US"/>
      </w:rPr>
    </w:lvl>
    <w:lvl w:ilvl="1" w:tentative="0">
      <w:start w:val="1"/>
      <w:numFmt w:val="lowerLetter"/>
      <w:lvlText w:val="%2)"/>
      <w:lvlJc w:val="left"/>
      <w:pPr>
        <w:ind w:left="1419" w:hanging="420"/>
      </w:pPr>
    </w:lvl>
    <w:lvl w:ilvl="2" w:tentative="0">
      <w:start w:val="1"/>
      <w:numFmt w:val="lowerRoman"/>
      <w:lvlText w:val="%3."/>
      <w:lvlJc w:val="right"/>
      <w:pPr>
        <w:ind w:left="1839" w:hanging="420"/>
      </w:pPr>
    </w:lvl>
    <w:lvl w:ilvl="3" w:tentative="0">
      <w:start w:val="1"/>
      <w:numFmt w:val="decimal"/>
      <w:lvlText w:val="%4."/>
      <w:lvlJc w:val="left"/>
      <w:pPr>
        <w:ind w:left="2259" w:hanging="420"/>
      </w:pPr>
    </w:lvl>
    <w:lvl w:ilvl="4" w:tentative="0">
      <w:start w:val="1"/>
      <w:numFmt w:val="lowerLetter"/>
      <w:lvlText w:val="%5)"/>
      <w:lvlJc w:val="left"/>
      <w:pPr>
        <w:ind w:left="2679" w:hanging="420"/>
      </w:pPr>
    </w:lvl>
    <w:lvl w:ilvl="5" w:tentative="0">
      <w:start w:val="1"/>
      <w:numFmt w:val="lowerRoman"/>
      <w:lvlText w:val="%6."/>
      <w:lvlJc w:val="right"/>
      <w:pPr>
        <w:ind w:left="3099" w:hanging="420"/>
      </w:pPr>
    </w:lvl>
    <w:lvl w:ilvl="6" w:tentative="0">
      <w:start w:val="1"/>
      <w:numFmt w:val="decimal"/>
      <w:lvlText w:val="%7."/>
      <w:lvlJc w:val="left"/>
      <w:pPr>
        <w:ind w:left="3519" w:hanging="420"/>
      </w:pPr>
    </w:lvl>
    <w:lvl w:ilvl="7" w:tentative="0">
      <w:start w:val="1"/>
      <w:numFmt w:val="lowerLetter"/>
      <w:lvlText w:val="%8)"/>
      <w:lvlJc w:val="left"/>
      <w:pPr>
        <w:ind w:left="3939" w:hanging="420"/>
      </w:pPr>
    </w:lvl>
    <w:lvl w:ilvl="8" w:tentative="0">
      <w:start w:val="1"/>
      <w:numFmt w:val="lowerRoman"/>
      <w:lvlText w:val="%9."/>
      <w:lvlJc w:val="right"/>
      <w:pPr>
        <w:ind w:left="4359" w:hanging="420"/>
      </w:pPr>
    </w:lvl>
  </w:abstractNum>
  <w:abstractNum w:abstractNumId="1">
    <w:nsid w:val="51FB45AB"/>
    <w:multiLevelType w:val="multilevel"/>
    <w:tmpl w:val="51FB45AB"/>
    <w:lvl w:ilvl="0" w:tentative="0">
      <w:start w:val="1"/>
      <w:numFmt w:val="japaneseCounting"/>
      <w:lvlText w:val="（%1）"/>
      <w:lvlJc w:val="left"/>
      <w:pPr>
        <w:ind w:left="1560" w:hanging="108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042933"/>
    <w:rsid w:val="00002F2C"/>
    <w:rsid w:val="000070A8"/>
    <w:rsid w:val="00016CA4"/>
    <w:rsid w:val="000324AE"/>
    <w:rsid w:val="00042933"/>
    <w:rsid w:val="00074438"/>
    <w:rsid w:val="0008033E"/>
    <w:rsid w:val="00083780"/>
    <w:rsid w:val="0008759D"/>
    <w:rsid w:val="00094F2B"/>
    <w:rsid w:val="000B0A83"/>
    <w:rsid w:val="000B0FEE"/>
    <w:rsid w:val="000B3371"/>
    <w:rsid w:val="000B554D"/>
    <w:rsid w:val="000B6322"/>
    <w:rsid w:val="000C2CC1"/>
    <w:rsid w:val="000E4A5A"/>
    <w:rsid w:val="00103547"/>
    <w:rsid w:val="00136EC7"/>
    <w:rsid w:val="0017068B"/>
    <w:rsid w:val="00185A3C"/>
    <w:rsid w:val="00192D5A"/>
    <w:rsid w:val="001C59B3"/>
    <w:rsid w:val="001D49CC"/>
    <w:rsid w:val="001E0886"/>
    <w:rsid w:val="001F7E31"/>
    <w:rsid w:val="002071BC"/>
    <w:rsid w:val="002242E3"/>
    <w:rsid w:val="00225AE6"/>
    <w:rsid w:val="002270EB"/>
    <w:rsid w:val="00235F0F"/>
    <w:rsid w:val="00255783"/>
    <w:rsid w:val="00290BA1"/>
    <w:rsid w:val="0029512E"/>
    <w:rsid w:val="002A6AEA"/>
    <w:rsid w:val="002D1EB8"/>
    <w:rsid w:val="002F07DF"/>
    <w:rsid w:val="002F2268"/>
    <w:rsid w:val="00345121"/>
    <w:rsid w:val="003C50C2"/>
    <w:rsid w:val="0041099F"/>
    <w:rsid w:val="0042238D"/>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27BD"/>
    <w:rsid w:val="0071700D"/>
    <w:rsid w:val="00742652"/>
    <w:rsid w:val="00752E24"/>
    <w:rsid w:val="00756EFC"/>
    <w:rsid w:val="00772600"/>
    <w:rsid w:val="007D5D41"/>
    <w:rsid w:val="007F01F9"/>
    <w:rsid w:val="00856BA1"/>
    <w:rsid w:val="00856E5C"/>
    <w:rsid w:val="00867620"/>
    <w:rsid w:val="008709E0"/>
    <w:rsid w:val="008939A5"/>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54978"/>
    <w:rsid w:val="00A6449D"/>
    <w:rsid w:val="00A768DB"/>
    <w:rsid w:val="00AA09C8"/>
    <w:rsid w:val="00AD5761"/>
    <w:rsid w:val="00AD5F30"/>
    <w:rsid w:val="00AE14DC"/>
    <w:rsid w:val="00B0681D"/>
    <w:rsid w:val="00B56C08"/>
    <w:rsid w:val="00B9023F"/>
    <w:rsid w:val="00BC1FDC"/>
    <w:rsid w:val="00BD0FD8"/>
    <w:rsid w:val="00C44804"/>
    <w:rsid w:val="00C6362A"/>
    <w:rsid w:val="00C81363"/>
    <w:rsid w:val="00CB27A5"/>
    <w:rsid w:val="00CC6AD5"/>
    <w:rsid w:val="00CD55ED"/>
    <w:rsid w:val="00CD63C0"/>
    <w:rsid w:val="00CE5357"/>
    <w:rsid w:val="00CE62A0"/>
    <w:rsid w:val="00D21F0C"/>
    <w:rsid w:val="00D366C1"/>
    <w:rsid w:val="00D36CB5"/>
    <w:rsid w:val="00D877F7"/>
    <w:rsid w:val="00DB21F8"/>
    <w:rsid w:val="00DB2D43"/>
    <w:rsid w:val="00E266F1"/>
    <w:rsid w:val="00E924C0"/>
    <w:rsid w:val="00EB16A8"/>
    <w:rsid w:val="00EC7904"/>
    <w:rsid w:val="00F71479"/>
    <w:rsid w:val="00F72E93"/>
    <w:rsid w:val="00F85E6C"/>
    <w:rsid w:val="00F87A11"/>
    <w:rsid w:val="00FB2D24"/>
    <w:rsid w:val="00FB7E01"/>
    <w:rsid w:val="00FE5F4C"/>
    <w:rsid w:val="00FF39F6"/>
    <w:rsid w:val="05374814"/>
    <w:rsid w:val="0C8F0285"/>
    <w:rsid w:val="0F8F6BFC"/>
    <w:rsid w:val="107166F3"/>
    <w:rsid w:val="1C841DE7"/>
    <w:rsid w:val="3791647A"/>
    <w:rsid w:val="455969D8"/>
    <w:rsid w:val="48725571"/>
    <w:rsid w:val="4BDB04ED"/>
    <w:rsid w:val="526A3656"/>
    <w:rsid w:val="533C0A2C"/>
    <w:rsid w:val="53CD5365"/>
    <w:rsid w:val="5D643D56"/>
    <w:rsid w:val="64283056"/>
    <w:rsid w:val="69BD0A47"/>
    <w:rsid w:val="6EE61351"/>
    <w:rsid w:val="714525F9"/>
    <w:rsid w:val="71A911C9"/>
    <w:rsid w:val="7793669D"/>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 w:type="paragraph" w:customStyle="1" w:styleId="18">
    <w:name w:val="普通(网站)1"/>
    <w:basedOn w:val="1"/>
    <w:qFormat/>
    <w:uiPriority w:val="0"/>
    <w:pPr>
      <w:widowControl/>
      <w:spacing w:before="100" w:after="100"/>
      <w:jc w:val="left"/>
    </w:pPr>
    <w:rPr>
      <w:rFonts w:ascii="宋体" w:hAnsi="宋体" w:eastAsia="宋体" w:cs="Times New Roman"/>
      <w:kern w:val="0"/>
      <w:sz w:val="24"/>
      <w:szCs w:val="20"/>
      <w:lang w:eastAsia="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6980</Words>
  <Characters>7474</Characters>
  <Lines>56</Lines>
  <Paragraphs>15</Paragraphs>
  <TotalTime>0</TotalTime>
  <ScaleCrop>false</ScaleCrop>
  <LinksUpToDate>false</LinksUpToDate>
  <CharactersWithSpaces>7555</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迷糊虫</cp:lastModifiedBy>
  <cp:lastPrinted>2018-11-29T03:23:00Z</cp:lastPrinted>
  <dcterms:modified xsi:type="dcterms:W3CDTF">2025-04-09T01:43:34Z</dcterms:modified>
  <cp:revision>100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eyJoZGlkIjoiZGMwNWZkZmRjZjY4YThmMDljZWQ0ZWMwOTgzYmY4NDIiLCJ1c2VySWQiOiI0MDQwNjI3MzgifQ==</vt:lpwstr>
  </property>
  <property fmtid="{D5CDD505-2E9C-101B-9397-08002B2CF9AE}" pid="4" name="ICV">
    <vt:lpwstr>4ADF4C9963354EE9AB42437344B955AE_12</vt:lpwstr>
  </property>
</Properties>
</file>