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22619E">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5AE4BDD7">
      <w:pPr>
        <w:spacing w:line="480" w:lineRule="exact"/>
        <w:jc w:val="center"/>
        <w:rPr>
          <w:rFonts w:ascii="宋体" w:hAnsi="宋体"/>
          <w:b/>
          <w:sz w:val="44"/>
          <w:szCs w:val="44"/>
        </w:rPr>
      </w:pPr>
      <w:r>
        <w:rPr>
          <w:rFonts w:hint="eastAsia" w:ascii="宋体" w:hAnsi="宋体"/>
          <w:b/>
          <w:sz w:val="44"/>
          <w:szCs w:val="44"/>
          <w:lang w:val="en-US" w:eastAsia="zh-CN"/>
        </w:rPr>
        <w:t>共青团隆尧县委</w:t>
      </w:r>
      <w:r>
        <w:rPr>
          <w:rFonts w:hint="eastAsia" w:ascii="宋体" w:hAnsi="宋体"/>
          <w:b/>
          <w:sz w:val="44"/>
          <w:szCs w:val="44"/>
        </w:rPr>
        <w:t>2021年</w:t>
      </w:r>
    </w:p>
    <w:p w14:paraId="1DC3066E">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3955D79A">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44C609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4EEA83F">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CB42A45">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2D097867">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674E50EB">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40986E2F">
            <w:pPr>
              <w:widowControl/>
              <w:spacing w:line="240" w:lineRule="exact"/>
              <w:jc w:val="left"/>
              <w:rPr>
                <w:b/>
              </w:rPr>
            </w:pPr>
            <w:r>
              <w:rPr>
                <w:rFonts w:ascii="仿宋_GB2312" w:hAnsi="新宋体" w:eastAsia="仿宋_GB2312" w:cs="仿宋_GB2312"/>
                <w:b/>
                <w:kern w:val="0"/>
                <w:sz w:val="24"/>
                <w:szCs w:val="24"/>
              </w:rPr>
              <w:t>得分</w:t>
            </w:r>
          </w:p>
        </w:tc>
      </w:tr>
      <w:tr w14:paraId="142465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235BEB2">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DF0944B">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DE3F48B">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1EB6C143">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73220502">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3A293601">
            <w:pPr>
              <w:rPr>
                <w:rFonts w:ascii="宋体"/>
                <w:szCs w:val="21"/>
              </w:rPr>
            </w:pPr>
          </w:p>
        </w:tc>
      </w:tr>
      <w:tr w14:paraId="7E1929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2EC66D07">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6A75731B">
            <w:pPr>
              <w:widowControl/>
              <w:spacing w:line="240" w:lineRule="exact"/>
              <w:jc w:val="left"/>
              <w:rPr>
                <w:rFonts w:hint="default" w:eastAsiaTheme="minorEastAsia"/>
                <w:szCs w:val="21"/>
                <w:lang w:val="en-US" w:eastAsia="zh-CN"/>
              </w:rPr>
            </w:pPr>
            <w:r>
              <w:rPr>
                <w:rFonts w:hint="eastAsia"/>
                <w:szCs w:val="21"/>
                <w:lang w:val="en-US" w:eastAsia="zh-CN"/>
              </w:rPr>
              <w:t>99</w:t>
            </w:r>
          </w:p>
        </w:tc>
      </w:tr>
      <w:tr w14:paraId="7C97B6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C2F6DDC">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6FA48277">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4C13EAC2">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30D65257">
            <w:pPr>
              <w:widowControl/>
              <w:spacing w:line="240" w:lineRule="exact"/>
              <w:jc w:val="left"/>
              <w:rPr>
                <w:rFonts w:ascii="仿宋_GB2312" w:hAnsi="新宋体" w:eastAsia="仿宋_GB2312" w:cs="仿宋_GB2312"/>
                <w:kern w:val="0"/>
                <w:szCs w:val="21"/>
              </w:rPr>
            </w:pPr>
          </w:p>
          <w:p w14:paraId="707DA7C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42681899">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01E84050">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5981F791">
            <w:pPr>
              <w:widowControl/>
              <w:spacing w:line="240" w:lineRule="exact"/>
              <w:jc w:val="left"/>
              <w:rPr>
                <w:szCs w:val="21"/>
              </w:rPr>
            </w:pPr>
            <w:r>
              <w:rPr>
                <w:rFonts w:ascii="仿宋_GB2312" w:hAnsi="新宋体" w:eastAsia="仿宋_GB2312" w:cs="仿宋_GB2312"/>
                <w:kern w:val="0"/>
                <w:szCs w:val="21"/>
              </w:rPr>
              <w:t>符合（1）；</w:t>
            </w:r>
          </w:p>
          <w:p w14:paraId="262F13AF">
            <w:pPr>
              <w:widowControl/>
              <w:spacing w:line="240" w:lineRule="exact"/>
              <w:jc w:val="left"/>
              <w:rPr>
                <w:szCs w:val="21"/>
              </w:rPr>
            </w:pPr>
          </w:p>
        </w:tc>
        <w:tc>
          <w:tcPr>
            <w:tcW w:w="567" w:type="dxa"/>
            <w:tcBorders>
              <w:top w:val="single" w:color="000000" w:sz="4" w:space="0"/>
              <w:left w:val="single" w:color="auto" w:sz="4" w:space="0"/>
              <w:bottom w:val="single" w:color="auto" w:sz="4" w:space="0"/>
              <w:right w:val="single" w:color="000000" w:sz="4" w:space="0"/>
            </w:tcBorders>
            <w:vAlign w:val="center"/>
          </w:tcPr>
          <w:p w14:paraId="1C3683DD">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045BD6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F30C9A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94C6A67">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6281A18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5E0C04FD">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19289A4B">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167610EE">
            <w:pPr>
              <w:widowControl/>
              <w:spacing w:line="240" w:lineRule="exact"/>
              <w:jc w:val="left"/>
              <w:rPr>
                <w:szCs w:val="21"/>
              </w:rPr>
            </w:pPr>
            <w:r>
              <w:rPr>
                <w:rFonts w:ascii="仿宋_GB2312" w:hAnsi="新宋体" w:eastAsia="仿宋_GB2312" w:cs="仿宋_GB2312"/>
                <w:kern w:val="0"/>
                <w:szCs w:val="21"/>
              </w:rPr>
              <w:t>评价要点：</w:t>
            </w:r>
          </w:p>
          <w:p w14:paraId="1A304F3D">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7EFC2AF2">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36B63EBC">
            <w:pPr>
              <w:widowControl/>
              <w:spacing w:line="240" w:lineRule="exact"/>
              <w:jc w:val="left"/>
              <w:rPr>
                <w:szCs w:val="21"/>
              </w:rPr>
            </w:pPr>
            <w:r>
              <w:rPr>
                <w:rFonts w:ascii="仿宋_GB2312" w:hAnsi="新宋体" w:eastAsia="仿宋_GB2312" w:cs="仿宋_GB2312"/>
                <w:kern w:val="0"/>
                <w:szCs w:val="21"/>
              </w:rPr>
              <w:t>全部符合（2）；</w:t>
            </w:r>
          </w:p>
          <w:p w14:paraId="10A4C893">
            <w:pPr>
              <w:widowControl/>
              <w:spacing w:line="240" w:lineRule="exact"/>
              <w:jc w:val="left"/>
              <w:rPr>
                <w:szCs w:val="21"/>
              </w:rPr>
            </w:pPr>
          </w:p>
        </w:tc>
        <w:tc>
          <w:tcPr>
            <w:tcW w:w="567" w:type="dxa"/>
            <w:tcBorders>
              <w:top w:val="single" w:color="000000" w:sz="4" w:space="0"/>
              <w:left w:val="single" w:color="auto" w:sz="4" w:space="0"/>
              <w:bottom w:val="single" w:color="auto" w:sz="4" w:space="0"/>
              <w:right w:val="single" w:color="000000" w:sz="4" w:space="0"/>
            </w:tcBorders>
            <w:vAlign w:val="center"/>
          </w:tcPr>
          <w:p w14:paraId="3400094D">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5C544B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653FA5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3563D74">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3DE0D97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04488E4C">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449006C">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45D1095A">
            <w:pPr>
              <w:widowControl/>
              <w:spacing w:line="240" w:lineRule="exact"/>
              <w:jc w:val="left"/>
              <w:rPr>
                <w:szCs w:val="21"/>
              </w:rPr>
            </w:pPr>
            <w:r>
              <w:rPr>
                <w:rFonts w:ascii="仿宋_GB2312" w:hAnsi="新宋体" w:eastAsia="仿宋_GB2312" w:cs="仿宋_GB2312"/>
                <w:kern w:val="0"/>
                <w:szCs w:val="21"/>
              </w:rPr>
              <w:t>评价要点：</w:t>
            </w:r>
          </w:p>
          <w:p w14:paraId="0946B48A">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618B93C9">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71D63D31">
            <w:pPr>
              <w:widowControl/>
              <w:spacing w:line="240" w:lineRule="exact"/>
              <w:jc w:val="left"/>
              <w:rPr>
                <w:szCs w:val="21"/>
              </w:rPr>
            </w:pPr>
            <w:r>
              <w:rPr>
                <w:rFonts w:ascii="仿宋_GB2312" w:hAnsi="新宋体" w:eastAsia="仿宋_GB2312" w:cs="仿宋_GB2312"/>
                <w:kern w:val="0"/>
                <w:szCs w:val="21"/>
              </w:rPr>
              <w:t>全部符合（2）；</w:t>
            </w:r>
          </w:p>
          <w:p w14:paraId="3ADE288A">
            <w:pPr>
              <w:widowControl/>
              <w:spacing w:line="240" w:lineRule="exact"/>
              <w:jc w:val="left"/>
              <w:rPr>
                <w:szCs w:val="21"/>
              </w:rPr>
            </w:pPr>
          </w:p>
        </w:tc>
        <w:tc>
          <w:tcPr>
            <w:tcW w:w="567" w:type="dxa"/>
            <w:tcBorders>
              <w:top w:val="single" w:color="000000" w:sz="4" w:space="0"/>
              <w:left w:val="single" w:color="auto" w:sz="4" w:space="0"/>
              <w:bottom w:val="single" w:color="auto" w:sz="4" w:space="0"/>
              <w:right w:val="single" w:color="000000" w:sz="4" w:space="0"/>
            </w:tcBorders>
            <w:vAlign w:val="center"/>
          </w:tcPr>
          <w:p w14:paraId="01728CA2">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9B49A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9C125D4">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31942E7C">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12715AEF">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5ED6356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3906276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15ACA37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268DCFB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0E95C4E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0BCD5A27">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48874910">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707570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7A3CFA20">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5A442763">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7273865C">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14:paraId="42264B95">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6B6AD55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67FEC26E">
            <w:pPr>
              <w:widowControl/>
              <w:spacing w:line="240" w:lineRule="exact"/>
              <w:jc w:val="left"/>
              <w:textAlignment w:val="center"/>
              <w:rPr>
                <w:rFonts w:ascii="仿宋" w:hAnsi="仿宋" w:eastAsia="仿宋" w:cs="仿宋"/>
                <w:kern w:val="0"/>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205FE49C">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70DBB7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1FC136A6">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3FADA608">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60F9043D">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0F347420">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77BFC2B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28702CD0">
            <w:pPr>
              <w:widowControl/>
              <w:spacing w:line="240" w:lineRule="exact"/>
              <w:jc w:val="left"/>
              <w:textAlignment w:val="center"/>
              <w:rPr>
                <w:rFonts w:ascii="仿宋" w:hAnsi="仿宋" w:eastAsia="仿宋" w:cs="仿宋"/>
                <w:kern w:val="0"/>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0E7AA415">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65AE64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523F0FB6">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7715F4A6">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0292E00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5221D198">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98FD97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3FCBC1B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16964B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4888E3E5">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7AE2A279">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0E83FE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4D7457F">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8BD7659">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E735A5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6057388F">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3144533">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7F51657E">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7DEF961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w:t>
            </w:r>
          </w:p>
        </w:tc>
        <w:tc>
          <w:tcPr>
            <w:tcW w:w="567" w:type="dxa"/>
            <w:tcBorders>
              <w:top w:val="single" w:color="000000" w:sz="4" w:space="0"/>
              <w:left w:val="single" w:color="auto" w:sz="4" w:space="0"/>
              <w:bottom w:val="single" w:color="000000" w:sz="4" w:space="0"/>
              <w:right w:val="single" w:color="000000" w:sz="4" w:space="0"/>
            </w:tcBorders>
            <w:vAlign w:val="center"/>
          </w:tcPr>
          <w:p w14:paraId="5C93F9D3">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1FAF11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530BFF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84D0DD5">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48252D0">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4958BD86">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C65D840">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3A502521">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8D19EB3">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p>
          <w:p w14:paraId="65601BD1">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759A327D">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05415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4D4C7A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6996724">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F97BFE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2A43C81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765D2146">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7233123">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1E524123">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46CFB66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4C466A7E">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22260FDC">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48E6C7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5DDFAA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AC8CCD9">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F6CB44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73C1961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26513FF3">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4D5EED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5B199A3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45D7115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6AF5F7E2">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3670D791">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22BEF5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19AC74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07B8544">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28D85F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73DBD52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70BEF98D">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D37C24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1E8620F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2EE23ED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29FD656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1C45D891">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7365DED6">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7EE811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7E13F6A">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3884149">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2A7E94CC">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4C98C70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0DF9E09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1BC9E9C5">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8B3E3B7">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442DA044">
            <w:pPr>
              <w:widowControl/>
              <w:spacing w:line="240" w:lineRule="exact"/>
              <w:jc w:val="left"/>
              <w:rPr>
                <w:szCs w:val="21"/>
              </w:rPr>
            </w:pPr>
            <w:r>
              <w:rPr>
                <w:rFonts w:ascii="仿宋_GB2312" w:hAnsi="新宋体" w:eastAsia="仿宋_GB2312" w:cs="仿宋_GB2312"/>
                <w:kern w:val="0"/>
                <w:szCs w:val="21"/>
              </w:rPr>
              <w:t>评价要点：</w:t>
            </w:r>
          </w:p>
          <w:p w14:paraId="792FE9E3">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68A2D20B">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47179061">
            <w:pPr>
              <w:widowControl/>
              <w:spacing w:line="240" w:lineRule="exact"/>
              <w:jc w:val="left"/>
              <w:rPr>
                <w:szCs w:val="21"/>
              </w:rPr>
            </w:pPr>
            <w:r>
              <w:rPr>
                <w:rFonts w:ascii="仿宋_GB2312" w:hAnsi="新宋体" w:eastAsia="仿宋_GB2312" w:cs="仿宋_GB2312"/>
                <w:kern w:val="0"/>
                <w:szCs w:val="21"/>
              </w:rPr>
              <w:t>3.项目的重大开支经过评估论证；</w:t>
            </w:r>
          </w:p>
          <w:p w14:paraId="0B09AF19">
            <w:pPr>
              <w:widowControl/>
              <w:spacing w:line="240" w:lineRule="exact"/>
              <w:jc w:val="left"/>
              <w:rPr>
                <w:szCs w:val="21"/>
              </w:rPr>
            </w:pPr>
            <w:r>
              <w:rPr>
                <w:rFonts w:ascii="仿宋_GB2312" w:hAnsi="新宋体" w:eastAsia="仿宋_GB2312" w:cs="仿宋_GB2312"/>
                <w:kern w:val="0"/>
                <w:szCs w:val="21"/>
              </w:rPr>
              <w:t>4.符合部门预算批复的用途；</w:t>
            </w:r>
          </w:p>
          <w:p w14:paraId="61140924">
            <w:pPr>
              <w:widowControl/>
              <w:spacing w:line="240" w:lineRule="exact"/>
              <w:jc w:val="left"/>
              <w:rPr>
                <w:szCs w:val="21"/>
              </w:rPr>
            </w:pPr>
            <w:r>
              <w:rPr>
                <w:rFonts w:ascii="仿宋_GB2312" w:hAnsi="新宋体" w:eastAsia="仿宋_GB2312" w:cs="仿宋_GB2312"/>
                <w:kern w:val="0"/>
                <w:szCs w:val="21"/>
              </w:rPr>
              <w:t>5.不存在截留情况；</w:t>
            </w:r>
          </w:p>
          <w:p w14:paraId="018825CC">
            <w:pPr>
              <w:widowControl/>
              <w:spacing w:line="240" w:lineRule="exact"/>
              <w:jc w:val="left"/>
              <w:rPr>
                <w:szCs w:val="21"/>
              </w:rPr>
            </w:pPr>
            <w:r>
              <w:rPr>
                <w:rFonts w:ascii="仿宋_GB2312" w:hAnsi="新宋体" w:eastAsia="仿宋_GB2312" w:cs="仿宋_GB2312"/>
                <w:kern w:val="0"/>
                <w:szCs w:val="21"/>
              </w:rPr>
              <w:t>6.不存在挤占情况；</w:t>
            </w:r>
          </w:p>
          <w:p w14:paraId="51F5F610">
            <w:pPr>
              <w:widowControl/>
              <w:spacing w:line="240" w:lineRule="exact"/>
              <w:jc w:val="left"/>
              <w:rPr>
                <w:szCs w:val="21"/>
              </w:rPr>
            </w:pPr>
            <w:r>
              <w:rPr>
                <w:rFonts w:ascii="仿宋_GB2312" w:hAnsi="新宋体" w:eastAsia="仿宋_GB2312" w:cs="仿宋_GB2312"/>
                <w:kern w:val="0"/>
                <w:szCs w:val="21"/>
              </w:rPr>
              <w:t>7.不存在挪用情况；</w:t>
            </w:r>
          </w:p>
          <w:p w14:paraId="10B8CB8A">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33C6EBA2">
            <w:pPr>
              <w:widowControl/>
              <w:spacing w:line="240" w:lineRule="exact"/>
              <w:jc w:val="left"/>
              <w:rPr>
                <w:szCs w:val="21"/>
              </w:rPr>
            </w:pPr>
            <w:r>
              <w:rPr>
                <w:rFonts w:ascii="仿宋_GB2312" w:hAnsi="新宋体" w:eastAsia="仿宋_GB2312" w:cs="仿宋_GB2312"/>
                <w:kern w:val="0"/>
                <w:szCs w:val="21"/>
              </w:rPr>
              <w:t>全部符合（8）；</w:t>
            </w:r>
          </w:p>
          <w:p w14:paraId="1F97ABCB">
            <w:pPr>
              <w:widowControl/>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1976FF93">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29F0EB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B85447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7D90C6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52661E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456AAFB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1241904D">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9D478DD">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1EEA0797">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10A1D9A8">
            <w:pPr>
              <w:widowControl/>
              <w:spacing w:line="240" w:lineRule="exact"/>
              <w:jc w:val="left"/>
              <w:rPr>
                <w:szCs w:val="21"/>
              </w:rPr>
            </w:pPr>
            <w:r>
              <w:rPr>
                <w:rFonts w:ascii="仿宋_GB2312" w:hAnsi="新宋体" w:eastAsia="仿宋_GB2312" w:cs="仿宋_GB2312"/>
                <w:kern w:val="0"/>
                <w:szCs w:val="21"/>
              </w:rPr>
              <w:t>评价要点：</w:t>
            </w:r>
          </w:p>
          <w:p w14:paraId="418591E8">
            <w:pPr>
              <w:widowControl/>
              <w:spacing w:line="240" w:lineRule="exact"/>
              <w:jc w:val="left"/>
              <w:rPr>
                <w:szCs w:val="21"/>
              </w:rPr>
            </w:pPr>
            <w:r>
              <w:rPr>
                <w:rFonts w:ascii="仿宋_GB2312" w:hAnsi="新宋体" w:eastAsia="仿宋_GB2312" w:cs="仿宋_GB2312"/>
                <w:kern w:val="0"/>
                <w:szCs w:val="21"/>
              </w:rPr>
              <w:t>1.公开预决算信息；</w:t>
            </w:r>
          </w:p>
          <w:p w14:paraId="079CFF53">
            <w:pPr>
              <w:widowControl/>
              <w:spacing w:line="240" w:lineRule="exact"/>
              <w:jc w:val="left"/>
              <w:rPr>
                <w:szCs w:val="21"/>
              </w:rPr>
            </w:pPr>
            <w:r>
              <w:rPr>
                <w:rFonts w:ascii="仿宋_GB2312" w:hAnsi="新宋体" w:eastAsia="仿宋_GB2312" w:cs="仿宋_GB2312"/>
                <w:kern w:val="0"/>
                <w:szCs w:val="21"/>
              </w:rPr>
              <w:t>2.按规定内容公开预决算信息；</w:t>
            </w:r>
          </w:p>
          <w:p w14:paraId="4FC2502D">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3D68D00F">
            <w:pPr>
              <w:widowControl/>
              <w:spacing w:line="240" w:lineRule="exact"/>
              <w:jc w:val="left"/>
              <w:rPr>
                <w:szCs w:val="21"/>
              </w:rPr>
            </w:pPr>
            <w:r>
              <w:rPr>
                <w:rFonts w:ascii="仿宋_GB2312" w:hAnsi="新宋体" w:eastAsia="仿宋_GB2312" w:cs="仿宋_GB2312"/>
                <w:kern w:val="0"/>
                <w:szCs w:val="21"/>
              </w:rPr>
              <w:t>全部符合（3）；</w:t>
            </w:r>
          </w:p>
          <w:p w14:paraId="71AA9167">
            <w:pPr>
              <w:widowControl/>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4B6BCF39">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2EB65F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3F4030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1C9F0CC">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CD0F4B0">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48BC8E5F">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496FD7C8">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DF2C9F2">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1C45A74C">
            <w:pPr>
              <w:widowControl/>
              <w:spacing w:line="240" w:lineRule="exact"/>
              <w:jc w:val="left"/>
              <w:rPr>
                <w:szCs w:val="21"/>
              </w:rPr>
            </w:pPr>
            <w:r>
              <w:rPr>
                <w:rFonts w:ascii="仿宋_GB2312" w:hAnsi="新宋体" w:eastAsia="仿宋_GB2312" w:cs="仿宋_GB2312"/>
                <w:kern w:val="0"/>
                <w:szCs w:val="21"/>
              </w:rPr>
              <w:t>评价要点：</w:t>
            </w:r>
          </w:p>
          <w:p w14:paraId="05E43927">
            <w:pPr>
              <w:widowControl/>
              <w:spacing w:line="240" w:lineRule="exact"/>
              <w:jc w:val="left"/>
              <w:rPr>
                <w:szCs w:val="21"/>
              </w:rPr>
            </w:pPr>
            <w:r>
              <w:rPr>
                <w:rFonts w:ascii="仿宋_GB2312" w:hAnsi="新宋体" w:eastAsia="仿宋_GB2312" w:cs="仿宋_GB2312"/>
                <w:kern w:val="0"/>
                <w:szCs w:val="21"/>
              </w:rPr>
              <w:t>1.基本财务管理制度健全；</w:t>
            </w:r>
          </w:p>
          <w:p w14:paraId="42D0E256">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7394864F">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6959E7CD">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0BBC8F5A">
            <w:pPr>
              <w:widowControl/>
              <w:spacing w:line="240" w:lineRule="exact"/>
              <w:jc w:val="left"/>
              <w:rPr>
                <w:szCs w:val="21"/>
              </w:rPr>
            </w:pPr>
            <w:r>
              <w:rPr>
                <w:rFonts w:ascii="仿宋_GB2312" w:hAnsi="新宋体" w:eastAsia="仿宋_GB2312" w:cs="仿宋_GB2312"/>
                <w:kern w:val="0"/>
                <w:szCs w:val="21"/>
              </w:rPr>
              <w:t>符合全部四项（4）；</w:t>
            </w:r>
          </w:p>
          <w:p w14:paraId="38F86B64">
            <w:pPr>
              <w:widowControl/>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2E2FD56D">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28E03E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FB3CAC7">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902AF74">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57DC188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60EDED7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668BD20C">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25C123DD">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3FFA90F6">
            <w:pPr>
              <w:widowControl/>
              <w:spacing w:line="240" w:lineRule="exact"/>
              <w:jc w:val="left"/>
              <w:rPr>
                <w:szCs w:val="21"/>
              </w:rPr>
            </w:pPr>
            <w:r>
              <w:rPr>
                <w:rFonts w:ascii="仿宋_GB2312" w:hAnsi="新宋体" w:eastAsia="仿宋_GB2312" w:cs="仿宋_GB2312"/>
                <w:kern w:val="0"/>
                <w:szCs w:val="21"/>
              </w:rPr>
              <w:t>评价要点：</w:t>
            </w:r>
          </w:p>
          <w:p w14:paraId="534C8198">
            <w:pPr>
              <w:widowControl/>
              <w:spacing w:line="240" w:lineRule="exact"/>
              <w:jc w:val="left"/>
              <w:rPr>
                <w:szCs w:val="21"/>
              </w:rPr>
            </w:pPr>
            <w:r>
              <w:rPr>
                <w:rFonts w:ascii="仿宋_GB2312" w:hAnsi="新宋体" w:eastAsia="仿宋_GB2312" w:cs="仿宋_GB2312"/>
                <w:kern w:val="0"/>
                <w:szCs w:val="21"/>
              </w:rPr>
              <w:t>1.资产保存完整；</w:t>
            </w:r>
          </w:p>
          <w:p w14:paraId="6E5B5A82">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val="en-US" w:eastAsia="zh-CN"/>
              </w:rPr>
              <w:t>账</w:t>
            </w:r>
            <w:bookmarkStart w:id="0" w:name="_GoBack"/>
            <w:bookmarkEnd w:id="0"/>
            <w:r>
              <w:rPr>
                <w:rFonts w:hint="eastAsia" w:ascii="仿宋_GB2312" w:hAnsi="新宋体" w:eastAsia="仿宋_GB2312" w:cs="仿宋_GB2312"/>
                <w:kern w:val="0"/>
                <w:szCs w:val="21"/>
                <w:lang w:val="en-US" w:eastAsia="zh-CN"/>
              </w:rPr>
              <w:t>实</w:t>
            </w:r>
            <w:r>
              <w:rPr>
                <w:rFonts w:ascii="仿宋_GB2312" w:hAnsi="新宋体" w:eastAsia="仿宋_GB2312" w:cs="仿宋_GB2312"/>
                <w:kern w:val="0"/>
                <w:szCs w:val="21"/>
              </w:rPr>
              <w:t>相符；</w:t>
            </w:r>
          </w:p>
          <w:p w14:paraId="07EDD66E">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00C35BB8">
            <w:pPr>
              <w:widowControl/>
              <w:spacing w:line="240" w:lineRule="exact"/>
              <w:jc w:val="left"/>
              <w:rPr>
                <w:szCs w:val="21"/>
              </w:rPr>
            </w:pPr>
            <w:r>
              <w:rPr>
                <w:rFonts w:ascii="仿宋_GB2312" w:hAnsi="新宋体" w:eastAsia="仿宋_GB2312" w:cs="仿宋_GB2312"/>
                <w:kern w:val="0"/>
                <w:szCs w:val="21"/>
              </w:rPr>
              <w:t>符合全部三项（3）；</w:t>
            </w:r>
          </w:p>
          <w:p w14:paraId="5632861F">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668CDEC5">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54E6CE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5A8AD5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D04B840">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032CBF9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6799B67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19BB0F8C">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00012BA4">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03E16641">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5FF5DE3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3F144366">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0CAB10B9">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6C55CB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EF039BD">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284559D">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54D29362">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3A02F41E">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3337CC48">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7F221E3F">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4CE2B834">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10745DB6">
            <w:pPr>
              <w:widowControl/>
              <w:spacing w:line="240" w:lineRule="exact"/>
              <w:jc w:val="left"/>
              <w:textAlignment w:val="center"/>
              <w:rPr>
                <w:szCs w:val="21"/>
              </w:rPr>
            </w:pPr>
            <w:r>
              <w:rPr>
                <w:rFonts w:hint="eastAsia" w:ascii="仿宋" w:hAnsi="仿宋" w:eastAsia="仿宋" w:cs="仿宋"/>
                <w:color w:val="000000"/>
                <w:kern w:val="0"/>
                <w:szCs w:val="21"/>
              </w:rPr>
              <w:t xml:space="preserve">1.每项任务已制定了明确、具体、可量化、可衡量的绩效指标；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2.每项任务绩效指标全部完成；</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3.每项任务实施效果情况优秀；</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4.每项任务建立了目标责任制，落实到具体部门和人员负责。</w:t>
            </w:r>
          </w:p>
        </w:tc>
        <w:tc>
          <w:tcPr>
            <w:tcW w:w="567" w:type="dxa"/>
            <w:tcBorders>
              <w:top w:val="single" w:color="000000" w:sz="4" w:space="0"/>
              <w:left w:val="single" w:color="auto" w:sz="4" w:space="0"/>
              <w:bottom w:val="single" w:color="auto" w:sz="4" w:space="0"/>
              <w:right w:val="single" w:color="000000" w:sz="4" w:space="0"/>
            </w:tcBorders>
            <w:vAlign w:val="center"/>
          </w:tcPr>
          <w:p w14:paraId="0B2810D5">
            <w:pPr>
              <w:widowControl/>
              <w:spacing w:line="240" w:lineRule="exact"/>
              <w:jc w:val="left"/>
              <w:rPr>
                <w:rFonts w:hint="default" w:eastAsiaTheme="minorEastAsia"/>
                <w:szCs w:val="21"/>
                <w:lang w:val="en-US" w:eastAsia="zh-CN"/>
              </w:rPr>
            </w:pPr>
            <w:r>
              <w:rPr>
                <w:rFonts w:hint="eastAsia"/>
                <w:szCs w:val="21"/>
                <w:lang w:val="en-US" w:eastAsia="zh-CN"/>
              </w:rPr>
              <w:t>10</w:t>
            </w:r>
          </w:p>
        </w:tc>
      </w:tr>
      <w:tr w14:paraId="2A2BC9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90D2A9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E065630">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616A474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51304BDD">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5449CDC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780AD58D">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76F2516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19311BA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0891B675">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auto" w:sz="4" w:space="0"/>
              <w:right w:val="single" w:color="000000" w:sz="4" w:space="0"/>
            </w:tcBorders>
            <w:vAlign w:val="center"/>
          </w:tcPr>
          <w:p w14:paraId="04524C0B">
            <w:pPr>
              <w:widowControl/>
              <w:spacing w:line="240" w:lineRule="exact"/>
              <w:jc w:val="left"/>
              <w:rPr>
                <w:rFonts w:hint="default" w:eastAsiaTheme="minorEastAsia"/>
                <w:szCs w:val="21"/>
                <w:lang w:val="en-US" w:eastAsia="zh-CN"/>
              </w:rPr>
            </w:pPr>
            <w:r>
              <w:rPr>
                <w:rFonts w:hint="eastAsia"/>
                <w:szCs w:val="21"/>
                <w:lang w:val="en-US" w:eastAsia="zh-CN"/>
              </w:rPr>
              <w:t>15</w:t>
            </w:r>
          </w:p>
        </w:tc>
      </w:tr>
      <w:tr w14:paraId="34EEF0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CBDE924">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17C9B3BC">
            <w:pPr>
              <w:widowControl/>
              <w:spacing w:line="240" w:lineRule="exact"/>
              <w:jc w:val="left"/>
              <w:rPr>
                <w:rFonts w:ascii="仿宋_GB2312" w:hAnsi="新宋体" w:eastAsia="仿宋_GB2312" w:cs="仿宋_GB2312"/>
                <w:kern w:val="0"/>
                <w:szCs w:val="21"/>
              </w:rPr>
            </w:pPr>
          </w:p>
          <w:p w14:paraId="60218CA7">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64C20769">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34DB9C4A">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451F35DB">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3943114">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4CE330FE">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79294367">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7895E4B8">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07DD95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6C2ACB19">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127BCDF6">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F31AAAA">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4C12C4C5">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7488FF16">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142BBC79">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3A015F2D">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32C68AB0">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73820C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1F11967A">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6075584D">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737B5DD">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58945D0F">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45C2694D">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2F8CC62C">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3C13030C">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74D5B921">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0187A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D2F15F8">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7E0E3FC3">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FAF1E08">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4F90F2A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6C48ECB4">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16BE9043">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1310CDF1">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0C7FAC5E">
      <w:pPr>
        <w:widowControl/>
        <w:spacing w:line="480" w:lineRule="exact"/>
        <w:jc w:val="left"/>
        <w:rPr>
          <w:rFonts w:ascii="仿宋" w:hAnsi="仿宋" w:eastAsia="仿宋" w:cs="仿宋"/>
          <w:kern w:val="0"/>
          <w:sz w:val="32"/>
          <w:szCs w:val="32"/>
          <w:shd w:val="clear" w:color="auto" w:fill="FFFFFF"/>
        </w:rPr>
      </w:pPr>
    </w:p>
    <w:p w14:paraId="6F728BDD">
      <w:pPr>
        <w:rPr>
          <w:rFonts w:ascii="黑体" w:hAnsi="黑体" w:eastAsia="黑体" w:cs="黑体"/>
          <w:b/>
          <w:bCs/>
          <w:sz w:val="30"/>
          <w:szCs w:val="30"/>
        </w:rPr>
      </w:pPr>
      <w:r>
        <w:rPr>
          <w:rFonts w:hint="eastAsia" w:ascii="黑体" w:hAnsi="黑体" w:eastAsia="黑体" w:cs="黑体"/>
          <w:b/>
          <w:bCs/>
          <w:sz w:val="30"/>
          <w:szCs w:val="30"/>
        </w:rPr>
        <w:t>(后附部门整体自评报告)</w:t>
      </w:r>
    </w:p>
    <w:p w14:paraId="2DC8383B">
      <w:pPr>
        <w:rPr>
          <w:rFonts w:ascii="黑体" w:hAnsi="黑体" w:eastAsia="黑体" w:cs="黑体"/>
          <w:b/>
          <w:bCs/>
          <w:sz w:val="30"/>
          <w:szCs w:val="30"/>
        </w:rPr>
      </w:pPr>
    </w:p>
    <w:p w14:paraId="27169B6C">
      <w:pPr>
        <w:rPr>
          <w:rFonts w:ascii="黑体" w:hAnsi="黑体" w:eastAsia="黑体" w:cs="黑体"/>
          <w:b/>
          <w:bCs/>
          <w:sz w:val="30"/>
          <w:szCs w:val="30"/>
        </w:rPr>
      </w:pPr>
    </w:p>
    <w:p w14:paraId="0DDA0EDF">
      <w:pPr>
        <w:rPr>
          <w:rFonts w:ascii="黑体" w:hAnsi="黑体" w:eastAsia="黑体" w:cs="黑体"/>
          <w:b/>
          <w:bCs/>
          <w:sz w:val="30"/>
          <w:szCs w:val="30"/>
        </w:rPr>
      </w:pPr>
    </w:p>
    <w:p w14:paraId="7B0E648D">
      <w:pPr>
        <w:rPr>
          <w:rFonts w:ascii="黑体" w:hAnsi="黑体" w:eastAsia="黑体" w:cs="黑体"/>
          <w:b/>
          <w:bCs/>
          <w:sz w:val="30"/>
          <w:szCs w:val="30"/>
        </w:rPr>
      </w:pPr>
    </w:p>
    <w:p w14:paraId="245DFA8C">
      <w:pPr>
        <w:rPr>
          <w:rFonts w:ascii="黑体" w:hAnsi="黑体" w:eastAsia="黑体" w:cs="黑体"/>
          <w:b/>
          <w:bCs/>
          <w:sz w:val="30"/>
          <w:szCs w:val="30"/>
        </w:rPr>
      </w:pPr>
    </w:p>
    <w:p w14:paraId="58EB593C">
      <w:pPr>
        <w:ind w:firstLine="780"/>
        <w:jc w:val="center"/>
        <w:rPr>
          <w:rFonts w:hint="eastAsia" w:cs="黑体" w:asciiTheme="minorEastAsia" w:hAnsiTheme="minorEastAsia"/>
          <w:b/>
          <w:bCs/>
          <w:sz w:val="44"/>
          <w:szCs w:val="44"/>
        </w:rPr>
      </w:pPr>
    </w:p>
    <w:p w14:paraId="7AD18815">
      <w:pPr>
        <w:ind w:firstLine="780"/>
        <w:jc w:val="center"/>
        <w:rPr>
          <w:rFonts w:hint="eastAsia" w:cs="黑体" w:asciiTheme="minorEastAsia" w:hAnsiTheme="minorEastAsia"/>
          <w:b/>
          <w:bCs/>
          <w:sz w:val="44"/>
          <w:szCs w:val="44"/>
        </w:rPr>
      </w:pPr>
    </w:p>
    <w:p w14:paraId="6AF0F139">
      <w:pPr>
        <w:ind w:firstLine="780"/>
        <w:jc w:val="center"/>
        <w:rPr>
          <w:rFonts w:hint="eastAsia" w:cs="黑体" w:asciiTheme="minorEastAsia" w:hAnsiTheme="minorEastAsia"/>
          <w:b/>
          <w:bCs/>
          <w:sz w:val="44"/>
          <w:szCs w:val="44"/>
        </w:rPr>
      </w:pPr>
    </w:p>
    <w:p w14:paraId="59A99553">
      <w:pPr>
        <w:ind w:firstLine="780"/>
        <w:jc w:val="center"/>
        <w:rPr>
          <w:rFonts w:hint="eastAsia" w:cs="黑体" w:asciiTheme="minorEastAsia" w:hAnsiTheme="minorEastAsia"/>
          <w:b/>
          <w:bCs/>
          <w:sz w:val="44"/>
          <w:szCs w:val="44"/>
        </w:rPr>
      </w:pPr>
    </w:p>
    <w:p w14:paraId="2449A0F6">
      <w:pPr>
        <w:ind w:firstLine="780"/>
        <w:jc w:val="center"/>
        <w:rPr>
          <w:rFonts w:hint="eastAsia" w:cs="黑体" w:asciiTheme="minorEastAsia" w:hAnsiTheme="minorEastAsia"/>
          <w:b/>
          <w:bCs/>
          <w:sz w:val="44"/>
          <w:szCs w:val="44"/>
        </w:rPr>
      </w:pPr>
    </w:p>
    <w:p w14:paraId="30C832DA">
      <w:pPr>
        <w:ind w:firstLine="780"/>
        <w:jc w:val="center"/>
        <w:rPr>
          <w:rFonts w:hint="eastAsia" w:cs="黑体" w:asciiTheme="minorEastAsia" w:hAnsiTheme="minorEastAsia"/>
          <w:b/>
          <w:bCs/>
          <w:sz w:val="44"/>
          <w:szCs w:val="44"/>
        </w:rPr>
      </w:pPr>
    </w:p>
    <w:p w14:paraId="551C9CBE">
      <w:pPr>
        <w:ind w:firstLine="780"/>
        <w:jc w:val="center"/>
        <w:rPr>
          <w:rFonts w:hint="eastAsia" w:cs="黑体" w:asciiTheme="minorEastAsia" w:hAnsiTheme="minorEastAsia"/>
          <w:b/>
          <w:bCs/>
          <w:sz w:val="44"/>
          <w:szCs w:val="44"/>
          <w:lang w:val="en-US" w:eastAsia="zh-CN"/>
        </w:rPr>
      </w:pPr>
      <w:r>
        <w:rPr>
          <w:rFonts w:hint="eastAsia" w:cs="黑体" w:asciiTheme="minorEastAsia" w:hAnsiTheme="minorEastAsia"/>
          <w:b/>
          <w:bCs/>
          <w:sz w:val="44"/>
          <w:szCs w:val="44"/>
          <w:lang w:val="en-US" w:eastAsia="zh-CN"/>
        </w:rPr>
        <w:t>共青团隆尧县委</w:t>
      </w:r>
    </w:p>
    <w:p w14:paraId="2C2D0BBD">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574CD9DD">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7F580D08">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14:paraId="73984EDB">
      <w:pPr>
        <w:widowControl/>
        <w:spacing w:line="580" w:lineRule="atLeast"/>
        <w:ind w:firstLine="640"/>
        <w:jc w:val="left"/>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行使中共隆尧县委赋予的领导全县共青团工作，指导全县少先队工作的职权，对全县青年社团实行归口管理；参与制定本县的青少年事业发展规划和青少年工作方针、政策，对青少年活动阵地，青少年报刊、青少年服务机构建设等事务进行规划和归口管理；</w:t>
      </w:r>
    </w:p>
    <w:p w14:paraId="39849CEC">
      <w:pPr>
        <w:widowControl/>
        <w:spacing w:line="580" w:lineRule="atLeast"/>
        <w:ind w:firstLine="640"/>
        <w:jc w:val="left"/>
        <w:rPr>
          <w:rFonts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参与本县的有关青少年事业的法律、法规的实施和有关地方性法规的制定及实施，协助县委、县政府处理、协调与青少年利益相关的事务；</w:t>
      </w:r>
    </w:p>
    <w:p w14:paraId="18A52016">
      <w:pPr>
        <w:widowControl/>
        <w:spacing w:line="580" w:lineRule="atLeast"/>
        <w:ind w:firstLine="640"/>
        <w:jc w:val="left"/>
        <w:rPr>
          <w:rFonts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调查青少年思想动态和青年工作状况，研究青少年运动，青少年工作理论和思想教育问题，提出相应对策，开展各种活动；协助政府教育部门做好中、小学学生的教育管理工作，维护学校和社会安定团结；</w:t>
      </w:r>
    </w:p>
    <w:p w14:paraId="7A6098CD">
      <w:pPr>
        <w:autoSpaceDE w:val="0"/>
        <w:autoSpaceDN w:val="0"/>
        <w:adjustRightInd w:val="0"/>
        <w:ind w:firstLine="707" w:firstLineChars="221"/>
        <w:jc w:val="left"/>
        <w:rPr>
          <w:rFonts w:hint="eastAsia" w:ascii="仿宋_GB2312" w:hAnsi="仿宋_GB2312" w:eastAsia="仿宋_GB2312"/>
          <w:kern w:val="0"/>
          <w:sz w:val="32"/>
          <w:szCs w:val="32"/>
        </w:rPr>
      </w:pPr>
      <w:r>
        <w:rPr>
          <w:rFonts w:hint="eastAsia" w:ascii="仿宋_GB2312" w:hAnsi="仿宋_GB2312" w:eastAsia="仿宋_GB2312"/>
          <w:kern w:val="0"/>
          <w:sz w:val="32"/>
          <w:szCs w:val="32"/>
        </w:rPr>
        <w:t>共青团隆尧县委部门机构设置情况：</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25"/>
        <w:gridCol w:w="1596"/>
        <w:gridCol w:w="2052"/>
        <w:gridCol w:w="2616"/>
      </w:tblGrid>
      <w:tr w14:paraId="6BF17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tcPr>
          <w:p w14:paraId="7C1CABB4">
            <w:pPr>
              <w:autoSpaceDE w:val="0"/>
              <w:autoSpaceDN w:val="0"/>
              <w:adjustRightInd w:val="0"/>
              <w:jc w:val="center"/>
              <w:rPr>
                <w:rFonts w:hint="default" w:ascii="仿宋_GB2312" w:hAnsi="仿宋_GB2312" w:eastAsia="仿宋_GB2312"/>
                <w:kern w:val="0"/>
                <w:sz w:val="32"/>
                <w:szCs w:val="32"/>
                <w:vertAlign w:val="baseline"/>
                <w:lang w:val="en-US" w:eastAsia="zh-CN"/>
              </w:rPr>
            </w:pPr>
            <w:r>
              <w:rPr>
                <w:rFonts w:hint="eastAsia" w:ascii="仿宋_GB2312" w:hAnsi="仿宋_GB2312" w:eastAsia="仿宋_GB2312"/>
                <w:kern w:val="0"/>
                <w:sz w:val="32"/>
                <w:szCs w:val="32"/>
                <w:vertAlign w:val="baseline"/>
                <w:lang w:val="en-US" w:eastAsia="zh-CN"/>
              </w:rPr>
              <w:t>单位名称</w:t>
            </w:r>
          </w:p>
        </w:tc>
        <w:tc>
          <w:tcPr>
            <w:tcW w:w="1596" w:type="dxa"/>
          </w:tcPr>
          <w:p w14:paraId="2B514382">
            <w:pPr>
              <w:autoSpaceDE w:val="0"/>
              <w:autoSpaceDN w:val="0"/>
              <w:adjustRightInd w:val="0"/>
              <w:jc w:val="center"/>
              <w:rPr>
                <w:rFonts w:hint="default" w:ascii="仿宋_GB2312" w:hAnsi="仿宋_GB2312" w:eastAsia="仿宋_GB2312"/>
                <w:kern w:val="0"/>
                <w:sz w:val="32"/>
                <w:szCs w:val="32"/>
                <w:vertAlign w:val="baseline"/>
                <w:lang w:val="en-US" w:eastAsia="zh-CN"/>
              </w:rPr>
            </w:pPr>
            <w:r>
              <w:rPr>
                <w:rFonts w:hint="eastAsia" w:ascii="仿宋_GB2312" w:hAnsi="仿宋_GB2312" w:eastAsia="仿宋_GB2312"/>
                <w:kern w:val="0"/>
                <w:sz w:val="32"/>
                <w:szCs w:val="32"/>
                <w:vertAlign w:val="baseline"/>
                <w:lang w:val="en-US" w:eastAsia="zh-CN"/>
              </w:rPr>
              <w:t>单位性质</w:t>
            </w:r>
          </w:p>
        </w:tc>
        <w:tc>
          <w:tcPr>
            <w:tcW w:w="2052" w:type="dxa"/>
          </w:tcPr>
          <w:p w14:paraId="08FF00BB">
            <w:pPr>
              <w:autoSpaceDE w:val="0"/>
              <w:autoSpaceDN w:val="0"/>
              <w:adjustRightInd w:val="0"/>
              <w:jc w:val="center"/>
              <w:rPr>
                <w:rFonts w:hint="eastAsia" w:ascii="仿宋_GB2312" w:hAnsi="仿宋_GB2312" w:eastAsia="仿宋_GB2312"/>
                <w:kern w:val="0"/>
                <w:sz w:val="32"/>
                <w:szCs w:val="32"/>
                <w:vertAlign w:val="baseline"/>
                <w:lang w:val="en-US" w:eastAsia="zh-CN"/>
              </w:rPr>
            </w:pPr>
            <w:r>
              <w:rPr>
                <w:rFonts w:hint="eastAsia" w:ascii="仿宋_GB2312" w:hAnsi="仿宋_GB2312" w:eastAsia="仿宋_GB2312"/>
                <w:kern w:val="0"/>
                <w:sz w:val="32"/>
                <w:szCs w:val="32"/>
                <w:vertAlign w:val="baseline"/>
                <w:lang w:val="en-US" w:eastAsia="zh-CN"/>
              </w:rPr>
              <w:t>单位规格</w:t>
            </w:r>
          </w:p>
        </w:tc>
        <w:tc>
          <w:tcPr>
            <w:tcW w:w="2616" w:type="dxa"/>
          </w:tcPr>
          <w:p w14:paraId="37FBEFB9">
            <w:pPr>
              <w:autoSpaceDE w:val="0"/>
              <w:autoSpaceDN w:val="0"/>
              <w:adjustRightInd w:val="0"/>
              <w:jc w:val="center"/>
              <w:rPr>
                <w:rFonts w:hint="default" w:ascii="仿宋_GB2312" w:hAnsi="仿宋_GB2312" w:eastAsia="仿宋_GB2312"/>
                <w:kern w:val="0"/>
                <w:sz w:val="32"/>
                <w:szCs w:val="32"/>
                <w:vertAlign w:val="baseline"/>
                <w:lang w:val="en-US" w:eastAsia="zh-CN"/>
              </w:rPr>
            </w:pPr>
            <w:r>
              <w:rPr>
                <w:rFonts w:hint="eastAsia" w:ascii="仿宋_GB2312" w:hAnsi="仿宋_GB2312" w:eastAsia="仿宋_GB2312"/>
                <w:kern w:val="0"/>
                <w:sz w:val="32"/>
                <w:szCs w:val="32"/>
                <w:vertAlign w:val="baseline"/>
                <w:lang w:val="en-US" w:eastAsia="zh-CN"/>
              </w:rPr>
              <w:t>经费保障形式</w:t>
            </w:r>
          </w:p>
        </w:tc>
      </w:tr>
      <w:tr w14:paraId="216E6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tcPr>
          <w:p w14:paraId="41D0BB94">
            <w:pPr>
              <w:autoSpaceDE w:val="0"/>
              <w:autoSpaceDN w:val="0"/>
              <w:adjustRightInd w:val="0"/>
              <w:jc w:val="left"/>
              <w:rPr>
                <w:rFonts w:hint="default" w:ascii="仿宋_GB2312" w:hAnsi="仿宋_GB2312" w:eastAsia="仿宋_GB2312"/>
                <w:kern w:val="0"/>
                <w:sz w:val="32"/>
                <w:szCs w:val="32"/>
                <w:vertAlign w:val="baseline"/>
                <w:lang w:val="en-US" w:eastAsia="zh-CN"/>
              </w:rPr>
            </w:pPr>
            <w:r>
              <w:rPr>
                <w:rFonts w:hint="eastAsia" w:ascii="仿宋_GB2312" w:hAnsi="仿宋_GB2312" w:eastAsia="仿宋_GB2312"/>
                <w:kern w:val="0"/>
                <w:sz w:val="32"/>
                <w:szCs w:val="32"/>
                <w:vertAlign w:val="baseline"/>
                <w:lang w:val="en-US" w:eastAsia="zh-CN"/>
              </w:rPr>
              <w:t>共青团隆尧县委</w:t>
            </w:r>
          </w:p>
        </w:tc>
        <w:tc>
          <w:tcPr>
            <w:tcW w:w="1596" w:type="dxa"/>
          </w:tcPr>
          <w:p w14:paraId="0CBDE0A5">
            <w:pPr>
              <w:autoSpaceDE w:val="0"/>
              <w:autoSpaceDN w:val="0"/>
              <w:adjustRightInd w:val="0"/>
              <w:jc w:val="left"/>
              <w:rPr>
                <w:rFonts w:hint="default" w:ascii="仿宋_GB2312" w:hAnsi="仿宋_GB2312" w:eastAsia="仿宋_GB2312"/>
                <w:kern w:val="0"/>
                <w:sz w:val="32"/>
                <w:szCs w:val="32"/>
                <w:vertAlign w:val="baseline"/>
                <w:lang w:val="en-US" w:eastAsia="zh-CN"/>
              </w:rPr>
            </w:pPr>
            <w:r>
              <w:rPr>
                <w:rFonts w:hint="eastAsia" w:ascii="仿宋_GB2312" w:hAnsi="仿宋_GB2312" w:eastAsia="仿宋_GB2312"/>
                <w:kern w:val="0"/>
                <w:sz w:val="32"/>
                <w:szCs w:val="32"/>
                <w:vertAlign w:val="baseline"/>
                <w:lang w:val="en-US" w:eastAsia="zh-CN"/>
              </w:rPr>
              <w:t>群团组织</w:t>
            </w:r>
          </w:p>
        </w:tc>
        <w:tc>
          <w:tcPr>
            <w:tcW w:w="2052" w:type="dxa"/>
          </w:tcPr>
          <w:p w14:paraId="2C7FDA3B">
            <w:pPr>
              <w:autoSpaceDE w:val="0"/>
              <w:autoSpaceDN w:val="0"/>
              <w:adjustRightInd w:val="0"/>
              <w:jc w:val="center"/>
              <w:rPr>
                <w:rFonts w:hint="default" w:ascii="仿宋_GB2312" w:hAnsi="仿宋_GB2312" w:eastAsia="仿宋_GB2312"/>
                <w:kern w:val="0"/>
                <w:sz w:val="32"/>
                <w:szCs w:val="32"/>
                <w:vertAlign w:val="baseline"/>
                <w:lang w:val="en-US" w:eastAsia="zh-CN"/>
              </w:rPr>
            </w:pPr>
            <w:r>
              <w:rPr>
                <w:rFonts w:hint="eastAsia" w:ascii="仿宋_GB2312" w:hAnsi="仿宋_GB2312" w:eastAsia="仿宋_GB2312"/>
                <w:kern w:val="0"/>
                <w:sz w:val="32"/>
                <w:szCs w:val="32"/>
                <w:vertAlign w:val="baseline"/>
                <w:lang w:val="en-US" w:eastAsia="zh-CN"/>
              </w:rPr>
              <w:t>正科级</w:t>
            </w:r>
          </w:p>
        </w:tc>
        <w:tc>
          <w:tcPr>
            <w:tcW w:w="2616" w:type="dxa"/>
          </w:tcPr>
          <w:p w14:paraId="6B594BB1">
            <w:pPr>
              <w:autoSpaceDE w:val="0"/>
              <w:autoSpaceDN w:val="0"/>
              <w:adjustRightInd w:val="0"/>
              <w:jc w:val="center"/>
              <w:rPr>
                <w:rFonts w:hint="default" w:ascii="仿宋_GB2312" w:hAnsi="仿宋_GB2312" w:eastAsia="仿宋_GB2312"/>
                <w:kern w:val="0"/>
                <w:sz w:val="32"/>
                <w:szCs w:val="32"/>
                <w:vertAlign w:val="baseline"/>
                <w:lang w:val="en-US" w:eastAsia="zh-CN"/>
              </w:rPr>
            </w:pPr>
            <w:r>
              <w:rPr>
                <w:rFonts w:hint="eastAsia" w:ascii="仿宋_GB2312" w:hAnsi="仿宋_GB2312" w:eastAsia="仿宋_GB2312"/>
                <w:kern w:val="0"/>
                <w:sz w:val="32"/>
                <w:szCs w:val="32"/>
                <w:vertAlign w:val="baseline"/>
                <w:lang w:val="en-US" w:eastAsia="zh-CN"/>
              </w:rPr>
              <w:t>财政拨款</w:t>
            </w:r>
          </w:p>
        </w:tc>
      </w:tr>
    </w:tbl>
    <w:p w14:paraId="47C449D2">
      <w:pPr>
        <w:adjustRightInd w:val="0"/>
        <w:rPr>
          <w:rFonts w:hint="eastAsia" w:ascii="仿宋" w:hAnsi="仿宋" w:eastAsia="仿宋" w:cs="仿宋"/>
          <w:sz w:val="32"/>
          <w:szCs w:val="32"/>
        </w:rPr>
      </w:pPr>
    </w:p>
    <w:p w14:paraId="4B49F4A7">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人员及资产情况。</w:t>
      </w:r>
    </w:p>
    <w:p w14:paraId="35C7D811">
      <w:pPr>
        <w:numPr>
          <w:ilvl w:val="0"/>
          <w:numId w:val="0"/>
        </w:numPr>
        <w:adjustRightInd w:val="0"/>
        <w:ind w:left="480" w:leftChars="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2021年年底我单位编制数5个，实有在职人员2人。2021年底我单位固定资产净值为20351.17元。</w:t>
      </w:r>
    </w:p>
    <w:p w14:paraId="2F72CAAD">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部门履职总体目标。</w:t>
      </w:r>
    </w:p>
    <w:p w14:paraId="5D70D096">
      <w:pPr>
        <w:numPr>
          <w:ilvl w:val="0"/>
          <w:numId w:val="0"/>
        </w:numPr>
        <w:adjustRightInd w:val="0"/>
        <w:ind w:left="480" w:leftChars="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2021年，共青团隆尧县委召开青年马克思主义者培训班一期，建设“青年中心”一个，完成年初项目所设目标。</w:t>
      </w:r>
    </w:p>
    <w:p w14:paraId="3B3FE31E">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年度整体绩效目标和工作任务。</w:t>
      </w:r>
    </w:p>
    <w:p w14:paraId="5C84DC86">
      <w:pPr>
        <w:numPr>
          <w:ilvl w:val="0"/>
          <w:numId w:val="0"/>
        </w:numPr>
        <w:adjustRightInd w:val="0"/>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举办青年马克思主义者培训班一期，建设“青年中心”。</w:t>
      </w:r>
    </w:p>
    <w:p w14:paraId="42EF2A83">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预算资金安排及资金支出情况。</w:t>
      </w:r>
    </w:p>
    <w:p w14:paraId="268C9F9E">
      <w:pPr>
        <w:numPr>
          <w:ilvl w:val="0"/>
          <w:numId w:val="0"/>
        </w:numPr>
        <w:adjustRightInd w:val="0"/>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2021年全年预算金额为394931元，年底已全部支出</w:t>
      </w:r>
    </w:p>
    <w:p w14:paraId="14B46236">
      <w:pPr>
        <w:pStyle w:val="18"/>
        <w:numPr>
          <w:ilvl w:val="0"/>
          <w:numId w:val="0"/>
        </w:numPr>
        <w:ind w:left="709" w:leftChars="0"/>
        <w:rPr>
          <w:rFonts w:ascii="黑体" w:hAnsi="黑体" w:eastAsia="黑体" w:cs="仿宋"/>
          <w:sz w:val="32"/>
          <w:szCs w:val="32"/>
        </w:rPr>
      </w:pPr>
      <w:r>
        <w:rPr>
          <w:rFonts w:hint="eastAsia" w:ascii="黑体" w:hAnsi="黑体" w:eastAsia="黑体" w:cs="仿宋"/>
          <w:sz w:val="32"/>
          <w:szCs w:val="32"/>
          <w:lang w:val="en-US" w:eastAsia="zh-CN"/>
        </w:rPr>
        <w:t>二、</w:t>
      </w:r>
      <w:r>
        <w:rPr>
          <w:rFonts w:hint="eastAsia" w:ascii="黑体" w:hAnsi="黑体" w:eastAsia="黑体" w:cs="仿宋"/>
          <w:sz w:val="32"/>
          <w:szCs w:val="32"/>
        </w:rPr>
        <w:t>预算绩效管理开展及整体绩效实现情况。</w:t>
      </w:r>
    </w:p>
    <w:p w14:paraId="1D4D4E32">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（一）部门开展预算绩效管理情况。</w:t>
      </w:r>
    </w:p>
    <w:p w14:paraId="2EF24E97">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lang w:val="en-US" w:eastAsia="zh-CN"/>
        </w:rPr>
        <w:t>按照年初预算目标开展各项工作，预计举办青年马克思主义者培训班一期，建设“青年中心”一个。</w:t>
      </w:r>
    </w:p>
    <w:p w14:paraId="1529559F">
      <w:pPr>
        <w:numPr>
          <w:ilvl w:val="0"/>
          <w:numId w:val="2"/>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工作履行活动完成情况。</w:t>
      </w:r>
    </w:p>
    <w:p w14:paraId="395030A6">
      <w:pPr>
        <w:numPr>
          <w:ilvl w:val="0"/>
          <w:numId w:val="0"/>
        </w:numPr>
        <w:adjustRightInd w:val="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截止2021年底，举办青年马克思主义者培训班一期，建设“青年中心”一个。</w:t>
      </w:r>
    </w:p>
    <w:p w14:paraId="60F7D341">
      <w:pPr>
        <w:numPr>
          <w:ilvl w:val="0"/>
          <w:numId w:val="2"/>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实施履职活动产生的效果或服务对象满意程度。</w:t>
      </w:r>
    </w:p>
    <w:p w14:paraId="6EDFE63D">
      <w:pPr>
        <w:numPr>
          <w:ilvl w:val="0"/>
          <w:numId w:val="0"/>
        </w:numPr>
        <w:adjustRightInd w:val="0"/>
        <w:ind w:leftChars="15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青年马克思主义者培训班结束后发放调查问卷，根据回收问卷统计，满意度达到100%。</w:t>
      </w:r>
    </w:p>
    <w:p w14:paraId="3CD35A60">
      <w:pPr>
        <w:pStyle w:val="18"/>
        <w:numPr>
          <w:ilvl w:val="0"/>
          <w:numId w:val="0"/>
        </w:numPr>
        <w:ind w:left="709" w:leftChars="0"/>
        <w:rPr>
          <w:rFonts w:ascii="黑体" w:hAnsi="黑体" w:eastAsia="黑体" w:cs="仿宋"/>
          <w:sz w:val="32"/>
          <w:szCs w:val="32"/>
        </w:rPr>
      </w:pPr>
      <w:r>
        <w:rPr>
          <w:rFonts w:hint="eastAsia" w:ascii="黑体" w:hAnsi="黑体" w:eastAsia="黑体" w:cs="仿宋"/>
          <w:sz w:val="32"/>
          <w:szCs w:val="32"/>
          <w:lang w:val="en-US" w:eastAsia="zh-CN"/>
        </w:rPr>
        <w:t>三、</w:t>
      </w:r>
      <w:r>
        <w:rPr>
          <w:rFonts w:hint="eastAsia" w:ascii="黑体" w:hAnsi="黑体" w:eastAsia="黑体" w:cs="仿宋"/>
          <w:sz w:val="32"/>
          <w:szCs w:val="32"/>
        </w:rPr>
        <w:t>绩效评价的组织实施情况</w:t>
      </w:r>
    </w:p>
    <w:p w14:paraId="6BE9B3F2">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（一）评价对象绩效目标。</w:t>
      </w:r>
    </w:p>
    <w:p w14:paraId="7580F81C">
      <w:pPr>
        <w:adjustRightInd w:val="0"/>
        <w:ind w:firstLine="480" w:firstLineChars="15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青马培训工程参训人员达100人，青年中心举办活动四场。</w:t>
      </w:r>
    </w:p>
    <w:p w14:paraId="278E0F76">
      <w:pPr>
        <w:numPr>
          <w:ilvl w:val="0"/>
          <w:numId w:val="3"/>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绩效指标。</w:t>
      </w:r>
    </w:p>
    <w:p w14:paraId="12EFF726">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lang w:val="en-US" w:eastAsia="zh-CN"/>
        </w:rPr>
        <w:t>青马培训工程参训人员达100人，青年中心举办活动四场。</w:t>
      </w:r>
    </w:p>
    <w:p w14:paraId="2B701420">
      <w:pPr>
        <w:numPr>
          <w:ilvl w:val="0"/>
          <w:numId w:val="3"/>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评价标准和评价方法。</w:t>
      </w:r>
    </w:p>
    <w:p w14:paraId="46C97627">
      <w:pPr>
        <w:numPr>
          <w:ilvl w:val="0"/>
          <w:numId w:val="0"/>
        </w:numPr>
        <w:adjustRightInd w:val="0"/>
        <w:ind w:leftChars="15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按照产出指标、效果指标、满意度指标进行评价。</w:t>
      </w:r>
    </w:p>
    <w:p w14:paraId="25716157">
      <w:pPr>
        <w:pStyle w:val="18"/>
        <w:numPr>
          <w:ilvl w:val="0"/>
          <w:numId w:val="0"/>
        </w:numPr>
        <w:ind w:left="709" w:leftChars="0"/>
        <w:rPr>
          <w:rFonts w:hint="eastAsia" w:ascii="黑体" w:hAnsi="黑体" w:eastAsia="黑体" w:cs="仿宋"/>
          <w:sz w:val="32"/>
          <w:szCs w:val="32"/>
        </w:rPr>
      </w:pPr>
      <w:r>
        <w:rPr>
          <w:rFonts w:hint="eastAsia" w:ascii="黑体" w:hAnsi="黑体" w:eastAsia="黑体" w:cs="仿宋"/>
          <w:sz w:val="32"/>
          <w:szCs w:val="32"/>
          <w:lang w:val="en-US" w:eastAsia="zh-CN"/>
        </w:rPr>
        <w:t>四、</w:t>
      </w:r>
      <w:r>
        <w:rPr>
          <w:rFonts w:hint="eastAsia" w:ascii="黑体" w:hAnsi="黑体" w:eastAsia="黑体" w:cs="仿宋"/>
          <w:sz w:val="32"/>
          <w:szCs w:val="32"/>
        </w:rPr>
        <w:t>各项绩效目标的实现程度及差异性原因分析。</w:t>
      </w:r>
    </w:p>
    <w:p w14:paraId="1B7C856A">
      <w:pPr>
        <w:pStyle w:val="18"/>
        <w:numPr>
          <w:ilvl w:val="0"/>
          <w:numId w:val="0"/>
        </w:numPr>
        <w:ind w:left="709" w:leftChars="0"/>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各项绩效目标均已完成。</w:t>
      </w:r>
    </w:p>
    <w:p w14:paraId="63185A08">
      <w:pPr>
        <w:pStyle w:val="18"/>
        <w:numPr>
          <w:ilvl w:val="0"/>
          <w:numId w:val="0"/>
        </w:numPr>
        <w:ind w:left="709" w:leftChars="0"/>
        <w:rPr>
          <w:rFonts w:ascii="黑体" w:hAnsi="黑体" w:eastAsia="黑体"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E6F5F1">
    <w:pPr>
      <w:pStyle w:val="5"/>
      <w:framePr w:wrap="around" w:vAnchor="text" w:hAnchor="margin" w:xAlign="outside" w:y="1"/>
      <w:rPr>
        <w:rStyle w:val="12"/>
        <w:rFonts w:ascii="宋体" w:hAnsi="宋体" w:eastAsia="宋体"/>
        <w:sz w:val="28"/>
        <w:szCs w:val="28"/>
      </w:rPr>
    </w:pPr>
    <w:r>
      <w:rPr>
        <w:rStyle w:val="12"/>
        <w:rFonts w:hint="eastAsia" w:ascii="宋体" w:hAnsi="宋体" w:eastAsia="宋体"/>
        <w:sz w:val="28"/>
        <w:szCs w:val="28"/>
      </w:rPr>
      <w:t>-</w:t>
    </w:r>
    <w:r>
      <w:rPr>
        <w:rStyle w:val="12"/>
        <w:rFonts w:ascii="宋体" w:hAnsi="宋体" w:eastAsia="宋体"/>
        <w:sz w:val="28"/>
        <w:szCs w:val="28"/>
      </w:rPr>
      <w:fldChar w:fldCharType="begin"/>
    </w:r>
    <w:r>
      <w:rPr>
        <w:rStyle w:val="12"/>
        <w:rFonts w:ascii="宋体" w:hAnsi="宋体" w:eastAsia="宋体"/>
        <w:sz w:val="28"/>
        <w:szCs w:val="28"/>
      </w:rPr>
      <w:instrText xml:space="preserve">PAGE  </w:instrText>
    </w:r>
    <w:r>
      <w:rPr>
        <w:rStyle w:val="12"/>
        <w:rFonts w:ascii="宋体" w:hAnsi="宋体" w:eastAsia="宋体"/>
        <w:sz w:val="28"/>
        <w:szCs w:val="28"/>
      </w:rPr>
      <w:fldChar w:fldCharType="separate"/>
    </w:r>
    <w:r>
      <w:rPr>
        <w:rStyle w:val="12"/>
        <w:rFonts w:ascii="宋体" w:hAnsi="宋体" w:eastAsia="宋体"/>
        <w:sz w:val="28"/>
        <w:szCs w:val="28"/>
      </w:rPr>
      <w:t>7</w:t>
    </w:r>
    <w:r>
      <w:rPr>
        <w:rStyle w:val="12"/>
        <w:rFonts w:ascii="宋体" w:hAnsi="宋体" w:eastAsia="宋体"/>
        <w:sz w:val="28"/>
        <w:szCs w:val="28"/>
      </w:rPr>
      <w:fldChar w:fldCharType="end"/>
    </w:r>
    <w:r>
      <w:rPr>
        <w:rStyle w:val="12"/>
        <w:rFonts w:hint="eastAsia" w:ascii="宋体" w:hAnsi="宋体" w:eastAsia="宋体"/>
        <w:sz w:val="28"/>
        <w:szCs w:val="28"/>
      </w:rPr>
      <w:t>-</w:t>
    </w:r>
  </w:p>
  <w:p w14:paraId="646591CB">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5CF1ED">
    <w:pPr>
      <w:pStyle w:val="5"/>
      <w:framePr w:wrap="around" w:vAnchor="text" w:hAnchor="margin" w:xAlign="outside" w:y="1"/>
      <w:rPr>
        <w:rStyle w:val="12"/>
      </w:rPr>
    </w:pPr>
    <w:r>
      <w:rPr>
        <w:rStyle w:val="12"/>
      </w:rPr>
      <w:fldChar w:fldCharType="begin"/>
    </w:r>
    <w:r>
      <w:rPr>
        <w:rStyle w:val="12"/>
      </w:rPr>
      <w:instrText xml:space="preserve">PAGE  </w:instrText>
    </w:r>
    <w:r>
      <w:rPr>
        <w:rStyle w:val="12"/>
      </w:rPr>
      <w:fldChar w:fldCharType="end"/>
    </w:r>
  </w:p>
  <w:p w14:paraId="0F3C769C">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C3F97D"/>
    <w:multiLevelType w:val="singleLevel"/>
    <w:tmpl w:val="B0C3F97D"/>
    <w:lvl w:ilvl="0" w:tentative="0">
      <w:start w:val="2"/>
      <w:numFmt w:val="chineseCounting"/>
      <w:suff w:val="nothing"/>
      <w:lvlText w:val="（%1）"/>
      <w:lvlJc w:val="left"/>
      <w:rPr>
        <w:rFonts w:hint="eastAsia"/>
      </w:rPr>
    </w:lvl>
  </w:abstractNum>
  <w:abstractNum w:abstractNumId="1">
    <w:nsid w:val="CD36E3E3"/>
    <w:multiLevelType w:val="singleLevel"/>
    <w:tmpl w:val="CD36E3E3"/>
    <w:lvl w:ilvl="0" w:tentative="0">
      <w:start w:val="2"/>
      <w:numFmt w:val="chineseCounting"/>
      <w:suff w:val="nothing"/>
      <w:lvlText w:val="（%1）"/>
      <w:lvlJc w:val="left"/>
      <w:pPr>
        <w:ind w:left="480" w:leftChars="0" w:firstLine="0" w:firstLineChars="0"/>
      </w:pPr>
      <w:rPr>
        <w:rFonts w:hint="eastAsia"/>
      </w:rPr>
    </w:lvl>
  </w:abstractNum>
  <w:abstractNum w:abstractNumId="2">
    <w:nsid w:val="1E567D20"/>
    <w:multiLevelType w:val="singleLevel"/>
    <w:tmpl w:val="1E567D20"/>
    <w:lvl w:ilvl="0" w:tentative="0">
      <w:start w:val="2"/>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BCE552D"/>
    <w:rsid w:val="0C8F0285"/>
    <w:rsid w:val="0E681BFE"/>
    <w:rsid w:val="0F8F6BFC"/>
    <w:rsid w:val="107166F3"/>
    <w:rsid w:val="19146754"/>
    <w:rsid w:val="1BD61018"/>
    <w:rsid w:val="1C841DE7"/>
    <w:rsid w:val="1DBE2801"/>
    <w:rsid w:val="3562263F"/>
    <w:rsid w:val="3791647A"/>
    <w:rsid w:val="455969D8"/>
    <w:rsid w:val="45F621B4"/>
    <w:rsid w:val="469E666E"/>
    <w:rsid w:val="48725571"/>
    <w:rsid w:val="4BDB04ED"/>
    <w:rsid w:val="526A3656"/>
    <w:rsid w:val="53CD5365"/>
    <w:rsid w:val="5D643D56"/>
    <w:rsid w:val="64283056"/>
    <w:rsid w:val="66B90FF4"/>
    <w:rsid w:val="69BD0A47"/>
    <w:rsid w:val="71A911C9"/>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6"/>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5"/>
    <w:qFormat/>
    <w:uiPriority w:val="0"/>
    <w:rPr>
      <w:rFonts w:ascii="宋体" w:hAnsi="Courier New" w:eastAsia="宋体" w:cs="Courier New"/>
      <w:szCs w:val="21"/>
    </w:rPr>
  </w:style>
  <w:style w:type="paragraph" w:styleId="5">
    <w:name w:val="footer"/>
    <w:basedOn w:val="1"/>
    <w:link w:val="14"/>
    <w:unhideWhenUsed/>
    <w:qFormat/>
    <w:uiPriority w:val="99"/>
    <w:pPr>
      <w:tabs>
        <w:tab w:val="center" w:pos="4153"/>
        <w:tab w:val="right" w:pos="8306"/>
      </w:tabs>
      <w:snapToGrid w:val="0"/>
      <w:jc w:val="left"/>
    </w:pPr>
    <w:rPr>
      <w:sz w:val="18"/>
      <w:szCs w:val="18"/>
    </w:rPr>
  </w:style>
  <w:style w:type="paragraph" w:styleId="6">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table" w:styleId="9">
    <w:name w:val="Table Grid"/>
    <w:basedOn w:val="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22"/>
    <w:rPr>
      <w:b/>
      <w:bCs/>
    </w:rPr>
  </w:style>
  <w:style w:type="character" w:styleId="12">
    <w:name w:val="page number"/>
    <w:basedOn w:val="10"/>
    <w:semiHidden/>
    <w:unhideWhenUsed/>
    <w:qFormat/>
    <w:uiPriority w:val="99"/>
  </w:style>
  <w:style w:type="character" w:customStyle="1" w:styleId="13">
    <w:name w:val="页眉 Char"/>
    <w:basedOn w:val="10"/>
    <w:link w:val="6"/>
    <w:qFormat/>
    <w:uiPriority w:val="99"/>
    <w:rPr>
      <w:sz w:val="18"/>
      <w:szCs w:val="18"/>
    </w:rPr>
  </w:style>
  <w:style w:type="character" w:customStyle="1" w:styleId="14">
    <w:name w:val="页脚 Char"/>
    <w:basedOn w:val="10"/>
    <w:link w:val="5"/>
    <w:qFormat/>
    <w:uiPriority w:val="99"/>
    <w:rPr>
      <w:sz w:val="18"/>
      <w:szCs w:val="18"/>
    </w:rPr>
  </w:style>
  <w:style w:type="character" w:customStyle="1" w:styleId="15">
    <w:name w:val="纯文本 Char"/>
    <w:basedOn w:val="10"/>
    <w:link w:val="4"/>
    <w:qFormat/>
    <w:uiPriority w:val="0"/>
    <w:rPr>
      <w:rFonts w:ascii="宋体" w:hAnsi="Courier New" w:eastAsia="宋体" w:cs="Courier New"/>
      <w:szCs w:val="21"/>
    </w:rPr>
  </w:style>
  <w:style w:type="character" w:customStyle="1" w:styleId="16">
    <w:name w:val="标题 1 Char"/>
    <w:basedOn w:val="10"/>
    <w:link w:val="2"/>
    <w:qFormat/>
    <w:uiPriority w:val="9"/>
    <w:rPr>
      <w:rFonts w:ascii="宋体" w:hAnsi="宋体" w:eastAsia="宋体" w:cs="宋体"/>
      <w:b/>
      <w:kern w:val="44"/>
      <w:sz w:val="48"/>
      <w:szCs w:val="48"/>
    </w:rPr>
  </w:style>
  <w:style w:type="character" w:customStyle="1" w:styleId="17">
    <w:name w:val="font31"/>
    <w:basedOn w:val="10"/>
    <w:qFormat/>
    <w:uiPriority w:val="0"/>
    <w:rPr>
      <w:rFonts w:hint="eastAsia" w:ascii="宋体" w:hAnsi="宋体" w:eastAsia="宋体" w:cs="宋体"/>
      <w:b/>
      <w:color w:val="000000"/>
      <w:sz w:val="36"/>
      <w:szCs w:val="36"/>
      <w:u w:val="none"/>
    </w:rPr>
  </w:style>
  <w:style w:type="paragraph" w:styleId="18">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3685</Words>
  <Characters>3820</Characters>
  <Lines>40</Lines>
  <Paragraphs>11</Paragraphs>
  <TotalTime>1</TotalTime>
  <ScaleCrop>false</ScaleCrop>
  <LinksUpToDate>false</LinksUpToDate>
  <CharactersWithSpaces>3891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扁豆</cp:lastModifiedBy>
  <cp:lastPrinted>2018-11-29T03:23:00Z</cp:lastPrinted>
  <dcterms:modified xsi:type="dcterms:W3CDTF">2025-02-27T09:46:18Z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D502F1C53A5F4396A5D07781C8C66412</vt:lpwstr>
  </property>
  <property fmtid="{D5CDD505-2E9C-101B-9397-08002B2CF9AE}" pid="4" name="KSOTemplateDocerSaveRecord">
    <vt:lpwstr>eyJoZGlkIjoiYTRiODNmNzczOTUyY2RkMjBhNDhkMTdjM2U3ZGU2ZGYiLCJ1c2VySWQiOiIxOTk3ODc3NTAifQ==</vt:lpwstr>
  </property>
</Properties>
</file>