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EB764D">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附件4：</w:t>
      </w:r>
    </w:p>
    <w:p w14:paraId="6DB9BF79">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委员会宣传部</w:t>
      </w:r>
      <w:r>
        <w:rPr>
          <w:rFonts w:hint="eastAsia" w:ascii="宋体" w:hAnsi="宋体"/>
          <w:b/>
          <w:sz w:val="44"/>
          <w:szCs w:val="44"/>
        </w:rPr>
        <w:t>2021年</w:t>
      </w:r>
    </w:p>
    <w:p w14:paraId="6CB31B56">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5711505B">
      <w:pPr>
        <w:spacing w:line="480" w:lineRule="exact"/>
        <w:jc w:val="left"/>
        <w:rPr>
          <w:rFonts w:hint="eastAsia" w:ascii="仿宋" w:hAnsi="仿宋" w:eastAsia="仿宋" w:cs="仿宋"/>
          <w:sz w:val="24"/>
          <w:szCs w:val="24"/>
          <w:lang w:eastAsia="zh-CN"/>
        </w:rPr>
      </w:pPr>
      <w:r>
        <w:rPr>
          <w:rFonts w:hint="eastAsia" w:ascii="仿宋" w:hAnsi="仿宋" w:eastAsia="仿宋" w:cs="仿宋"/>
          <w:sz w:val="24"/>
          <w:szCs w:val="24"/>
        </w:rPr>
        <w:t>单位名称:(公章)</w:t>
      </w:r>
      <w:r>
        <w:rPr>
          <w:rFonts w:hint="eastAsia" w:ascii="仿宋" w:hAnsi="仿宋" w:eastAsia="仿宋" w:cs="仿宋"/>
          <w:sz w:val="24"/>
          <w:szCs w:val="24"/>
          <w:lang w:val="en-US" w:eastAsia="zh-CN"/>
        </w:rPr>
        <w:t xml:space="preserve"> 县委宣传部                           </w:t>
      </w:r>
      <w:r>
        <w:rPr>
          <w:rFonts w:hint="eastAsia" w:ascii="仿宋" w:hAnsi="仿宋" w:eastAsia="仿宋" w:cs="仿宋"/>
          <w:sz w:val="24"/>
          <w:szCs w:val="24"/>
        </w:rPr>
        <w:t>单位负责人:</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350C76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2DDFE2B9">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52F47D2">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0430EC8F">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7AD2F439">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5FC9DE2B">
            <w:pPr>
              <w:widowControl/>
              <w:spacing w:line="240" w:lineRule="exact"/>
              <w:jc w:val="left"/>
              <w:rPr>
                <w:b/>
              </w:rPr>
            </w:pPr>
            <w:r>
              <w:rPr>
                <w:rFonts w:ascii="仿宋_GB2312" w:hAnsi="新宋体" w:eastAsia="仿宋_GB2312" w:cs="仿宋_GB2312"/>
                <w:b/>
                <w:kern w:val="0"/>
                <w:sz w:val="24"/>
                <w:szCs w:val="24"/>
              </w:rPr>
              <w:t>得分</w:t>
            </w:r>
          </w:p>
        </w:tc>
      </w:tr>
      <w:tr w14:paraId="718CCC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7BA1A80">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7E90F7F">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CA0AEEA">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5590CC7B">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5A78C969">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5932AD4F">
            <w:pPr>
              <w:rPr>
                <w:rFonts w:ascii="宋体"/>
                <w:szCs w:val="21"/>
              </w:rPr>
            </w:pPr>
          </w:p>
        </w:tc>
      </w:tr>
      <w:tr w14:paraId="6BF04B7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4249145E">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A069D06">
            <w:pPr>
              <w:widowControl/>
              <w:spacing w:line="240" w:lineRule="exact"/>
              <w:jc w:val="left"/>
              <w:rPr>
                <w:szCs w:val="21"/>
              </w:rPr>
            </w:pPr>
          </w:p>
        </w:tc>
      </w:tr>
      <w:tr w14:paraId="3775B5C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3302458">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AF58A4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306295C5">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1773C81D">
            <w:pPr>
              <w:widowControl/>
              <w:spacing w:line="240" w:lineRule="exact"/>
              <w:jc w:val="left"/>
              <w:rPr>
                <w:rFonts w:ascii="仿宋_GB2312" w:hAnsi="新宋体" w:eastAsia="仿宋_GB2312" w:cs="仿宋_GB2312"/>
                <w:kern w:val="0"/>
                <w:szCs w:val="21"/>
              </w:rPr>
            </w:pPr>
          </w:p>
          <w:p w14:paraId="3B30141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7D3ABFD8">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FFDE09E">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16E3CBB8">
            <w:pPr>
              <w:widowControl/>
              <w:spacing w:line="240" w:lineRule="exact"/>
              <w:jc w:val="left"/>
              <w:rPr>
                <w:szCs w:val="21"/>
              </w:rPr>
            </w:pPr>
            <w:r>
              <w:rPr>
                <w:rFonts w:ascii="仿宋_GB2312" w:hAnsi="新宋体" w:eastAsia="仿宋_GB2312" w:cs="仿宋_GB2312"/>
                <w:kern w:val="0"/>
                <w:szCs w:val="21"/>
              </w:rPr>
              <w:t>符合（1）；</w:t>
            </w:r>
          </w:p>
          <w:p w14:paraId="3C1859CE">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E49150C">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259BC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122D6D4">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91D5FE8">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19738FF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5675BAFB">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756B156">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62844508">
            <w:pPr>
              <w:widowControl/>
              <w:spacing w:line="240" w:lineRule="exact"/>
              <w:jc w:val="left"/>
              <w:rPr>
                <w:szCs w:val="21"/>
              </w:rPr>
            </w:pPr>
            <w:r>
              <w:rPr>
                <w:rFonts w:ascii="仿宋_GB2312" w:hAnsi="新宋体" w:eastAsia="仿宋_GB2312" w:cs="仿宋_GB2312"/>
                <w:kern w:val="0"/>
                <w:szCs w:val="21"/>
              </w:rPr>
              <w:t>评价要点：</w:t>
            </w:r>
          </w:p>
          <w:p w14:paraId="79181EA2">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118F8824">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7D4F8AB5">
            <w:pPr>
              <w:widowControl/>
              <w:spacing w:line="240" w:lineRule="exact"/>
              <w:jc w:val="left"/>
              <w:rPr>
                <w:szCs w:val="21"/>
              </w:rPr>
            </w:pPr>
            <w:r>
              <w:rPr>
                <w:rFonts w:ascii="仿宋_GB2312" w:hAnsi="新宋体" w:eastAsia="仿宋_GB2312" w:cs="仿宋_GB2312"/>
                <w:kern w:val="0"/>
                <w:szCs w:val="21"/>
              </w:rPr>
              <w:t>全部符合（2）；</w:t>
            </w:r>
          </w:p>
          <w:p w14:paraId="4C82833C">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E039B1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8DDDD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CE5E56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2DFBA69">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44AF271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37486102">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B6A231C">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5915BBC4">
            <w:pPr>
              <w:widowControl/>
              <w:spacing w:line="240" w:lineRule="exact"/>
              <w:jc w:val="left"/>
              <w:rPr>
                <w:szCs w:val="21"/>
              </w:rPr>
            </w:pPr>
            <w:r>
              <w:rPr>
                <w:rFonts w:ascii="仿宋_GB2312" w:hAnsi="新宋体" w:eastAsia="仿宋_GB2312" w:cs="仿宋_GB2312"/>
                <w:kern w:val="0"/>
                <w:szCs w:val="21"/>
              </w:rPr>
              <w:t>评价要点：</w:t>
            </w:r>
          </w:p>
          <w:p w14:paraId="37C10DBE">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351925BB">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1CCF1384">
            <w:pPr>
              <w:widowControl/>
              <w:spacing w:line="240" w:lineRule="exact"/>
              <w:jc w:val="left"/>
              <w:rPr>
                <w:szCs w:val="21"/>
              </w:rPr>
            </w:pPr>
            <w:r>
              <w:rPr>
                <w:rFonts w:ascii="仿宋_GB2312" w:hAnsi="新宋体" w:eastAsia="仿宋_GB2312" w:cs="仿宋_GB2312"/>
                <w:kern w:val="0"/>
                <w:szCs w:val="21"/>
              </w:rPr>
              <w:t>全部符合（2）；</w:t>
            </w:r>
          </w:p>
          <w:p w14:paraId="394656DB">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5CD71EB">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5507EDF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24CA532">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5D3D13A1">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7BEFB29F">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40BED25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21AA32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77E5DC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22F525F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1DA4146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3EB343F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4954860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6608099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0557321">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4302A3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624EA70A">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0D8C1EAA">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0E107CEC">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10682D8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385AE9B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2196899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79AA90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528E5473">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2E85067C">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07E40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06ECA739">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568C16DD">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5BD9786E">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17D9F992">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052B48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425ED69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575B0B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28BC2AA2">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2554489D">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0BA3A49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6BA709D2">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FD707D7">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46A99AE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17CA3182">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E066B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2BB4913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BE137C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0B6F67A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6056D9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0F6A2B4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F4E3D59">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05387D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B85BDA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2B8E16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AF73D4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41F6934">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E11868D">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54ADCEBE">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9FBE3C3">
            <w:pPr>
              <w:widowControl/>
              <w:spacing w:line="240" w:lineRule="exact"/>
              <w:jc w:val="left"/>
              <w:rPr>
                <w:rFonts w:hint="eastAsia" w:eastAsia="仿宋_GB2312"/>
                <w:szCs w:val="21"/>
                <w:lang w:eastAsia="zh-CN"/>
              </w:rPr>
            </w:pPr>
            <w:r>
              <w:rPr>
                <w:rFonts w:ascii="仿宋_GB2312" w:hAnsi="新宋体" w:eastAsia="仿宋_GB2312" w:cs="仿宋_GB2312"/>
                <w:kern w:val="0"/>
                <w:szCs w:val="21"/>
              </w:rPr>
              <w:t>1.预算调整率等于0的，得满分；</w:t>
            </w:r>
          </w:p>
          <w:p w14:paraId="06EA294D">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0EE3B7C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628A75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61F4A05E">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2D2B5AF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10C9A9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FDA9B51">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32F01A1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943934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6F3AC3B">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3539FFB9">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36D86497">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046C7BAE">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46F93765">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B0AB51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C8B7BAC">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7475B44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CF90E3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12BBC93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4F96976D">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8E89601">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6222915F">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582458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6D51A18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7197AA3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32E0CB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714361B7">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13E18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E26942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022F10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A9FA85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10F7A03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74878C0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72136D3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6FEF156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7007EB4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653962A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06BDF3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05CEC8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01F8BB3">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CCB77F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C5C64D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30B67D6">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7F1BA1A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2979BB6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4EC93398">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F15E8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1F41E59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05B0244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4195DA7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4F5F8D3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62C7585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584E5E9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3CFABCC7">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118B0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DC9D60C">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6AE91840">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004F0BEE">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29964CF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26D836C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0B477DF5">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120C8D1">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10067ABC">
            <w:pPr>
              <w:widowControl/>
              <w:spacing w:line="240" w:lineRule="exact"/>
              <w:jc w:val="left"/>
              <w:rPr>
                <w:szCs w:val="21"/>
              </w:rPr>
            </w:pPr>
            <w:r>
              <w:rPr>
                <w:rFonts w:ascii="仿宋_GB2312" w:hAnsi="新宋体" w:eastAsia="仿宋_GB2312" w:cs="仿宋_GB2312"/>
                <w:kern w:val="0"/>
                <w:szCs w:val="21"/>
              </w:rPr>
              <w:t>评价要点：</w:t>
            </w:r>
          </w:p>
          <w:p w14:paraId="4BA8E970">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05B8F5E">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CFA22E1">
            <w:pPr>
              <w:widowControl/>
              <w:spacing w:line="240" w:lineRule="exact"/>
              <w:jc w:val="left"/>
              <w:rPr>
                <w:szCs w:val="21"/>
              </w:rPr>
            </w:pPr>
            <w:r>
              <w:rPr>
                <w:rFonts w:ascii="仿宋_GB2312" w:hAnsi="新宋体" w:eastAsia="仿宋_GB2312" w:cs="仿宋_GB2312"/>
                <w:kern w:val="0"/>
                <w:szCs w:val="21"/>
              </w:rPr>
              <w:t>3.项目的重大开支经过评估论证；</w:t>
            </w:r>
          </w:p>
          <w:p w14:paraId="5FEA9AC1">
            <w:pPr>
              <w:widowControl/>
              <w:spacing w:line="240" w:lineRule="exact"/>
              <w:jc w:val="left"/>
              <w:rPr>
                <w:szCs w:val="21"/>
              </w:rPr>
            </w:pPr>
            <w:r>
              <w:rPr>
                <w:rFonts w:ascii="仿宋_GB2312" w:hAnsi="新宋体" w:eastAsia="仿宋_GB2312" w:cs="仿宋_GB2312"/>
                <w:kern w:val="0"/>
                <w:szCs w:val="21"/>
              </w:rPr>
              <w:t>4.符合部门预算批复的用途；</w:t>
            </w:r>
          </w:p>
          <w:p w14:paraId="7719A209">
            <w:pPr>
              <w:widowControl/>
              <w:spacing w:line="240" w:lineRule="exact"/>
              <w:jc w:val="left"/>
              <w:rPr>
                <w:szCs w:val="21"/>
              </w:rPr>
            </w:pPr>
            <w:r>
              <w:rPr>
                <w:rFonts w:ascii="仿宋_GB2312" w:hAnsi="新宋体" w:eastAsia="仿宋_GB2312" w:cs="仿宋_GB2312"/>
                <w:kern w:val="0"/>
                <w:szCs w:val="21"/>
              </w:rPr>
              <w:t>5.不存在截留情况；</w:t>
            </w:r>
          </w:p>
          <w:p w14:paraId="2E9CA1F9">
            <w:pPr>
              <w:widowControl/>
              <w:spacing w:line="240" w:lineRule="exact"/>
              <w:jc w:val="left"/>
              <w:rPr>
                <w:szCs w:val="21"/>
              </w:rPr>
            </w:pPr>
            <w:r>
              <w:rPr>
                <w:rFonts w:ascii="仿宋_GB2312" w:hAnsi="新宋体" w:eastAsia="仿宋_GB2312" w:cs="仿宋_GB2312"/>
                <w:kern w:val="0"/>
                <w:szCs w:val="21"/>
              </w:rPr>
              <w:t>6.不存在挤占情况；</w:t>
            </w:r>
          </w:p>
          <w:p w14:paraId="6A259C7D">
            <w:pPr>
              <w:widowControl/>
              <w:spacing w:line="240" w:lineRule="exact"/>
              <w:jc w:val="left"/>
              <w:rPr>
                <w:szCs w:val="21"/>
              </w:rPr>
            </w:pPr>
            <w:r>
              <w:rPr>
                <w:rFonts w:ascii="仿宋_GB2312" w:hAnsi="新宋体" w:eastAsia="仿宋_GB2312" w:cs="仿宋_GB2312"/>
                <w:kern w:val="0"/>
                <w:szCs w:val="21"/>
              </w:rPr>
              <w:t>7.不存在挪用情况；</w:t>
            </w:r>
          </w:p>
          <w:p w14:paraId="763BF28B">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309CF1A8">
            <w:pPr>
              <w:widowControl/>
              <w:spacing w:line="240" w:lineRule="exact"/>
              <w:jc w:val="left"/>
              <w:rPr>
                <w:szCs w:val="21"/>
              </w:rPr>
            </w:pPr>
            <w:r>
              <w:rPr>
                <w:rFonts w:ascii="仿宋_GB2312" w:hAnsi="新宋体" w:eastAsia="仿宋_GB2312" w:cs="仿宋_GB2312"/>
                <w:kern w:val="0"/>
                <w:szCs w:val="21"/>
              </w:rPr>
              <w:t>全部符合（8）；</w:t>
            </w:r>
          </w:p>
          <w:p w14:paraId="6A442D36">
            <w:pPr>
              <w:widowControl/>
              <w:spacing w:line="240" w:lineRule="exact"/>
              <w:jc w:val="left"/>
              <w:rPr>
                <w:szCs w:val="21"/>
              </w:rPr>
            </w:pPr>
            <w:r>
              <w:rPr>
                <w:rFonts w:ascii="仿宋_GB2312" w:hAnsi="新宋体" w:eastAsia="仿宋_GB2312" w:cs="仿宋_GB2312"/>
                <w:kern w:val="0"/>
                <w:szCs w:val="21"/>
              </w:rPr>
              <w:t>符合其中七项（6）；</w:t>
            </w:r>
          </w:p>
          <w:p w14:paraId="771E9D51">
            <w:pPr>
              <w:widowControl/>
              <w:spacing w:line="240" w:lineRule="exact"/>
              <w:jc w:val="left"/>
              <w:rPr>
                <w:szCs w:val="21"/>
              </w:rPr>
            </w:pPr>
            <w:r>
              <w:rPr>
                <w:rFonts w:ascii="仿宋_GB2312" w:hAnsi="新宋体" w:eastAsia="仿宋_GB2312" w:cs="仿宋_GB2312"/>
                <w:kern w:val="0"/>
                <w:szCs w:val="21"/>
              </w:rPr>
              <w:t>符合其中六项（4）；</w:t>
            </w:r>
          </w:p>
          <w:p w14:paraId="6B5FD567">
            <w:pPr>
              <w:widowControl/>
              <w:spacing w:line="240" w:lineRule="exact"/>
              <w:jc w:val="left"/>
              <w:rPr>
                <w:szCs w:val="21"/>
              </w:rPr>
            </w:pPr>
            <w:r>
              <w:rPr>
                <w:rFonts w:ascii="仿宋_GB2312" w:hAnsi="新宋体" w:eastAsia="仿宋_GB2312" w:cs="仿宋_GB2312"/>
                <w:kern w:val="0"/>
                <w:szCs w:val="21"/>
              </w:rPr>
              <w:t>符合其中五项（2）；</w:t>
            </w:r>
          </w:p>
          <w:p w14:paraId="3812B2D7">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169629A2">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23242D8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FAAF68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378797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3DD051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71EB1BA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484CBF45">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7083BE1">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43F57427">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CE85A6A">
            <w:pPr>
              <w:widowControl/>
              <w:spacing w:line="240" w:lineRule="exact"/>
              <w:jc w:val="left"/>
              <w:rPr>
                <w:szCs w:val="21"/>
              </w:rPr>
            </w:pPr>
            <w:r>
              <w:rPr>
                <w:rFonts w:ascii="仿宋_GB2312" w:hAnsi="新宋体" w:eastAsia="仿宋_GB2312" w:cs="仿宋_GB2312"/>
                <w:kern w:val="0"/>
                <w:szCs w:val="21"/>
              </w:rPr>
              <w:t>评价要点：</w:t>
            </w:r>
          </w:p>
          <w:p w14:paraId="2939A578">
            <w:pPr>
              <w:widowControl/>
              <w:spacing w:line="240" w:lineRule="exact"/>
              <w:jc w:val="left"/>
              <w:rPr>
                <w:szCs w:val="21"/>
              </w:rPr>
            </w:pPr>
            <w:r>
              <w:rPr>
                <w:rFonts w:ascii="仿宋_GB2312" w:hAnsi="新宋体" w:eastAsia="仿宋_GB2312" w:cs="仿宋_GB2312"/>
                <w:kern w:val="0"/>
                <w:szCs w:val="21"/>
              </w:rPr>
              <w:t>1.公开预决算信息；</w:t>
            </w:r>
          </w:p>
          <w:p w14:paraId="3FAD1E6A">
            <w:pPr>
              <w:widowControl/>
              <w:spacing w:line="240" w:lineRule="exact"/>
              <w:jc w:val="left"/>
              <w:rPr>
                <w:szCs w:val="21"/>
              </w:rPr>
            </w:pPr>
            <w:r>
              <w:rPr>
                <w:rFonts w:ascii="仿宋_GB2312" w:hAnsi="新宋体" w:eastAsia="仿宋_GB2312" w:cs="仿宋_GB2312"/>
                <w:kern w:val="0"/>
                <w:szCs w:val="21"/>
              </w:rPr>
              <w:t>2.按规定内容公开预决算信息；</w:t>
            </w:r>
          </w:p>
          <w:p w14:paraId="182DA6AB">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6BE53039">
            <w:pPr>
              <w:widowControl/>
              <w:spacing w:line="240" w:lineRule="exact"/>
              <w:jc w:val="left"/>
              <w:rPr>
                <w:szCs w:val="21"/>
              </w:rPr>
            </w:pPr>
            <w:r>
              <w:rPr>
                <w:rFonts w:ascii="仿宋_GB2312" w:hAnsi="新宋体" w:eastAsia="仿宋_GB2312" w:cs="仿宋_GB2312"/>
                <w:kern w:val="0"/>
                <w:szCs w:val="21"/>
              </w:rPr>
              <w:t>全部符合（3）；</w:t>
            </w:r>
          </w:p>
          <w:p w14:paraId="2B20CE24">
            <w:pPr>
              <w:widowControl/>
              <w:spacing w:line="240" w:lineRule="exact"/>
              <w:jc w:val="left"/>
              <w:rPr>
                <w:szCs w:val="21"/>
              </w:rPr>
            </w:pPr>
            <w:r>
              <w:rPr>
                <w:rFonts w:ascii="仿宋_GB2312" w:hAnsi="新宋体" w:eastAsia="仿宋_GB2312" w:cs="仿宋_GB2312"/>
                <w:kern w:val="0"/>
                <w:szCs w:val="21"/>
              </w:rPr>
              <w:t>符合其中两项（2）</w:t>
            </w:r>
          </w:p>
          <w:p w14:paraId="35C5CF70">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4D155B7">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6D6074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608F2D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5A759B0">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53A9A39">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55B2D438">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4B97CA6D">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6CC3927">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168A665">
            <w:pPr>
              <w:widowControl/>
              <w:spacing w:line="240" w:lineRule="exact"/>
              <w:jc w:val="left"/>
              <w:rPr>
                <w:szCs w:val="21"/>
              </w:rPr>
            </w:pPr>
            <w:r>
              <w:rPr>
                <w:rFonts w:ascii="仿宋_GB2312" w:hAnsi="新宋体" w:eastAsia="仿宋_GB2312" w:cs="仿宋_GB2312"/>
                <w:kern w:val="0"/>
                <w:szCs w:val="21"/>
              </w:rPr>
              <w:t>评价要点：</w:t>
            </w:r>
          </w:p>
          <w:p w14:paraId="25C18FE2">
            <w:pPr>
              <w:widowControl/>
              <w:spacing w:line="240" w:lineRule="exact"/>
              <w:jc w:val="left"/>
              <w:rPr>
                <w:szCs w:val="21"/>
              </w:rPr>
            </w:pPr>
            <w:r>
              <w:rPr>
                <w:rFonts w:ascii="仿宋_GB2312" w:hAnsi="新宋体" w:eastAsia="仿宋_GB2312" w:cs="仿宋_GB2312"/>
                <w:kern w:val="0"/>
                <w:szCs w:val="21"/>
              </w:rPr>
              <w:t>1.基本财务管理制度健全；</w:t>
            </w:r>
          </w:p>
          <w:p w14:paraId="1D7FC213">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34573D7">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6FDF739A">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5B32004B">
            <w:pPr>
              <w:widowControl/>
              <w:spacing w:line="240" w:lineRule="exact"/>
              <w:jc w:val="left"/>
              <w:rPr>
                <w:szCs w:val="21"/>
              </w:rPr>
            </w:pPr>
            <w:r>
              <w:rPr>
                <w:rFonts w:ascii="仿宋_GB2312" w:hAnsi="新宋体" w:eastAsia="仿宋_GB2312" w:cs="仿宋_GB2312"/>
                <w:kern w:val="0"/>
                <w:szCs w:val="21"/>
              </w:rPr>
              <w:t>符合全部四项（4）；</w:t>
            </w:r>
          </w:p>
          <w:p w14:paraId="4C043414">
            <w:pPr>
              <w:widowControl/>
              <w:spacing w:line="240" w:lineRule="exact"/>
              <w:jc w:val="left"/>
              <w:rPr>
                <w:szCs w:val="21"/>
              </w:rPr>
            </w:pPr>
            <w:r>
              <w:rPr>
                <w:rFonts w:ascii="仿宋_GB2312" w:hAnsi="新宋体" w:eastAsia="仿宋_GB2312" w:cs="仿宋_GB2312"/>
                <w:kern w:val="0"/>
                <w:szCs w:val="21"/>
              </w:rPr>
              <w:t>符合其中三项（2）；</w:t>
            </w:r>
          </w:p>
          <w:p w14:paraId="4FA32DF3">
            <w:pPr>
              <w:widowControl/>
              <w:spacing w:line="240" w:lineRule="exact"/>
              <w:jc w:val="left"/>
              <w:rPr>
                <w:szCs w:val="21"/>
              </w:rPr>
            </w:pPr>
            <w:r>
              <w:rPr>
                <w:rFonts w:ascii="仿宋_GB2312" w:hAnsi="新宋体" w:eastAsia="仿宋_GB2312" w:cs="仿宋_GB2312"/>
                <w:kern w:val="0"/>
                <w:szCs w:val="21"/>
              </w:rPr>
              <w:t>符合其中两项（1）；</w:t>
            </w:r>
          </w:p>
          <w:p w14:paraId="7D2FA24B">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7E6063FC">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1FB6D0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0CB8361">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01926A51">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606BB99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46C5BFF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1AB4715B">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134281E">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7AB6BD85">
            <w:pPr>
              <w:widowControl/>
              <w:spacing w:line="240" w:lineRule="exact"/>
              <w:jc w:val="left"/>
              <w:rPr>
                <w:szCs w:val="21"/>
              </w:rPr>
            </w:pPr>
            <w:r>
              <w:rPr>
                <w:rFonts w:ascii="仿宋_GB2312" w:hAnsi="新宋体" w:eastAsia="仿宋_GB2312" w:cs="仿宋_GB2312"/>
                <w:kern w:val="0"/>
                <w:szCs w:val="21"/>
              </w:rPr>
              <w:t>评价要点：</w:t>
            </w:r>
          </w:p>
          <w:p w14:paraId="4A16952F">
            <w:pPr>
              <w:widowControl/>
              <w:spacing w:line="240" w:lineRule="exact"/>
              <w:jc w:val="left"/>
              <w:rPr>
                <w:szCs w:val="21"/>
              </w:rPr>
            </w:pPr>
            <w:r>
              <w:rPr>
                <w:rFonts w:ascii="仿宋_GB2312" w:hAnsi="新宋体" w:eastAsia="仿宋_GB2312" w:cs="仿宋_GB2312"/>
                <w:kern w:val="0"/>
                <w:szCs w:val="21"/>
              </w:rPr>
              <w:t>1.资产保存完整；</w:t>
            </w:r>
          </w:p>
          <w:p w14:paraId="5939F703">
            <w:pPr>
              <w:widowControl/>
              <w:spacing w:line="240" w:lineRule="exact"/>
              <w:jc w:val="left"/>
              <w:rPr>
                <w:szCs w:val="21"/>
              </w:rPr>
            </w:pPr>
            <w:r>
              <w:rPr>
                <w:rFonts w:ascii="仿宋_GB2312" w:hAnsi="新宋体" w:eastAsia="仿宋_GB2312" w:cs="仿宋_GB2312"/>
                <w:kern w:val="0"/>
                <w:szCs w:val="21"/>
              </w:rPr>
              <w:t>2.资产账务管理是否合规，</w:t>
            </w:r>
            <w:r>
              <w:rPr>
                <w:rFonts w:hint="eastAsia" w:ascii="仿宋_GB2312" w:hAnsi="新宋体" w:eastAsia="仿宋_GB2312" w:cs="仿宋_GB2312"/>
                <w:kern w:val="0"/>
                <w:szCs w:val="21"/>
                <w:lang w:eastAsia="zh-CN"/>
              </w:rPr>
              <w:t>账</w:t>
            </w:r>
            <w:bookmarkStart w:id="0" w:name="_GoBack"/>
            <w:bookmarkEnd w:id="0"/>
            <w:r>
              <w:rPr>
                <w:rFonts w:ascii="仿宋_GB2312" w:hAnsi="新宋体" w:eastAsia="仿宋_GB2312" w:cs="仿宋_GB2312"/>
                <w:kern w:val="0"/>
                <w:szCs w:val="21"/>
              </w:rPr>
              <w:t>实相符；</w:t>
            </w:r>
          </w:p>
          <w:p w14:paraId="13A512B0">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1ACC52FB">
            <w:pPr>
              <w:widowControl/>
              <w:spacing w:line="240" w:lineRule="exact"/>
              <w:jc w:val="left"/>
              <w:rPr>
                <w:szCs w:val="21"/>
              </w:rPr>
            </w:pPr>
            <w:r>
              <w:rPr>
                <w:rFonts w:ascii="仿宋_GB2312" w:hAnsi="新宋体" w:eastAsia="仿宋_GB2312" w:cs="仿宋_GB2312"/>
                <w:kern w:val="0"/>
                <w:szCs w:val="21"/>
              </w:rPr>
              <w:t>符合全部三项（3）；</w:t>
            </w:r>
          </w:p>
          <w:p w14:paraId="112B8619">
            <w:pPr>
              <w:widowControl/>
              <w:spacing w:line="240" w:lineRule="exact"/>
              <w:jc w:val="left"/>
              <w:rPr>
                <w:szCs w:val="21"/>
              </w:rPr>
            </w:pPr>
            <w:r>
              <w:rPr>
                <w:rFonts w:ascii="仿宋_GB2312" w:hAnsi="新宋体" w:eastAsia="仿宋_GB2312" w:cs="仿宋_GB2312"/>
                <w:kern w:val="0"/>
                <w:szCs w:val="21"/>
              </w:rPr>
              <w:t>符合其中两项（2）；</w:t>
            </w:r>
          </w:p>
          <w:p w14:paraId="1CF53679">
            <w:pPr>
              <w:widowControl/>
              <w:spacing w:line="240" w:lineRule="exact"/>
              <w:jc w:val="left"/>
              <w:rPr>
                <w:szCs w:val="21"/>
              </w:rPr>
            </w:pPr>
            <w:r>
              <w:rPr>
                <w:rFonts w:ascii="仿宋_GB2312" w:hAnsi="新宋体" w:eastAsia="仿宋_GB2312" w:cs="仿宋_GB2312"/>
                <w:kern w:val="0"/>
                <w:szCs w:val="21"/>
              </w:rPr>
              <w:t>符合其中一项（1）；</w:t>
            </w:r>
          </w:p>
          <w:p w14:paraId="7B3920E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413A1422">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39273E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A4634B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DFC6289">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6DE0872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7EB4ECC1">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130D470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3C1E41EF">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3AC1B433">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37AD2F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423BC7F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44743E1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4F97139B">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02619A31">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0F902B82">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31302B7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02CE83E">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5B5A7E7">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7646B39F">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0882D41B">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0221DEE8">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2801418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5AC1B771">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1.每项任务是否已制定了明确、具体、可量化、可衡量的绩效指标；</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44680492">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79D33FC4">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3E59895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A7BE3F6">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1700DFD">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6E06B66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972E551">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5CD9420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3A4E0775">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5A63DB4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008B017C">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38A304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64006623">
            <w:pPr>
              <w:widowControl/>
              <w:pBdr>
                <w:top w:val="none" w:color="000000" w:sz="0" w:space="0"/>
                <w:left w:val="none" w:color="000000" w:sz="0" w:space="0"/>
                <w:bottom w:val="none" w:color="000000" w:sz="0" w:space="0"/>
                <w:right w:val="none" w:color="000000" w:sz="0" w:space="0"/>
              </w:pBdr>
              <w:spacing w:line="240" w:lineRule="exact"/>
              <w:jc w:val="left"/>
              <w:rPr>
                <w:rFonts w:hint="eastAsia" w:eastAsia="仿宋_GB2312"/>
                <w:szCs w:val="21"/>
                <w:lang w:eastAsia="zh-CN"/>
              </w:rPr>
            </w:pPr>
            <w:r>
              <w:rPr>
                <w:rFonts w:ascii="仿宋_GB2312" w:hAnsi="新宋体" w:eastAsia="仿宋_GB2312" w:cs="仿宋_GB2312"/>
                <w:kern w:val="0"/>
                <w:szCs w:val="21"/>
              </w:rPr>
              <w:t>3.项目质量达标率在99%-100%之间的，在0和满分之间计算确定：</w:t>
            </w:r>
          </w:p>
          <w:p w14:paraId="500690F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2D1079CA">
            <w:pPr>
              <w:widowControl/>
              <w:spacing w:line="240" w:lineRule="exact"/>
              <w:jc w:val="left"/>
              <w:rPr>
                <w:rFonts w:hint="default" w:eastAsiaTheme="minorEastAsia"/>
                <w:szCs w:val="21"/>
                <w:lang w:val="en-US" w:eastAsia="zh-CN"/>
              </w:rPr>
            </w:pPr>
            <w:r>
              <w:rPr>
                <w:rFonts w:hint="eastAsia"/>
                <w:szCs w:val="21"/>
                <w:lang w:val="en-US" w:eastAsia="zh-CN"/>
              </w:rPr>
              <w:t>14</w:t>
            </w:r>
          </w:p>
        </w:tc>
      </w:tr>
      <w:tr w14:paraId="4625F5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9755A41">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45D5C751">
            <w:pPr>
              <w:widowControl/>
              <w:spacing w:line="240" w:lineRule="exact"/>
              <w:jc w:val="left"/>
              <w:rPr>
                <w:rFonts w:ascii="仿宋_GB2312" w:hAnsi="新宋体" w:eastAsia="仿宋_GB2312" w:cs="仿宋_GB2312"/>
                <w:kern w:val="0"/>
                <w:szCs w:val="21"/>
              </w:rPr>
            </w:pPr>
          </w:p>
          <w:p w14:paraId="070A248D">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205383C9">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35A1B2EF">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7F5FBF97">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72883D0">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6A478C13">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1.通过部门所属企事业单位改革，促进了企事业单位效益增长情况；</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73F8FCB9">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72DEA5E">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44F62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4189113E">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2DD99FE6">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F820330">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0408A5E3">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9E8A87A">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5F7874E6">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1.通过部门所属企事业单位的改革，促进了企事业单位可持续发展，带动就业增长情况；</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0713DA88">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43F5820">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CEBE3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14A722F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04D56A57">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1BB283B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2B3E1710">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657B01AC">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1A7B1B3">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7EA378D9">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685E284">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4E9B844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CAC63A1">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4A0C9866">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C87F988">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7AD406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7F0A2667">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479563E5">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6EAE41AA">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1A369E10">
      <w:pPr>
        <w:widowControl/>
        <w:spacing w:line="480" w:lineRule="exact"/>
        <w:jc w:val="left"/>
        <w:rPr>
          <w:rFonts w:ascii="仿宋" w:hAnsi="仿宋" w:eastAsia="仿宋" w:cs="仿宋"/>
          <w:kern w:val="0"/>
          <w:sz w:val="32"/>
          <w:szCs w:val="32"/>
          <w:shd w:val="clear" w:color="auto" w:fill="FFFFFF"/>
        </w:rPr>
      </w:pPr>
    </w:p>
    <w:p w14:paraId="15B8E503">
      <w:pPr>
        <w:rPr>
          <w:rFonts w:ascii="黑体" w:hAnsi="黑体" w:eastAsia="黑体" w:cs="黑体"/>
          <w:b/>
          <w:bCs/>
          <w:sz w:val="30"/>
          <w:szCs w:val="30"/>
        </w:rPr>
      </w:pPr>
      <w:r>
        <w:rPr>
          <w:rFonts w:hint="eastAsia" w:ascii="黑体" w:hAnsi="黑体" w:eastAsia="黑体" w:cs="黑体"/>
          <w:b/>
          <w:bCs/>
          <w:sz w:val="30"/>
          <w:szCs w:val="30"/>
        </w:rPr>
        <w:t>(后附部门整体自评报告)</w:t>
      </w:r>
    </w:p>
    <w:p w14:paraId="1A72B66A">
      <w:pPr>
        <w:rPr>
          <w:rFonts w:ascii="黑体" w:hAnsi="黑体" w:eastAsia="黑体" w:cs="黑体"/>
          <w:b/>
          <w:bCs/>
          <w:sz w:val="30"/>
          <w:szCs w:val="30"/>
        </w:rPr>
      </w:pPr>
    </w:p>
    <w:p w14:paraId="696CC210">
      <w:pPr>
        <w:rPr>
          <w:rFonts w:ascii="黑体" w:hAnsi="黑体" w:eastAsia="黑体" w:cs="黑体"/>
          <w:b/>
          <w:bCs/>
          <w:sz w:val="30"/>
          <w:szCs w:val="30"/>
        </w:rPr>
      </w:pPr>
    </w:p>
    <w:p w14:paraId="3F47C634">
      <w:pPr>
        <w:rPr>
          <w:rFonts w:ascii="黑体" w:hAnsi="黑体" w:eastAsia="黑体" w:cs="黑体"/>
          <w:b/>
          <w:bCs/>
          <w:sz w:val="30"/>
          <w:szCs w:val="30"/>
        </w:rPr>
      </w:pPr>
    </w:p>
    <w:p w14:paraId="6472A7F3">
      <w:pPr>
        <w:rPr>
          <w:rFonts w:ascii="黑体" w:hAnsi="黑体" w:eastAsia="黑体" w:cs="黑体"/>
          <w:b/>
          <w:bCs/>
          <w:sz w:val="30"/>
          <w:szCs w:val="30"/>
        </w:rPr>
      </w:pPr>
    </w:p>
    <w:p w14:paraId="0C56650B">
      <w:pPr>
        <w:rPr>
          <w:rFonts w:ascii="黑体" w:hAnsi="黑体" w:eastAsia="黑体" w:cs="黑体"/>
          <w:b/>
          <w:bCs/>
          <w:sz w:val="30"/>
          <w:szCs w:val="30"/>
        </w:rPr>
      </w:pPr>
    </w:p>
    <w:p w14:paraId="7960F345">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委员会宣传部</w:t>
      </w:r>
    </w:p>
    <w:p w14:paraId="389EA5F2">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19A79EA3">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54B5FE0E">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0F3AEDE0">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拟订全县宣传思想文化工作重大方针政策和事业发展总体规划，统筹协调推进宣传思想文化领域法制建设，按照县委统一部署，协调宣传思想文化系统各部门之间的工作。</w:t>
      </w:r>
    </w:p>
    <w:p w14:paraId="4D7C9100">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统筹协调全县党的意识形态工作，贯彻落实县委关于意识形态工作决策部署，组织协调意识形态工作责任制落实和日常监督检查，结合巡视巡察工作开展专项检查。</w:t>
      </w:r>
    </w:p>
    <w:p w14:paraId="3999D461">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统筹指导协调全县理论研究、理论学习、理论宣传工作，组织推动理论武装工作，推动落实马克思主义理论研究和建设工程任务，负责县委理论学习中心组理论学习的有关工作。</w:t>
      </w:r>
    </w:p>
    <w:p w14:paraId="1B63B149">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负责规划组织全县全局性思想政治工作任务，组织对全县先进典型的选树学习宣传推广。配合县委组织部做好基层党员教育工作，指导协调编写党员教育教材，会同有关部门研究和改进群众思想教育工作。负责全县爱国主义教育基地的建设、管理、使用。负责全县国防教育工作。</w:t>
      </w:r>
    </w:p>
    <w:p w14:paraId="60689FB5">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统筹分析研判和引导全县社会舆论，指导协调全县各新闻单位的工作，组织全县突发公共事件应急新闻工作。</w:t>
      </w:r>
    </w:p>
    <w:p w14:paraId="580E13A1">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拟订全县新闻出版业的管理政策并督促落实，管理新闻出版行政事务，统筹规划和指导协调新闻出版事业、产业发展，监督管理出版物内容和质量，监督管理印刷业，管理著作权，管理出版物进出口等。组织指导协调全县“扫黄打非”工作。负责全县新闻记者证的监管工作。</w:t>
      </w:r>
    </w:p>
    <w:p w14:paraId="6EF88624">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从宏观上统筹指导协调全县互联网宣传和信息内容管理工作。统筹数字新媒体的建设和管理。</w:t>
      </w:r>
    </w:p>
    <w:p w14:paraId="054635E6">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从宏观上统筹指导协调推动全县精神文化产品的创作和生产，协调组织中华优秀传统文化传承发展有关工作，指导协调推动群众文化建设。</w:t>
      </w:r>
    </w:p>
    <w:p w14:paraId="7D42863D">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9.</w:t>
      </w:r>
      <w:r>
        <w:rPr>
          <w:rFonts w:hint="eastAsia" w:ascii="仿宋" w:hAnsi="仿宋" w:eastAsia="仿宋" w:cs="仿宋"/>
          <w:sz w:val="32"/>
          <w:szCs w:val="32"/>
        </w:rPr>
        <w:t>负责管理全县电影行政事务，指导监管电影制片、发行、放映工作，组织对电影内容进行审查，指导协调全县性重大电影活动。</w:t>
      </w:r>
    </w:p>
    <w:p w14:paraId="1E338FFA">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rPr>
        <w:t>对全县新闻出版、广播影视、文化艺术业改革发展研究提出政策性建议，统筹指导协调文化体制改革和文化事业、文化产业及旅游业发展，负责全县文化企业国有资产监督管理。</w:t>
      </w:r>
    </w:p>
    <w:p w14:paraId="0BC8A1ED">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11.</w:t>
      </w:r>
      <w:r>
        <w:rPr>
          <w:rFonts w:hint="eastAsia" w:ascii="仿宋" w:hAnsi="仿宋" w:eastAsia="仿宋" w:cs="仿宋"/>
          <w:sz w:val="32"/>
          <w:szCs w:val="32"/>
        </w:rPr>
        <w:t>统筹指导全县舆情信息工作，组织协调开展县内外舆情信息收集分析研判工作，跟踪了解、研究掌握宣传舆情动态。</w:t>
      </w:r>
    </w:p>
    <w:p w14:paraId="35D4EC26">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12.</w:t>
      </w:r>
      <w:r>
        <w:rPr>
          <w:rFonts w:hint="eastAsia" w:ascii="仿宋" w:hAnsi="仿宋" w:eastAsia="仿宋" w:cs="仿宋"/>
          <w:sz w:val="32"/>
          <w:szCs w:val="32"/>
        </w:rPr>
        <w:t>统筹研究拟订有关全县精神文明建设的相关政策。规划部署全县精神文明建设工作，组织开展文明城市创建工作，指导全县群众性精神文明创建活动。</w:t>
      </w:r>
    </w:p>
    <w:p w14:paraId="4BFD67DA">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13.</w:t>
      </w:r>
      <w:r>
        <w:rPr>
          <w:rFonts w:hint="eastAsia" w:ascii="仿宋" w:hAnsi="仿宋" w:eastAsia="仿宋" w:cs="仿宋"/>
          <w:sz w:val="32"/>
          <w:szCs w:val="32"/>
        </w:rPr>
        <w:t>统筹协调全县对外宣传工作。指导协调有关部门研究拟订全县对外宣传事业发展规划，组织协调我县对外宣传文化交流工作，会同有关部门做好境外记者采访事务方面工作。</w:t>
      </w:r>
    </w:p>
    <w:p w14:paraId="597520FD">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14.</w:t>
      </w:r>
      <w:r>
        <w:rPr>
          <w:rFonts w:hint="eastAsia" w:ascii="仿宋" w:hAnsi="仿宋" w:eastAsia="仿宋" w:cs="仿宋"/>
          <w:sz w:val="32"/>
          <w:szCs w:val="32"/>
        </w:rPr>
        <w:t>统筹协调组织开展新闻发布工作。承担县委新闻发布有关组织协调工作，负责县政府新闻发布组织实施工作，指导协调县政府各部门和各乡镇的新闻发布工作，推动新闻发言人制度落实。拟订我县重大问题对外宣传口径。</w:t>
      </w:r>
    </w:p>
    <w:p w14:paraId="5399BA05">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15.</w:t>
      </w:r>
      <w:r>
        <w:rPr>
          <w:rFonts w:hint="eastAsia" w:ascii="仿宋" w:hAnsi="仿宋" w:eastAsia="仿宋" w:cs="仿宋"/>
          <w:sz w:val="32"/>
          <w:szCs w:val="32"/>
        </w:rPr>
        <w:t>受县委委托，会同县委组织部管理新闻、文化、出版和互联网信息等方面县直宣传文化单位的领导干部。对县直宣传思想文化部门主要负责人和各乡镇党委宣传委员的任免提出意见。负责有关重要宣传舆论阵地和重要岗位领导干部管理工作。负责组织开展宣传思想文化系统干部教育培训和人才工作。负责政工师的评审、推荐、管理相关工作。</w:t>
      </w:r>
    </w:p>
    <w:p w14:paraId="08126AC6">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val="en-US" w:eastAsia="zh-CN"/>
        </w:rPr>
        <w:t>16.</w:t>
      </w:r>
      <w:r>
        <w:rPr>
          <w:rFonts w:hint="eastAsia" w:ascii="仿宋" w:hAnsi="仿宋" w:eastAsia="仿宋" w:cs="仿宋"/>
          <w:sz w:val="32"/>
          <w:szCs w:val="32"/>
        </w:rPr>
        <w:t>对县互联网信息办公室互联网宣传和信息内容管理方面的工作实施方针、政策的指导。归口领县文化广电和旅游局、县广播电视台、县融媒体中心。受县委委托，代管县文联。</w:t>
      </w:r>
    </w:p>
    <w:p w14:paraId="6B75D97C">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lang w:val="en-US" w:eastAsia="zh-CN"/>
        </w:rPr>
        <w:t>17.</w:t>
      </w:r>
      <w:r>
        <w:rPr>
          <w:rFonts w:hint="eastAsia" w:ascii="仿宋" w:hAnsi="仿宋" w:eastAsia="仿宋" w:cs="仿宋"/>
          <w:sz w:val="32"/>
          <w:szCs w:val="32"/>
        </w:rPr>
        <w:t>完成县委交办的其他任务。</w:t>
      </w:r>
    </w:p>
    <w:p w14:paraId="1EE50A8F">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（二）人员情况。</w:t>
      </w:r>
    </w:p>
    <w:p w14:paraId="35C3344C">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default" w:ascii="仿宋" w:hAnsi="仿宋" w:eastAsia="仿宋" w:cs="仿宋"/>
          <w:sz w:val="32"/>
          <w:szCs w:val="32"/>
          <w:lang w:val="en-US" w:eastAsia="zh-CN"/>
        </w:rPr>
      </w:pPr>
      <w:r>
        <w:rPr>
          <w:rFonts w:hint="eastAsia" w:ascii="仿宋" w:hAnsi="仿宋" w:eastAsia="仿宋" w:cs="仿宋"/>
          <w:sz w:val="32"/>
          <w:szCs w:val="32"/>
          <w:lang w:eastAsia="zh-CN"/>
        </w:rPr>
        <w:t>行政编制</w:t>
      </w:r>
      <w:r>
        <w:rPr>
          <w:rFonts w:hint="eastAsia" w:ascii="仿宋" w:hAnsi="仿宋" w:eastAsia="仿宋" w:cs="仿宋"/>
          <w:sz w:val="32"/>
          <w:szCs w:val="32"/>
          <w:lang w:val="en-US" w:eastAsia="zh-CN"/>
        </w:rPr>
        <w:t>10人，目前在编人数8人。</w:t>
      </w:r>
    </w:p>
    <w:p w14:paraId="571C6E75">
      <w:pPr>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lang w:eastAsia="zh-CN"/>
        </w:rPr>
        <w:t>（三）</w:t>
      </w:r>
      <w:r>
        <w:rPr>
          <w:rFonts w:hint="eastAsia" w:ascii="仿宋" w:hAnsi="仿宋" w:eastAsia="仿宋" w:cs="仿宋"/>
          <w:sz w:val="32"/>
          <w:szCs w:val="32"/>
        </w:rPr>
        <w:t>部门履职总体目标。</w:t>
      </w:r>
    </w:p>
    <w:p w14:paraId="4FC7E0C0">
      <w:pPr>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lang w:eastAsia="zh-CN"/>
        </w:rPr>
      </w:pPr>
      <w:r>
        <w:rPr>
          <w:rFonts w:hint="eastAsia" w:ascii="仿宋" w:hAnsi="仿宋" w:eastAsia="仿宋" w:cs="仿宋"/>
          <w:sz w:val="32"/>
          <w:szCs w:val="32"/>
        </w:rPr>
        <w:t>全县宣传思想文化战线将坚持以习近平新时代中国特色社会主义思想为指导，深入贯彻党的十九大和十九届二中、三中、四中全会精神，自觉承担起举旗帜、聚民心、育新人、兴文化、展形象的使命任务，围绕“三深化、三提升”，服务“11446”发展思路、“135”发展布局和“一二三四”工作思路，强力推进理论武装、新闻宣传、文化繁荣、精神文明创建等重点工作，努力为新时代经济强县、幸福隆尧建设提供思想保证和精神动力</w:t>
      </w:r>
      <w:r>
        <w:rPr>
          <w:rFonts w:hint="eastAsia" w:ascii="仿宋" w:hAnsi="仿宋" w:eastAsia="仿宋" w:cs="仿宋"/>
          <w:sz w:val="32"/>
          <w:szCs w:val="32"/>
          <w:lang w:eastAsia="zh-CN"/>
        </w:rPr>
        <w:t>。</w:t>
      </w:r>
    </w:p>
    <w:p w14:paraId="3102CD13">
      <w:pPr>
        <w:keepNext w:val="0"/>
        <w:keepLines w:val="0"/>
        <w:pageBreakBefore w:val="0"/>
        <w:widowControl w:val="0"/>
        <w:numPr>
          <w:ilvl w:val="0"/>
          <w:numId w:val="0"/>
        </w:numPr>
        <w:kinsoku/>
        <w:wordWrap/>
        <w:overflowPunct/>
        <w:topLinePunct w:val="0"/>
        <w:autoSpaceDE/>
        <w:autoSpaceDN/>
        <w:bidi w:val="0"/>
        <w:adjustRightInd w:val="0"/>
        <w:snapToGrid/>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抓好各级党委（党组）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实行“三比照”对账要账落实机制。加强党的建设和作风建设。</w:t>
      </w:r>
    </w:p>
    <w:p w14:paraId="6893434B">
      <w:pPr>
        <w:numPr>
          <w:ilvl w:val="0"/>
          <w:numId w:val="0"/>
        </w:numPr>
        <w:adjustRightInd w:val="0"/>
        <w:ind w:left="480" w:leftChars="0"/>
        <w:rPr>
          <w:rFonts w:hint="eastAsia" w:ascii="仿宋" w:hAnsi="仿宋" w:eastAsia="仿宋" w:cs="仿宋"/>
          <w:sz w:val="32"/>
          <w:szCs w:val="32"/>
        </w:rPr>
      </w:pPr>
      <w:r>
        <w:rPr>
          <w:rFonts w:hint="eastAsia" w:ascii="仿宋" w:hAnsi="仿宋" w:eastAsia="仿宋" w:cs="仿宋"/>
          <w:sz w:val="32"/>
          <w:szCs w:val="32"/>
          <w:lang w:eastAsia="zh-CN"/>
        </w:rPr>
        <w:t>（四）</w:t>
      </w:r>
      <w:r>
        <w:rPr>
          <w:rFonts w:hint="eastAsia" w:ascii="仿宋" w:hAnsi="仿宋" w:eastAsia="仿宋" w:cs="仿宋"/>
          <w:sz w:val="32"/>
          <w:szCs w:val="32"/>
        </w:rPr>
        <w:t>年度整体绩效目标和工作任务。</w:t>
      </w:r>
    </w:p>
    <w:p w14:paraId="3A09ECD1">
      <w:pPr>
        <w:pStyle w:val="18"/>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持续推进习近平新时代中国特色社会主义思想落地生根</w:t>
      </w:r>
    </w:p>
    <w:p w14:paraId="7BDE570F">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w:t>
      </w:r>
      <w:r>
        <w:rPr>
          <w:rFonts w:hint="eastAsia" w:ascii="仿宋" w:hAnsi="仿宋" w:eastAsia="仿宋" w:cs="仿宋"/>
          <w:sz w:val="32"/>
          <w:szCs w:val="32"/>
          <w:lang w:eastAsia="zh-CN"/>
        </w:rPr>
        <w:t>）</w:t>
      </w:r>
      <w:r>
        <w:rPr>
          <w:rFonts w:hint="eastAsia" w:ascii="仿宋" w:hAnsi="仿宋" w:eastAsia="仿宋" w:cs="仿宋"/>
          <w:sz w:val="32"/>
          <w:szCs w:val="32"/>
        </w:rPr>
        <w:t>抓好各级党委（党组）中心组学习。</w:t>
      </w:r>
    </w:p>
    <w:p w14:paraId="09EB66EB">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w:t>
      </w:r>
      <w:r>
        <w:rPr>
          <w:rFonts w:hint="eastAsia" w:ascii="仿宋" w:hAnsi="仿宋" w:eastAsia="仿宋" w:cs="仿宋"/>
          <w:sz w:val="32"/>
          <w:szCs w:val="32"/>
          <w:lang w:eastAsia="zh-CN"/>
        </w:rPr>
        <w:t>）</w:t>
      </w:r>
      <w:r>
        <w:rPr>
          <w:rFonts w:hint="eastAsia" w:ascii="仿宋" w:hAnsi="仿宋" w:eastAsia="仿宋" w:cs="仿宋"/>
          <w:sz w:val="32"/>
          <w:szCs w:val="32"/>
        </w:rPr>
        <w:t>扎实推进理论“六进”工作。</w:t>
      </w:r>
    </w:p>
    <w:p w14:paraId="27E2D9D3">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3</w:t>
      </w:r>
      <w:r>
        <w:rPr>
          <w:rFonts w:hint="eastAsia" w:ascii="仿宋" w:hAnsi="仿宋" w:eastAsia="仿宋" w:cs="仿宋"/>
          <w:sz w:val="32"/>
          <w:szCs w:val="32"/>
          <w:lang w:eastAsia="zh-CN"/>
        </w:rPr>
        <w:t>）</w:t>
      </w:r>
      <w:r>
        <w:rPr>
          <w:rFonts w:hint="eastAsia" w:ascii="仿宋" w:hAnsi="仿宋" w:eastAsia="仿宋" w:cs="仿宋"/>
          <w:sz w:val="32"/>
          <w:szCs w:val="32"/>
        </w:rPr>
        <w:t>二十大胜利召开后，全力宣传二十大精神。</w:t>
      </w:r>
    </w:p>
    <w:p w14:paraId="73729126">
      <w:pPr>
        <w:pStyle w:val="18"/>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严格落实意识形态工作责任制</w:t>
      </w:r>
    </w:p>
    <w:p w14:paraId="2B1C0F73">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w:t>
      </w:r>
      <w:r>
        <w:rPr>
          <w:rFonts w:hint="eastAsia" w:ascii="仿宋" w:hAnsi="仿宋" w:eastAsia="仿宋" w:cs="仿宋"/>
          <w:sz w:val="32"/>
          <w:szCs w:val="32"/>
        </w:rPr>
        <w:t>压紧压实意识形态工作责任制。</w:t>
      </w:r>
    </w:p>
    <w:p w14:paraId="00FB5E28">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5</w:t>
      </w:r>
      <w:r>
        <w:rPr>
          <w:rFonts w:hint="eastAsia" w:ascii="仿宋" w:hAnsi="仿宋" w:eastAsia="仿宋" w:cs="仿宋"/>
          <w:sz w:val="32"/>
          <w:szCs w:val="32"/>
          <w:lang w:eastAsia="zh-CN"/>
        </w:rPr>
        <w:t>）</w:t>
      </w:r>
      <w:r>
        <w:rPr>
          <w:rFonts w:hint="eastAsia" w:ascii="仿宋" w:hAnsi="仿宋" w:eastAsia="仿宋" w:cs="仿宋"/>
          <w:sz w:val="32"/>
          <w:szCs w:val="32"/>
        </w:rPr>
        <w:t>加强各类阵地监督管理。</w:t>
      </w:r>
    </w:p>
    <w:p w14:paraId="706C0D16">
      <w:pPr>
        <w:pStyle w:val="18"/>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营造高质量赶超发展主流舆论强势</w:t>
      </w:r>
    </w:p>
    <w:p w14:paraId="5D2F71ED">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6</w:t>
      </w:r>
      <w:r>
        <w:rPr>
          <w:rFonts w:hint="eastAsia" w:ascii="仿宋" w:hAnsi="仿宋" w:eastAsia="仿宋" w:cs="仿宋"/>
          <w:sz w:val="32"/>
          <w:szCs w:val="32"/>
          <w:lang w:eastAsia="zh-CN"/>
        </w:rPr>
        <w:t>）</w:t>
      </w:r>
      <w:r>
        <w:rPr>
          <w:rFonts w:hint="eastAsia" w:ascii="仿宋" w:hAnsi="仿宋" w:eastAsia="仿宋" w:cs="仿宋"/>
          <w:sz w:val="32"/>
          <w:szCs w:val="32"/>
        </w:rPr>
        <w:t>壮大主流舆论阵地。</w:t>
      </w:r>
    </w:p>
    <w:p w14:paraId="32BBEC23">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7</w:t>
      </w:r>
      <w:r>
        <w:rPr>
          <w:rFonts w:hint="eastAsia" w:ascii="仿宋" w:hAnsi="仿宋" w:eastAsia="仿宋" w:cs="仿宋"/>
          <w:sz w:val="32"/>
          <w:szCs w:val="32"/>
          <w:lang w:eastAsia="zh-CN"/>
        </w:rPr>
        <w:t>）</w:t>
      </w:r>
      <w:r>
        <w:rPr>
          <w:rFonts w:hint="eastAsia" w:ascii="仿宋" w:hAnsi="仿宋" w:eastAsia="仿宋" w:cs="仿宋"/>
          <w:sz w:val="32"/>
          <w:szCs w:val="32"/>
        </w:rPr>
        <w:t>推进融媒体改革进程。</w:t>
      </w:r>
    </w:p>
    <w:p w14:paraId="07DA357F">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8</w:t>
      </w:r>
      <w:r>
        <w:rPr>
          <w:rFonts w:hint="eastAsia" w:ascii="仿宋" w:hAnsi="仿宋" w:eastAsia="仿宋" w:cs="仿宋"/>
          <w:sz w:val="32"/>
          <w:szCs w:val="32"/>
          <w:lang w:eastAsia="zh-CN"/>
        </w:rPr>
        <w:t>）</w:t>
      </w:r>
      <w:r>
        <w:rPr>
          <w:rFonts w:hint="eastAsia" w:ascii="仿宋" w:hAnsi="仿宋" w:eastAsia="仿宋" w:cs="仿宋"/>
          <w:sz w:val="32"/>
          <w:szCs w:val="32"/>
        </w:rPr>
        <w:t>加强对外对上宣传力度。</w:t>
      </w:r>
    </w:p>
    <w:p w14:paraId="700A68B2">
      <w:pPr>
        <w:pStyle w:val="18"/>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加强新时代公民道德建设</w:t>
      </w:r>
    </w:p>
    <w:p w14:paraId="4CF63EFB">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9</w:t>
      </w:r>
      <w:r>
        <w:rPr>
          <w:rFonts w:hint="eastAsia" w:ascii="仿宋" w:hAnsi="仿宋" w:eastAsia="仿宋" w:cs="仿宋"/>
          <w:sz w:val="32"/>
          <w:szCs w:val="32"/>
          <w:lang w:eastAsia="zh-CN"/>
        </w:rPr>
        <w:t>）</w:t>
      </w:r>
      <w:r>
        <w:rPr>
          <w:rFonts w:hint="eastAsia" w:ascii="仿宋" w:hAnsi="仿宋" w:eastAsia="仿宋" w:cs="仿宋"/>
          <w:sz w:val="32"/>
          <w:szCs w:val="32"/>
        </w:rPr>
        <w:t>持续实施先进典型引领工程。</w:t>
      </w:r>
    </w:p>
    <w:p w14:paraId="5D00F269">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w:t>
      </w:r>
      <w:r>
        <w:rPr>
          <w:rFonts w:hint="eastAsia" w:ascii="仿宋" w:hAnsi="仿宋" w:eastAsia="仿宋" w:cs="仿宋"/>
          <w:sz w:val="32"/>
          <w:szCs w:val="32"/>
        </w:rPr>
        <w:t>推动公民道德建设。</w:t>
      </w:r>
    </w:p>
    <w:p w14:paraId="5FB9F1E4">
      <w:pPr>
        <w:pStyle w:val="18"/>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深入推进精神文明创建</w:t>
      </w:r>
    </w:p>
    <w:p w14:paraId="4C0B4674">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11</w:t>
      </w:r>
      <w:r>
        <w:rPr>
          <w:rFonts w:hint="eastAsia" w:ascii="仿宋" w:hAnsi="仿宋" w:eastAsia="仿宋" w:cs="仿宋"/>
          <w:sz w:val="32"/>
          <w:szCs w:val="32"/>
          <w:lang w:eastAsia="zh-CN"/>
        </w:rPr>
        <w:t>）</w:t>
      </w:r>
      <w:r>
        <w:rPr>
          <w:rFonts w:hint="eastAsia" w:ascii="仿宋" w:hAnsi="仿宋" w:eastAsia="仿宋" w:cs="仿宋"/>
          <w:sz w:val="32"/>
          <w:szCs w:val="32"/>
        </w:rPr>
        <w:t>全力争创省级文明县城。</w:t>
      </w:r>
    </w:p>
    <w:p w14:paraId="104A2C80">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12</w:t>
      </w:r>
      <w:r>
        <w:rPr>
          <w:rFonts w:hint="eastAsia" w:ascii="仿宋" w:hAnsi="仿宋" w:eastAsia="仿宋" w:cs="仿宋"/>
          <w:sz w:val="32"/>
          <w:szCs w:val="32"/>
          <w:lang w:eastAsia="zh-CN"/>
        </w:rPr>
        <w:t>）</w:t>
      </w:r>
      <w:r>
        <w:rPr>
          <w:rFonts w:hint="eastAsia" w:ascii="仿宋" w:hAnsi="仿宋" w:eastAsia="仿宋" w:cs="仿宋"/>
          <w:sz w:val="32"/>
          <w:szCs w:val="32"/>
        </w:rPr>
        <w:t>实施乡风文明建设2022行动计划。</w:t>
      </w:r>
    </w:p>
    <w:p w14:paraId="00479F91">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13</w:t>
      </w:r>
      <w:r>
        <w:rPr>
          <w:rFonts w:hint="eastAsia" w:ascii="仿宋" w:hAnsi="仿宋" w:eastAsia="仿宋" w:cs="仿宋"/>
          <w:sz w:val="32"/>
          <w:szCs w:val="32"/>
          <w:lang w:eastAsia="zh-CN"/>
        </w:rPr>
        <w:t>）</w:t>
      </w:r>
      <w:r>
        <w:rPr>
          <w:rFonts w:hint="eastAsia" w:ascii="仿宋" w:hAnsi="仿宋" w:eastAsia="仿宋" w:cs="仿宋"/>
          <w:sz w:val="32"/>
          <w:szCs w:val="32"/>
        </w:rPr>
        <w:t>推进新时代文明实践中心建设。</w:t>
      </w:r>
    </w:p>
    <w:p w14:paraId="0B115DF0">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14</w:t>
      </w:r>
      <w:r>
        <w:rPr>
          <w:rFonts w:hint="eastAsia" w:ascii="仿宋" w:hAnsi="仿宋" w:eastAsia="仿宋" w:cs="仿宋"/>
          <w:sz w:val="32"/>
          <w:szCs w:val="32"/>
          <w:lang w:eastAsia="zh-CN"/>
        </w:rPr>
        <w:t>）</w:t>
      </w:r>
      <w:r>
        <w:rPr>
          <w:rFonts w:hint="eastAsia" w:ascii="仿宋" w:hAnsi="仿宋" w:eastAsia="仿宋" w:cs="仿宋"/>
          <w:sz w:val="32"/>
          <w:szCs w:val="32"/>
        </w:rPr>
        <w:t>全力打造志愿服务品牌。</w:t>
      </w:r>
    </w:p>
    <w:p w14:paraId="47E4F6AE">
      <w:pPr>
        <w:pStyle w:val="18"/>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推动文化产业发展</w:t>
      </w:r>
    </w:p>
    <w:p w14:paraId="07C93863">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15</w:t>
      </w:r>
      <w:r>
        <w:rPr>
          <w:rFonts w:hint="eastAsia" w:ascii="仿宋" w:hAnsi="仿宋" w:eastAsia="仿宋" w:cs="仿宋"/>
          <w:sz w:val="32"/>
          <w:szCs w:val="32"/>
          <w:lang w:eastAsia="zh-CN"/>
        </w:rPr>
        <w:t>）</w:t>
      </w:r>
      <w:r>
        <w:rPr>
          <w:rFonts w:hint="eastAsia" w:ascii="仿宋" w:hAnsi="仿宋" w:eastAsia="仿宋" w:cs="仿宋"/>
          <w:sz w:val="32"/>
          <w:szCs w:val="32"/>
        </w:rPr>
        <w:t>推进文化产业发展。</w:t>
      </w:r>
    </w:p>
    <w:p w14:paraId="70F47078">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16</w:t>
      </w:r>
      <w:r>
        <w:rPr>
          <w:rFonts w:hint="eastAsia" w:ascii="仿宋" w:hAnsi="仿宋" w:eastAsia="仿宋" w:cs="仿宋"/>
          <w:sz w:val="32"/>
          <w:szCs w:val="32"/>
          <w:lang w:eastAsia="zh-CN"/>
        </w:rPr>
        <w:t>）</w:t>
      </w:r>
      <w:r>
        <w:rPr>
          <w:rFonts w:hint="eastAsia" w:ascii="仿宋" w:hAnsi="仿宋" w:eastAsia="仿宋" w:cs="仿宋"/>
          <w:sz w:val="32"/>
          <w:szCs w:val="32"/>
        </w:rPr>
        <w:t>提升文化产业平台建设。</w:t>
      </w:r>
    </w:p>
    <w:p w14:paraId="7AF1B8EA">
      <w:pPr>
        <w:pStyle w:val="18"/>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聚焦文化民生，持续实施邢襄文化弘扬工程</w:t>
      </w:r>
    </w:p>
    <w:p w14:paraId="16EF1897">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17</w:t>
      </w:r>
      <w:r>
        <w:rPr>
          <w:rFonts w:hint="eastAsia" w:ascii="仿宋" w:hAnsi="仿宋" w:eastAsia="仿宋" w:cs="仿宋"/>
          <w:sz w:val="32"/>
          <w:szCs w:val="32"/>
          <w:lang w:eastAsia="zh-CN"/>
        </w:rPr>
        <w:t>）</w:t>
      </w:r>
      <w:r>
        <w:rPr>
          <w:rFonts w:hint="eastAsia" w:ascii="仿宋" w:hAnsi="仿宋" w:eastAsia="仿宋" w:cs="仿宋"/>
          <w:sz w:val="32"/>
          <w:szCs w:val="32"/>
        </w:rPr>
        <w:t>创作编纂隆尧历史文化文艺作品，弘扬传承隆尧历史文化。</w:t>
      </w:r>
    </w:p>
    <w:p w14:paraId="1A82EAFD">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18</w:t>
      </w:r>
      <w:r>
        <w:rPr>
          <w:rFonts w:hint="eastAsia" w:ascii="仿宋" w:hAnsi="仿宋" w:eastAsia="仿宋" w:cs="仿宋"/>
          <w:sz w:val="32"/>
          <w:szCs w:val="32"/>
          <w:lang w:eastAsia="zh-CN"/>
        </w:rPr>
        <w:t>）</w:t>
      </w:r>
      <w:r>
        <w:rPr>
          <w:rFonts w:hint="eastAsia" w:ascii="仿宋" w:hAnsi="仿宋" w:eastAsia="仿宋" w:cs="仿宋"/>
          <w:sz w:val="32"/>
          <w:szCs w:val="32"/>
        </w:rPr>
        <w:t>组织开展文艺精品创作和评选活动。</w:t>
      </w:r>
    </w:p>
    <w:p w14:paraId="1811454E">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19</w:t>
      </w:r>
      <w:r>
        <w:rPr>
          <w:rFonts w:hint="eastAsia" w:ascii="仿宋" w:hAnsi="仿宋" w:eastAsia="仿宋" w:cs="仿宋"/>
          <w:sz w:val="32"/>
          <w:szCs w:val="32"/>
          <w:lang w:eastAsia="zh-CN"/>
        </w:rPr>
        <w:t>）</w:t>
      </w:r>
      <w:r>
        <w:rPr>
          <w:rFonts w:hint="eastAsia" w:ascii="仿宋" w:hAnsi="仿宋" w:eastAsia="仿宋" w:cs="仿宋"/>
          <w:sz w:val="32"/>
          <w:szCs w:val="32"/>
        </w:rPr>
        <w:t>进一步深化“三城同建”活动实施。</w:t>
      </w:r>
    </w:p>
    <w:p w14:paraId="40DE5072">
      <w:pPr>
        <w:pStyle w:val="18"/>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强化担当作为，锻炼一</w:t>
      </w:r>
      <w:r>
        <w:rPr>
          <w:rFonts w:hint="eastAsia" w:ascii="仿宋" w:hAnsi="仿宋" w:eastAsia="仿宋" w:cs="仿宋"/>
          <w:sz w:val="32"/>
          <w:szCs w:val="32"/>
          <w:lang w:eastAsia="zh-CN"/>
        </w:rPr>
        <w:t>支</w:t>
      </w:r>
      <w:r>
        <w:rPr>
          <w:rFonts w:hint="eastAsia" w:ascii="仿宋" w:hAnsi="仿宋" w:eastAsia="仿宋" w:cs="仿宋"/>
          <w:sz w:val="32"/>
          <w:szCs w:val="32"/>
        </w:rPr>
        <w:t>过硬的宣传思想干部队伍</w:t>
      </w:r>
    </w:p>
    <w:p w14:paraId="38D31D4B">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20</w:t>
      </w:r>
      <w:r>
        <w:rPr>
          <w:rFonts w:hint="eastAsia" w:ascii="仿宋" w:hAnsi="仿宋" w:eastAsia="仿宋" w:cs="仿宋"/>
          <w:sz w:val="32"/>
          <w:szCs w:val="32"/>
          <w:lang w:eastAsia="zh-CN"/>
        </w:rPr>
        <w:t>）</w:t>
      </w:r>
      <w:r>
        <w:rPr>
          <w:rFonts w:hint="eastAsia" w:ascii="仿宋" w:hAnsi="仿宋" w:eastAsia="仿宋" w:cs="仿宋"/>
          <w:sz w:val="32"/>
          <w:szCs w:val="32"/>
        </w:rPr>
        <w:t>强化业务能力培训，加强党建和作风建设。</w:t>
      </w:r>
    </w:p>
    <w:p w14:paraId="435539A3">
      <w:pPr>
        <w:pStyle w:val="18"/>
        <w:rPr>
          <w:rFonts w:hint="eastAsia" w:ascii="仿宋" w:hAnsi="仿宋" w:eastAsia="仿宋" w:cs="仿宋"/>
          <w:sz w:val="32"/>
          <w:szCs w:val="32"/>
        </w:rPr>
      </w:pP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21</w:t>
      </w:r>
      <w:r>
        <w:rPr>
          <w:rFonts w:hint="eastAsia" w:ascii="仿宋" w:hAnsi="仿宋" w:eastAsia="仿宋" w:cs="仿宋"/>
          <w:sz w:val="32"/>
          <w:szCs w:val="32"/>
          <w:lang w:eastAsia="zh-CN"/>
        </w:rPr>
        <w:t>）</w:t>
      </w:r>
      <w:r>
        <w:rPr>
          <w:rFonts w:hint="eastAsia" w:ascii="仿宋" w:hAnsi="仿宋" w:eastAsia="仿宋" w:cs="仿宋"/>
          <w:sz w:val="32"/>
          <w:szCs w:val="32"/>
        </w:rPr>
        <w:t>实行“三比照”对账要账落实机制</w:t>
      </w:r>
    </w:p>
    <w:p w14:paraId="4D8D0E7F">
      <w:pPr>
        <w:adjustRightInd w:val="0"/>
        <w:rPr>
          <w:rFonts w:hint="eastAsia" w:ascii="楷体" w:hAnsi="楷体" w:eastAsia="楷体" w:cs="仿宋"/>
          <w:sz w:val="32"/>
          <w:szCs w:val="32"/>
        </w:rPr>
      </w:pPr>
      <w:r>
        <w:rPr>
          <w:rFonts w:hint="eastAsia" w:ascii="仿宋" w:hAnsi="仿宋" w:eastAsia="仿宋" w:cs="仿宋"/>
          <w:sz w:val="32"/>
          <w:szCs w:val="32"/>
        </w:rPr>
        <w:t>（五）预算资金安排及资金支出</w:t>
      </w:r>
      <w:r>
        <w:rPr>
          <w:rFonts w:hint="eastAsia" w:ascii="楷体" w:hAnsi="楷体" w:eastAsia="楷体" w:cs="仿宋"/>
          <w:sz w:val="32"/>
          <w:szCs w:val="32"/>
        </w:rPr>
        <w:t>情况。</w:t>
      </w:r>
    </w:p>
    <w:p w14:paraId="296B4FD1">
      <w:pPr>
        <w:keepNext w:val="0"/>
        <w:keepLines w:val="0"/>
        <w:pageBreakBefore w:val="0"/>
        <w:widowControl w:val="0"/>
        <w:kinsoku/>
        <w:wordWrap/>
        <w:overflowPunct/>
        <w:topLinePunct w:val="0"/>
        <w:autoSpaceDE/>
        <w:autoSpaceDN/>
        <w:bidi w:val="0"/>
        <w:adjustRightInd w:val="0"/>
        <w:snapToGrid/>
        <w:ind w:firstLine="640" w:firstLineChars="200"/>
        <w:textAlignment w:val="auto"/>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2021年县级项目预算资金总额204.5327万元，资金支出进度100%。</w:t>
      </w:r>
    </w:p>
    <w:p w14:paraId="2E42FA30">
      <w:pPr>
        <w:pStyle w:val="17"/>
        <w:numPr>
          <w:ilvl w:val="0"/>
          <w:numId w:val="0"/>
        </w:numPr>
        <w:ind w:firstLine="640" w:firstLineChars="200"/>
        <w:rPr>
          <w:rFonts w:hint="eastAsia" w:ascii="黑体" w:hAnsi="黑体" w:eastAsia="黑体" w:cs="仿宋"/>
          <w:sz w:val="32"/>
          <w:szCs w:val="32"/>
        </w:rPr>
      </w:pPr>
      <w:r>
        <w:rPr>
          <w:rFonts w:hint="eastAsia" w:ascii="黑体" w:hAnsi="黑体" w:eastAsia="黑体" w:cs="仿宋"/>
          <w:sz w:val="32"/>
          <w:szCs w:val="32"/>
          <w:lang w:eastAsia="zh-CN"/>
        </w:rPr>
        <w:t>二、</w:t>
      </w:r>
      <w:r>
        <w:rPr>
          <w:rFonts w:hint="eastAsia" w:ascii="黑体" w:hAnsi="黑体" w:eastAsia="黑体" w:cs="仿宋"/>
          <w:sz w:val="32"/>
          <w:szCs w:val="32"/>
        </w:rPr>
        <w:t>预算绩效管理开展及整体绩效实现情况。</w:t>
      </w:r>
    </w:p>
    <w:p w14:paraId="2595214B">
      <w:pPr>
        <w:pStyle w:val="17"/>
        <w:numPr>
          <w:ilvl w:val="0"/>
          <w:numId w:val="0"/>
        </w:numPr>
        <w:ind w:leftChars="200"/>
        <w:rPr>
          <w:rFonts w:hint="eastAsia" w:ascii="仿宋" w:hAnsi="仿宋" w:eastAsia="仿宋" w:cs="仿宋"/>
          <w:sz w:val="32"/>
          <w:szCs w:val="32"/>
        </w:rPr>
      </w:pPr>
      <w:r>
        <w:rPr>
          <w:rFonts w:hint="eastAsia" w:ascii="仿宋" w:hAnsi="仿宋" w:eastAsia="仿宋" w:cs="仿宋"/>
          <w:sz w:val="32"/>
          <w:szCs w:val="32"/>
        </w:rPr>
        <w:t>（一）不断加强绩效管理制度建设</w:t>
      </w:r>
    </w:p>
    <w:p w14:paraId="39AD3D16">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为规范绩效管理工作，我</w:t>
      </w:r>
      <w:r>
        <w:rPr>
          <w:rFonts w:hint="eastAsia" w:ascii="仿宋" w:hAnsi="仿宋" w:eastAsia="仿宋" w:cs="仿宋"/>
          <w:sz w:val="32"/>
          <w:szCs w:val="32"/>
          <w:lang w:eastAsia="zh-CN"/>
        </w:rPr>
        <w:t>单位</w:t>
      </w:r>
      <w:r>
        <w:rPr>
          <w:rFonts w:hint="eastAsia" w:ascii="仿宋" w:hAnsi="仿宋" w:eastAsia="仿宋" w:cs="仿宋"/>
          <w:sz w:val="32"/>
          <w:szCs w:val="32"/>
        </w:rPr>
        <w:t>从事前评估、目标管理、中期监控及绩效评价等各个绩效管理环节，都建立了制度办法，各项制度的建立为扎实开展预算绩效管理工作提供了制度保障。</w:t>
      </w:r>
    </w:p>
    <w:p w14:paraId="11DFF194">
      <w:pPr>
        <w:numPr>
          <w:ilvl w:val="0"/>
          <w:numId w:val="1"/>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逐步扩大绩效目标管理的范围</w:t>
      </w:r>
    </w:p>
    <w:p w14:paraId="09F2BD9A">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在编制2021年预算时，实现所有支出项目绩效目标全覆盖。在预算编制“一上”阶段，对预算绩效目标逐个进行审核，将绩效目标设置作为项目入库和申请预算的必要前置条件，不符合相关要求的，不得进入下一步预算编审流程。</w:t>
      </w:r>
    </w:p>
    <w:p w14:paraId="175B22EE">
      <w:pPr>
        <w:numPr>
          <w:ilvl w:val="0"/>
          <w:numId w:val="1"/>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开展中期监控</w:t>
      </w:r>
    </w:p>
    <w:p w14:paraId="02CA15A6">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eastAsia="zh-CN"/>
        </w:rPr>
        <w:t>中期根据</w:t>
      </w:r>
      <w:r>
        <w:rPr>
          <w:rFonts w:hint="eastAsia" w:ascii="仿宋" w:hAnsi="仿宋" w:eastAsia="仿宋" w:cs="仿宋"/>
          <w:sz w:val="32"/>
          <w:szCs w:val="32"/>
        </w:rPr>
        <w:t>产出指标的完成值和效益指标的实现程度及趋势，对全年绩效目标完成情况进行综合判断，对预计不能完成目标的原因及拟采取的改进措施进行说明。</w:t>
      </w:r>
    </w:p>
    <w:p w14:paraId="26D73204">
      <w:pPr>
        <w:numPr>
          <w:ilvl w:val="0"/>
          <w:numId w:val="1"/>
        </w:numPr>
        <w:adjustRightInd w:val="0"/>
        <w:ind w:left="0" w:leftChars="0" w:firstLine="480" w:firstLineChars="150"/>
        <w:rPr>
          <w:rFonts w:hint="eastAsia" w:ascii="仿宋" w:hAnsi="仿宋" w:eastAsia="仿宋" w:cs="仿宋"/>
          <w:sz w:val="32"/>
          <w:szCs w:val="32"/>
          <w:lang w:eastAsia="zh-CN"/>
        </w:rPr>
      </w:pPr>
      <w:r>
        <w:rPr>
          <w:rFonts w:hint="eastAsia" w:ascii="仿宋" w:hAnsi="仿宋" w:eastAsia="仿宋" w:cs="仿宋"/>
          <w:sz w:val="32"/>
          <w:szCs w:val="32"/>
        </w:rPr>
        <w:t>完善绩效评价结果应用，增强绩效约束</w:t>
      </w:r>
    </w:p>
    <w:p w14:paraId="722B8249">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推进预算绩效管理，绩效评价的结果应用是关键。一是建立绩效评价结果公开和反馈整改机制。对绩效评价过程中发现的问题，及时反馈给财政局</w:t>
      </w:r>
      <w:r>
        <w:rPr>
          <w:rFonts w:hint="eastAsia" w:ascii="仿宋" w:hAnsi="仿宋" w:eastAsia="仿宋" w:cs="仿宋"/>
          <w:sz w:val="32"/>
          <w:szCs w:val="32"/>
          <w:lang w:eastAsia="zh-CN"/>
        </w:rPr>
        <w:t>主管</w:t>
      </w:r>
      <w:r>
        <w:rPr>
          <w:rFonts w:hint="eastAsia" w:ascii="仿宋" w:hAnsi="仿宋" w:eastAsia="仿宋" w:cs="仿宋"/>
          <w:sz w:val="32"/>
          <w:szCs w:val="32"/>
        </w:rPr>
        <w:t>科室。二是将绩效结果与</w:t>
      </w:r>
      <w:r>
        <w:rPr>
          <w:rFonts w:hint="eastAsia" w:ascii="仿宋" w:hAnsi="仿宋" w:eastAsia="仿宋" w:cs="仿宋"/>
          <w:sz w:val="32"/>
          <w:szCs w:val="32"/>
          <w:lang w:eastAsia="zh-CN"/>
        </w:rPr>
        <w:t>对应业务股室</w:t>
      </w:r>
      <w:r>
        <w:rPr>
          <w:rFonts w:hint="eastAsia" w:ascii="仿宋" w:hAnsi="仿宋" w:eastAsia="仿宋" w:cs="仿宋"/>
          <w:sz w:val="32"/>
          <w:szCs w:val="32"/>
        </w:rPr>
        <w:t>综合考核挂钩。把绩效结果好坏作为综合考核的依据，通过单位自评和中期监控开展情况以及重点绩效评价情况，对</w:t>
      </w:r>
      <w:r>
        <w:rPr>
          <w:rFonts w:hint="eastAsia" w:ascii="仿宋" w:hAnsi="仿宋" w:eastAsia="仿宋" w:cs="仿宋"/>
          <w:sz w:val="32"/>
          <w:szCs w:val="32"/>
          <w:lang w:eastAsia="zh-CN"/>
        </w:rPr>
        <w:t>我单位各业务股室</w:t>
      </w:r>
      <w:r>
        <w:rPr>
          <w:rFonts w:hint="eastAsia" w:ascii="仿宋" w:hAnsi="仿宋" w:eastAsia="仿宋" w:cs="仿宋"/>
          <w:sz w:val="32"/>
          <w:szCs w:val="32"/>
        </w:rPr>
        <w:t>进行考核，有效的推动绩效工作的深入开展。</w:t>
      </w:r>
    </w:p>
    <w:p w14:paraId="75FD5BD3">
      <w:pPr>
        <w:pStyle w:val="17"/>
        <w:numPr>
          <w:ilvl w:val="0"/>
          <w:numId w:val="0"/>
        </w:numPr>
        <w:ind w:left="709" w:leftChars="0"/>
        <w:rPr>
          <w:rFonts w:ascii="黑体" w:hAnsi="黑体" w:eastAsia="黑体" w:cs="仿宋"/>
          <w:sz w:val="32"/>
          <w:szCs w:val="32"/>
        </w:rPr>
      </w:pPr>
      <w:r>
        <w:rPr>
          <w:rFonts w:hint="eastAsia" w:ascii="黑体" w:hAnsi="黑体" w:eastAsia="黑体" w:cs="仿宋"/>
          <w:sz w:val="32"/>
          <w:szCs w:val="32"/>
          <w:lang w:eastAsia="zh-CN"/>
        </w:rPr>
        <w:t>三、</w:t>
      </w:r>
      <w:r>
        <w:rPr>
          <w:rFonts w:hint="eastAsia" w:ascii="黑体" w:hAnsi="黑体" w:eastAsia="黑体" w:cs="仿宋"/>
          <w:sz w:val="32"/>
          <w:szCs w:val="32"/>
        </w:rPr>
        <w:t>绩效评价的组织实施情况</w:t>
      </w:r>
    </w:p>
    <w:p w14:paraId="2746E085">
      <w:pPr>
        <w:adjustRightInd w:val="0"/>
        <w:ind w:firstLine="480" w:firstLineChars="150"/>
        <w:rPr>
          <w:rFonts w:hint="eastAsia" w:ascii="仿宋" w:hAnsi="仿宋" w:eastAsia="仿宋" w:cs="仿宋"/>
          <w:sz w:val="32"/>
          <w:szCs w:val="32"/>
          <w:lang w:eastAsia="zh-CN"/>
        </w:rPr>
      </w:pPr>
      <w:r>
        <w:rPr>
          <w:rFonts w:hint="eastAsia" w:ascii="仿宋" w:hAnsi="仿宋" w:eastAsia="仿宋" w:cs="仿宋"/>
          <w:sz w:val="32"/>
          <w:szCs w:val="32"/>
          <w:lang w:eastAsia="zh-CN"/>
        </w:rPr>
        <w:t>我单位</w:t>
      </w:r>
      <w:r>
        <w:rPr>
          <w:rFonts w:hint="eastAsia" w:ascii="仿宋" w:hAnsi="仿宋" w:eastAsia="仿宋" w:cs="仿宋"/>
          <w:sz w:val="32"/>
          <w:szCs w:val="32"/>
        </w:rPr>
        <w:t>通过数据采集、问卷调查及实地调研访谈等形式，对部门决策、部门管理、部门履职、履职绩效、可持续发展能力等内容进行剖析，</w:t>
      </w:r>
      <w:r>
        <w:rPr>
          <w:rFonts w:hint="eastAsia" w:ascii="仿宋" w:hAnsi="仿宋" w:eastAsia="仿宋" w:cs="仿宋"/>
          <w:sz w:val="32"/>
          <w:szCs w:val="32"/>
          <w:lang w:eastAsia="zh-CN"/>
        </w:rPr>
        <w:t>根据部门整体支出绩效评价指标体系评分表综合分析</w:t>
      </w:r>
      <w:r>
        <w:rPr>
          <w:rFonts w:hint="eastAsia" w:ascii="仿宋" w:hAnsi="仿宋" w:eastAsia="仿宋" w:cs="仿宋"/>
          <w:sz w:val="32"/>
          <w:szCs w:val="32"/>
        </w:rPr>
        <w:t>，20</w:t>
      </w:r>
      <w:r>
        <w:rPr>
          <w:rFonts w:hint="eastAsia" w:ascii="仿宋" w:hAnsi="仿宋" w:eastAsia="仿宋" w:cs="仿宋"/>
          <w:sz w:val="32"/>
          <w:szCs w:val="32"/>
          <w:lang w:val="en-US" w:eastAsia="zh-CN"/>
        </w:rPr>
        <w:t>21</w:t>
      </w:r>
      <w:r>
        <w:rPr>
          <w:rFonts w:hint="eastAsia" w:ascii="仿宋" w:hAnsi="仿宋" w:eastAsia="仿宋" w:cs="仿宋"/>
          <w:sz w:val="32"/>
          <w:szCs w:val="32"/>
        </w:rPr>
        <w:t>年度</w:t>
      </w:r>
      <w:r>
        <w:rPr>
          <w:rFonts w:hint="eastAsia" w:ascii="仿宋" w:hAnsi="仿宋" w:eastAsia="仿宋" w:cs="仿宋"/>
          <w:sz w:val="32"/>
          <w:szCs w:val="32"/>
          <w:lang w:eastAsia="zh-CN"/>
        </w:rPr>
        <w:t>我单位绩效自评得分</w:t>
      </w:r>
      <w:r>
        <w:rPr>
          <w:rFonts w:hint="eastAsia" w:ascii="仿宋" w:hAnsi="仿宋" w:eastAsia="仿宋" w:cs="仿宋"/>
          <w:sz w:val="32"/>
          <w:szCs w:val="32"/>
          <w:lang w:val="en-US" w:eastAsia="zh-CN"/>
        </w:rPr>
        <w:t>99</w:t>
      </w:r>
      <w:r>
        <w:rPr>
          <w:rFonts w:hint="eastAsia" w:ascii="仿宋" w:hAnsi="仿宋" w:eastAsia="仿宋" w:cs="仿宋"/>
          <w:sz w:val="32"/>
          <w:szCs w:val="32"/>
        </w:rPr>
        <w:t>分</w:t>
      </w:r>
      <w:r>
        <w:rPr>
          <w:rFonts w:hint="eastAsia" w:ascii="仿宋" w:hAnsi="仿宋" w:eastAsia="仿宋" w:cs="仿宋"/>
          <w:sz w:val="32"/>
          <w:szCs w:val="32"/>
          <w:lang w:eastAsia="zh-CN"/>
        </w:rPr>
        <w:t>。</w:t>
      </w:r>
    </w:p>
    <w:p w14:paraId="524B45DC">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在绩效目标评价工作过程中，</w:t>
      </w:r>
      <w:r>
        <w:rPr>
          <w:rFonts w:hint="eastAsia" w:ascii="仿宋" w:hAnsi="仿宋" w:eastAsia="仿宋" w:cs="仿宋"/>
          <w:sz w:val="32"/>
          <w:szCs w:val="32"/>
          <w:lang w:eastAsia="zh-CN"/>
        </w:rPr>
        <w:t>我单位</w:t>
      </w:r>
      <w:r>
        <w:rPr>
          <w:rFonts w:hint="eastAsia" w:ascii="仿宋" w:hAnsi="仿宋" w:eastAsia="仿宋" w:cs="仿宋"/>
          <w:sz w:val="32"/>
          <w:szCs w:val="32"/>
        </w:rPr>
        <w:t>通过对绩效目标的设置情况、资金使用情况、项目实施管理情况、项目绩效表现情况等方面进行综合评价，对 202</w:t>
      </w:r>
      <w:r>
        <w:rPr>
          <w:rFonts w:hint="eastAsia" w:ascii="仿宋" w:hAnsi="仿宋" w:eastAsia="仿宋" w:cs="仿宋"/>
          <w:sz w:val="32"/>
          <w:szCs w:val="32"/>
          <w:lang w:val="en-US" w:eastAsia="zh-CN"/>
        </w:rPr>
        <w:t>1</w:t>
      </w:r>
      <w:r>
        <w:rPr>
          <w:rFonts w:hint="eastAsia" w:ascii="仿宋" w:hAnsi="仿宋" w:eastAsia="仿宋" w:cs="仿宋"/>
          <w:sz w:val="32"/>
          <w:szCs w:val="32"/>
        </w:rPr>
        <w:t>年度整体支出进行深入研究分析。加深了对资金使用是否达到了预期目标、资金管理是否规范、资金使用是否有效，检验资金支出效率和效果等方面绩效评价的理解，充分发挥了绩效目标情况评价对预算管理的指导和监督作用。</w:t>
      </w:r>
    </w:p>
    <w:p w14:paraId="710D84D9">
      <w:pPr>
        <w:pStyle w:val="17"/>
        <w:numPr>
          <w:ilvl w:val="0"/>
          <w:numId w:val="0"/>
        </w:numPr>
        <w:ind w:left="709" w:leftChars="0"/>
        <w:rPr>
          <w:rFonts w:hint="eastAsia" w:ascii="黑体" w:hAnsi="黑体" w:eastAsia="黑体" w:cs="仿宋"/>
          <w:sz w:val="32"/>
          <w:szCs w:val="32"/>
        </w:rPr>
      </w:pPr>
      <w:r>
        <w:rPr>
          <w:rFonts w:hint="eastAsia" w:ascii="黑体" w:hAnsi="黑体" w:eastAsia="黑体" w:cs="仿宋"/>
          <w:sz w:val="32"/>
          <w:szCs w:val="32"/>
          <w:lang w:eastAsia="zh-CN"/>
        </w:rPr>
        <w:t>四、</w:t>
      </w:r>
      <w:r>
        <w:rPr>
          <w:rFonts w:hint="eastAsia" w:ascii="黑体" w:hAnsi="黑体" w:eastAsia="黑体" w:cs="仿宋"/>
          <w:sz w:val="32"/>
          <w:szCs w:val="32"/>
        </w:rPr>
        <w:t>各项绩效目标的实现程度及差异性原因分析。</w:t>
      </w:r>
    </w:p>
    <w:p w14:paraId="5F7DCB18">
      <w:pPr>
        <w:pStyle w:val="17"/>
        <w:numPr>
          <w:ilvl w:val="0"/>
          <w:numId w:val="0"/>
        </w:numPr>
        <w:ind w:left="709" w:leftChars="0"/>
        <w:rPr>
          <w:rFonts w:hint="default"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各项绩效目标均按绩效设定目标完成。</w:t>
      </w:r>
    </w:p>
    <w:p w14:paraId="461CDC09">
      <w:pPr>
        <w:pStyle w:val="17"/>
        <w:numPr>
          <w:ilvl w:val="0"/>
          <w:numId w:val="0"/>
        </w:numPr>
        <w:ind w:left="709" w:leftChars="0"/>
        <w:rPr>
          <w:rFonts w:hint="eastAsia" w:ascii="黑体" w:hAnsi="黑体" w:eastAsia="黑体" w:cs="仿宋"/>
          <w:sz w:val="32"/>
          <w:szCs w:val="32"/>
          <w:lang w:eastAsia="zh-CN"/>
        </w:rPr>
      </w:pPr>
      <w:r>
        <w:rPr>
          <w:rFonts w:hint="eastAsia" w:ascii="黑体" w:hAnsi="黑体" w:eastAsia="黑体" w:cs="仿宋"/>
          <w:sz w:val="32"/>
          <w:szCs w:val="32"/>
          <w:lang w:eastAsia="zh-CN"/>
        </w:rPr>
        <w:t>五、</w:t>
      </w:r>
      <w:r>
        <w:rPr>
          <w:rFonts w:hint="eastAsia" w:ascii="黑体" w:hAnsi="黑体" w:eastAsia="黑体" w:cs="仿宋"/>
          <w:sz w:val="32"/>
          <w:szCs w:val="32"/>
        </w:rPr>
        <w:t>存在问题</w:t>
      </w:r>
      <w:r>
        <w:rPr>
          <w:rFonts w:hint="eastAsia" w:ascii="黑体" w:hAnsi="黑体" w:eastAsia="黑体" w:cs="仿宋"/>
          <w:sz w:val="32"/>
          <w:szCs w:val="32"/>
          <w:lang w:eastAsia="zh-CN"/>
        </w:rPr>
        <w:t>。</w:t>
      </w:r>
    </w:p>
    <w:p w14:paraId="51754BEC">
      <w:pPr>
        <w:pStyle w:val="17"/>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1.绩效评价是一项综合性工作，涉及财务管理、经济学、社会学等多个专业领域，故仅仅依靠财务人员在没有其他相关领域的专家进行协作的情况下，对部门整体支出进行独立评价具有一定的局限性。</w:t>
      </w:r>
    </w:p>
    <w:p w14:paraId="61137655">
      <w:pPr>
        <w:pStyle w:val="17"/>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2.在设计绩效评价体系时目标的确定与量化往往带有较强的主观性与经验主义，这需要在评价过程中不断完善。</w:t>
      </w:r>
    </w:p>
    <w:p w14:paraId="0DE050A5">
      <w:pPr>
        <w:pStyle w:val="17"/>
        <w:numPr>
          <w:ilvl w:val="0"/>
          <w:numId w:val="0"/>
        </w:numPr>
        <w:ind w:firstLine="640" w:firstLineChars="200"/>
        <w:rPr>
          <w:rFonts w:hint="eastAsia" w:ascii="黑体" w:hAnsi="黑体" w:eastAsia="黑体" w:cs="仿宋"/>
          <w:sz w:val="32"/>
          <w:szCs w:val="32"/>
        </w:rPr>
      </w:pPr>
      <w:r>
        <w:rPr>
          <w:rFonts w:hint="eastAsia" w:ascii="黑体" w:hAnsi="黑体" w:eastAsia="黑体" w:cs="仿宋"/>
          <w:sz w:val="32"/>
          <w:szCs w:val="32"/>
          <w:lang w:eastAsia="zh-CN"/>
        </w:rPr>
        <w:t>六、</w:t>
      </w:r>
      <w:r>
        <w:rPr>
          <w:rFonts w:hint="eastAsia" w:ascii="黑体" w:hAnsi="黑体" w:eastAsia="黑体" w:cs="仿宋"/>
          <w:sz w:val="32"/>
          <w:szCs w:val="32"/>
        </w:rPr>
        <w:t>采取的纠偏措施及改进绩效管理建议。</w:t>
      </w:r>
    </w:p>
    <w:p w14:paraId="167FA2EA">
      <w:pPr>
        <w:pStyle w:val="17"/>
        <w:numPr>
          <w:ilvl w:val="0"/>
          <w:numId w:val="0"/>
        </w:numPr>
        <w:ind w:firstLine="640" w:firstLineChars="200"/>
        <w:rPr>
          <w:rFonts w:hint="eastAsia" w:ascii="仿宋" w:hAnsi="仿宋" w:eastAsia="仿宋" w:cs="仿宋"/>
          <w:kern w:val="2"/>
          <w:sz w:val="32"/>
          <w:szCs w:val="32"/>
          <w:lang w:val="en-US" w:eastAsia="zh-CN" w:bidi="ar-SA"/>
        </w:rPr>
      </w:pPr>
      <w:r>
        <w:rPr>
          <w:rFonts w:hint="eastAsia" w:ascii="仿宋" w:hAnsi="仿宋" w:eastAsia="仿宋" w:cs="仿宋"/>
          <w:kern w:val="2"/>
          <w:sz w:val="32"/>
          <w:szCs w:val="32"/>
          <w:lang w:val="en-US" w:eastAsia="zh-CN" w:bidi="ar-SA"/>
        </w:rPr>
        <w:t>在今后制定年度绩效目标时，将根据相关政府工作报告、年度工作计划和年度工作任务等文书文件中体现的具体要求，进一步梳理细化后，制定出更加明确具体的、定性和定量相结合的、可衡量考核的年度绩效目标。</w:t>
      </w: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1420F2">
    <w:pPr>
      <w:pStyle w:val="5"/>
      <w:framePr w:wrap="around" w:vAnchor="text" w:hAnchor="margin" w:xAlign="outside" w:y="1"/>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p w14:paraId="1F536B38">
    <w:pPr>
      <w:pStyle w:val="5"/>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ADDAF">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395B428A">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D9C5BE8"/>
    <w:multiLevelType w:val="singleLevel"/>
    <w:tmpl w:val="ED9C5BE8"/>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mE0MDAzYmNjM2NmMzFjZTY0ZTE1NGYzNDAxODAyZjU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5374814"/>
    <w:rsid w:val="054F4731"/>
    <w:rsid w:val="0C8F0285"/>
    <w:rsid w:val="0F8F6BFC"/>
    <w:rsid w:val="107166F3"/>
    <w:rsid w:val="1AC860C4"/>
    <w:rsid w:val="1C841DE7"/>
    <w:rsid w:val="2E864BA1"/>
    <w:rsid w:val="3791647A"/>
    <w:rsid w:val="455969D8"/>
    <w:rsid w:val="48725571"/>
    <w:rsid w:val="4BDB04ED"/>
    <w:rsid w:val="526A3656"/>
    <w:rsid w:val="53CD5365"/>
    <w:rsid w:val="5D643D56"/>
    <w:rsid w:val="64283056"/>
    <w:rsid w:val="68556066"/>
    <w:rsid w:val="69BD0A47"/>
    <w:rsid w:val="70C266C4"/>
    <w:rsid w:val="71A911C9"/>
    <w:rsid w:val="7793669D"/>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uiPriority w:val="99"/>
    <w:pPr>
      <w:ind w:firstLine="420" w:firstLineChars="200"/>
    </w:pPr>
  </w:style>
  <w:style w:type="paragraph" w:customStyle="1" w:styleId="1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14</Pages>
  <Words>8249</Words>
  <Characters>8653</Characters>
  <Lines>40</Lines>
  <Paragraphs>11</Paragraphs>
  <TotalTime>47</TotalTime>
  <ScaleCrop>false</ScaleCrop>
  <LinksUpToDate>false</LinksUpToDate>
  <CharactersWithSpaces>8682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月影乌瞳金丝虎</cp:lastModifiedBy>
  <cp:lastPrinted>2022-03-22T16:03:00Z</cp:lastPrinted>
  <dcterms:modified xsi:type="dcterms:W3CDTF">2025-04-08T04:58:43Z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0FE7A1397D69485F809BCAC8EAEE1632</vt:lpwstr>
  </property>
  <property fmtid="{D5CDD505-2E9C-101B-9397-08002B2CF9AE}" pid="4" name="KSOTemplateDocerSaveRecord">
    <vt:lpwstr>eyJoZGlkIjoiMmE0MDAzYmNjM2NmMzFjZTY0ZTE1NGYzNDAxODAyZjUiLCJ1c2VySWQiOiI1NjU3OTIxNjQifQ==</vt:lpwstr>
  </property>
</Properties>
</file>