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0</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664.49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624.82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664.49</w:t>
            </w:r>
          </w:p>
        </w:tc>
        <w:tc>
          <w:tcPr>
            <w:tcW w:w="4535" w:type="dxa"/>
            <w:vAlign w:val="center"/>
          </w:tcPr>
          <w:p>
            <w:pPr>
              <w:pStyle w:val="15"/>
            </w:pPr>
            <w:r>
              <w:t>本年支出合计</w:t>
            </w:r>
          </w:p>
        </w:tc>
        <w:tc>
          <w:tcPr>
            <w:tcW w:w="2126" w:type="dxa"/>
            <w:vAlign w:val="center"/>
          </w:tcPr>
          <w:p>
            <w:pPr>
              <w:pStyle w:val="16"/>
            </w:pPr>
            <w:r>
              <w:t>664.49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664.49</w:t>
            </w:r>
          </w:p>
        </w:tc>
        <w:tc>
          <w:tcPr>
            <w:tcW w:w="4535" w:type="dxa"/>
            <w:vAlign w:val="center"/>
          </w:tcPr>
          <w:p>
            <w:pPr>
              <w:pStyle w:val="15"/>
            </w:pPr>
            <w:r>
              <w:t>支出总计</w:t>
            </w:r>
          </w:p>
        </w:tc>
        <w:tc>
          <w:tcPr>
            <w:tcW w:w="2126" w:type="dxa"/>
            <w:vAlign w:val="center"/>
          </w:tcPr>
          <w:p>
            <w:pPr>
              <w:pStyle w:val="16"/>
            </w:pPr>
            <w:r>
              <w:t>664.49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664.49</w:t>
            </w:r>
          </w:p>
        </w:tc>
        <w:tc>
          <w:tcPr>
            <w:tcW w:w="1134" w:type="dxa"/>
            <w:vAlign w:val="center"/>
          </w:tcPr>
          <w:p>
            <w:pPr>
              <w:pStyle w:val="16"/>
            </w:pPr>
            <w:r>
              <w:t>664.49</w:t>
            </w:r>
          </w:p>
        </w:tc>
        <w:tc>
          <w:tcPr>
            <w:tcW w:w="1134" w:type="dxa"/>
            <w:vAlign w:val="center"/>
          </w:tcPr>
          <w:p>
            <w:pPr>
              <w:pStyle w:val="16"/>
            </w:pPr>
            <w:r>
              <w:t>664.49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2040299</w:t>
            </w:r>
          </w:p>
        </w:tc>
        <w:tc>
          <w:tcPr>
            <w:tcW w:w="1559" w:type="dxa"/>
            <w:vAlign w:val="center"/>
          </w:tcPr>
          <w:p>
            <w:pPr>
              <w:pStyle w:val="13"/>
            </w:pPr>
            <w:r>
              <w:t>其他公安支出</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r>
              <w:t>624.82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r>
              <w:t>18.76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664.49</w:t>
            </w:r>
          </w:p>
        </w:tc>
        <w:tc>
          <w:tcPr>
            <w:tcW w:w="1361" w:type="dxa"/>
            <w:vAlign w:val="center"/>
          </w:tcPr>
          <w:p>
            <w:pPr>
              <w:pStyle w:val="16"/>
            </w:pPr>
            <w:r>
              <w:t>211.29</w:t>
            </w:r>
          </w:p>
        </w:tc>
        <w:tc>
          <w:tcPr>
            <w:tcW w:w="1361" w:type="dxa"/>
            <w:vAlign w:val="center"/>
          </w:tcPr>
          <w:p>
            <w:pPr>
              <w:pStyle w:val="16"/>
            </w:pPr>
            <w:r>
              <w:t>453.20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624.82</w:t>
            </w:r>
          </w:p>
        </w:tc>
        <w:tc>
          <w:tcPr>
            <w:tcW w:w="1361" w:type="dxa"/>
            <w:vAlign w:val="center"/>
          </w:tcPr>
          <w:p>
            <w:pPr>
              <w:pStyle w:val="12"/>
            </w:pPr>
            <w:r>
              <w:t>171.62</w:t>
            </w:r>
          </w:p>
        </w:tc>
        <w:tc>
          <w:tcPr>
            <w:tcW w:w="1361" w:type="dxa"/>
            <w:vAlign w:val="center"/>
          </w:tcPr>
          <w:p>
            <w:pPr>
              <w:pStyle w:val="12"/>
            </w:pPr>
            <w:r>
              <w:t>453.20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624.82</w:t>
            </w:r>
          </w:p>
        </w:tc>
        <w:tc>
          <w:tcPr>
            <w:tcW w:w="1361" w:type="dxa"/>
            <w:vAlign w:val="center"/>
          </w:tcPr>
          <w:p>
            <w:pPr>
              <w:pStyle w:val="12"/>
            </w:pPr>
            <w:r>
              <w:t>171.62</w:t>
            </w:r>
          </w:p>
        </w:tc>
        <w:tc>
          <w:tcPr>
            <w:tcW w:w="1361" w:type="dxa"/>
            <w:vAlign w:val="center"/>
          </w:tcPr>
          <w:p>
            <w:pPr>
              <w:pStyle w:val="12"/>
            </w:pPr>
            <w:r>
              <w:t>453.20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2040299</w:t>
            </w:r>
          </w:p>
        </w:tc>
        <w:tc>
          <w:tcPr>
            <w:tcW w:w="4535" w:type="dxa"/>
            <w:vAlign w:val="center"/>
          </w:tcPr>
          <w:p>
            <w:pPr>
              <w:pStyle w:val="13"/>
            </w:pPr>
            <w:r>
              <w:t>其他公安支出</w:t>
            </w:r>
          </w:p>
        </w:tc>
        <w:tc>
          <w:tcPr>
            <w:tcW w:w="1361" w:type="dxa"/>
            <w:vAlign w:val="center"/>
          </w:tcPr>
          <w:p>
            <w:pPr>
              <w:pStyle w:val="12"/>
            </w:pPr>
            <w:r>
              <w:t>624.82</w:t>
            </w:r>
          </w:p>
        </w:tc>
        <w:tc>
          <w:tcPr>
            <w:tcW w:w="1361" w:type="dxa"/>
            <w:vAlign w:val="center"/>
          </w:tcPr>
          <w:p>
            <w:pPr>
              <w:pStyle w:val="12"/>
            </w:pPr>
            <w:r>
              <w:t>171.62</w:t>
            </w:r>
          </w:p>
        </w:tc>
        <w:tc>
          <w:tcPr>
            <w:tcW w:w="1361" w:type="dxa"/>
            <w:vAlign w:val="center"/>
          </w:tcPr>
          <w:p>
            <w:pPr>
              <w:pStyle w:val="12"/>
            </w:pPr>
            <w:r>
              <w:t>453.20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18.76</w:t>
            </w:r>
          </w:p>
        </w:tc>
        <w:tc>
          <w:tcPr>
            <w:tcW w:w="1361" w:type="dxa"/>
            <w:vAlign w:val="center"/>
          </w:tcPr>
          <w:p>
            <w:pPr>
              <w:pStyle w:val="12"/>
            </w:pPr>
            <w:r>
              <w:t>18.76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18.76</w:t>
            </w:r>
          </w:p>
        </w:tc>
        <w:tc>
          <w:tcPr>
            <w:tcW w:w="1361" w:type="dxa"/>
            <w:vAlign w:val="center"/>
          </w:tcPr>
          <w:p>
            <w:pPr>
              <w:pStyle w:val="12"/>
            </w:pPr>
            <w:r>
              <w:t>18.76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18.76</w:t>
            </w:r>
          </w:p>
        </w:tc>
        <w:tc>
          <w:tcPr>
            <w:tcW w:w="1361" w:type="dxa"/>
            <w:vAlign w:val="center"/>
          </w:tcPr>
          <w:p>
            <w:pPr>
              <w:pStyle w:val="12"/>
            </w:pPr>
            <w:r>
              <w:t>18.76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664.49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624.82</w:t>
            </w:r>
          </w:p>
        </w:tc>
        <w:tc>
          <w:tcPr>
            <w:tcW w:w="1474" w:type="dxa"/>
            <w:vAlign w:val="center"/>
          </w:tcPr>
          <w:p>
            <w:pPr>
              <w:pStyle w:val="12"/>
            </w:pPr>
            <w:r>
              <w:t>624.82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18.76</w:t>
            </w:r>
          </w:p>
        </w:tc>
        <w:tc>
          <w:tcPr>
            <w:tcW w:w="1474" w:type="dxa"/>
            <w:vAlign w:val="center"/>
          </w:tcPr>
          <w:p>
            <w:pPr>
              <w:pStyle w:val="12"/>
            </w:pPr>
            <w:r>
              <w:t>18.76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9.50</w:t>
            </w:r>
          </w:p>
        </w:tc>
        <w:tc>
          <w:tcPr>
            <w:tcW w:w="1474" w:type="dxa"/>
            <w:vAlign w:val="center"/>
          </w:tcPr>
          <w:p>
            <w:pPr>
              <w:pStyle w:val="12"/>
            </w:pPr>
            <w:r>
              <w:t>9.50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11.41</w:t>
            </w:r>
          </w:p>
        </w:tc>
        <w:tc>
          <w:tcPr>
            <w:tcW w:w="1474" w:type="dxa"/>
            <w:vAlign w:val="center"/>
          </w:tcPr>
          <w:p>
            <w:pPr>
              <w:pStyle w:val="12"/>
            </w:pPr>
            <w:r>
              <w:t>11.41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664.49</w:t>
            </w:r>
          </w:p>
        </w:tc>
        <w:tc>
          <w:tcPr>
            <w:tcW w:w="3402" w:type="dxa"/>
            <w:vAlign w:val="center"/>
          </w:tcPr>
          <w:p>
            <w:pPr>
              <w:pStyle w:val="15"/>
            </w:pPr>
            <w:r>
              <w:t>本年支出合计</w:t>
            </w:r>
          </w:p>
        </w:tc>
        <w:tc>
          <w:tcPr>
            <w:tcW w:w="1474" w:type="dxa"/>
            <w:vAlign w:val="center"/>
          </w:tcPr>
          <w:p>
            <w:pPr>
              <w:pStyle w:val="16"/>
            </w:pPr>
            <w:r>
              <w:t>664.49</w:t>
            </w:r>
          </w:p>
        </w:tc>
        <w:tc>
          <w:tcPr>
            <w:tcW w:w="1474" w:type="dxa"/>
            <w:vAlign w:val="center"/>
          </w:tcPr>
          <w:p>
            <w:pPr>
              <w:pStyle w:val="16"/>
            </w:pPr>
            <w:r>
              <w:t>664.49</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664.49</w:t>
            </w:r>
          </w:p>
        </w:tc>
        <w:tc>
          <w:tcPr>
            <w:tcW w:w="3402" w:type="dxa"/>
            <w:vAlign w:val="center"/>
          </w:tcPr>
          <w:p>
            <w:pPr>
              <w:pStyle w:val="15"/>
            </w:pPr>
            <w:r>
              <w:t>支出总计</w:t>
            </w:r>
          </w:p>
        </w:tc>
        <w:tc>
          <w:tcPr>
            <w:tcW w:w="1474" w:type="dxa"/>
            <w:vAlign w:val="center"/>
          </w:tcPr>
          <w:p>
            <w:pPr>
              <w:pStyle w:val="16"/>
            </w:pPr>
            <w:r>
              <w:t>664.49</w:t>
            </w:r>
          </w:p>
        </w:tc>
        <w:tc>
          <w:tcPr>
            <w:tcW w:w="1474" w:type="dxa"/>
            <w:vAlign w:val="center"/>
          </w:tcPr>
          <w:p>
            <w:pPr>
              <w:pStyle w:val="16"/>
            </w:pPr>
            <w:r>
              <w:t>664.49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664.49</w:t>
            </w:r>
          </w:p>
        </w:tc>
        <w:tc>
          <w:tcPr>
            <w:tcW w:w="2551" w:type="dxa"/>
            <w:vAlign w:val="center"/>
          </w:tcPr>
          <w:p>
            <w:pPr>
              <w:pStyle w:val="16"/>
            </w:pPr>
            <w:r>
              <w:t>211.29</w:t>
            </w:r>
          </w:p>
        </w:tc>
        <w:tc>
          <w:tcPr>
            <w:tcW w:w="2551" w:type="dxa"/>
            <w:vAlign w:val="center"/>
          </w:tcPr>
          <w:p>
            <w:pPr>
              <w:pStyle w:val="16"/>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624.82</w:t>
            </w:r>
          </w:p>
        </w:tc>
        <w:tc>
          <w:tcPr>
            <w:tcW w:w="2551" w:type="dxa"/>
            <w:vAlign w:val="center"/>
          </w:tcPr>
          <w:p>
            <w:pPr>
              <w:pStyle w:val="12"/>
            </w:pPr>
            <w:r>
              <w:t>171.62</w:t>
            </w:r>
          </w:p>
        </w:tc>
        <w:tc>
          <w:tcPr>
            <w:tcW w:w="2551" w:type="dxa"/>
            <w:vAlign w:val="center"/>
          </w:tcPr>
          <w:p>
            <w:pPr>
              <w:pStyle w:val="12"/>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624.82</w:t>
            </w:r>
          </w:p>
        </w:tc>
        <w:tc>
          <w:tcPr>
            <w:tcW w:w="2551" w:type="dxa"/>
            <w:vAlign w:val="center"/>
          </w:tcPr>
          <w:p>
            <w:pPr>
              <w:pStyle w:val="12"/>
            </w:pPr>
            <w:r>
              <w:t>171.62</w:t>
            </w:r>
          </w:p>
        </w:tc>
        <w:tc>
          <w:tcPr>
            <w:tcW w:w="2551" w:type="dxa"/>
            <w:vAlign w:val="center"/>
          </w:tcPr>
          <w:p>
            <w:pPr>
              <w:pStyle w:val="12"/>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2040299</w:t>
            </w:r>
          </w:p>
        </w:tc>
        <w:tc>
          <w:tcPr>
            <w:tcW w:w="4535" w:type="dxa"/>
            <w:vAlign w:val="center"/>
          </w:tcPr>
          <w:p>
            <w:pPr>
              <w:pStyle w:val="13"/>
            </w:pPr>
            <w:r>
              <w:t>其他公安支出</w:t>
            </w:r>
          </w:p>
        </w:tc>
        <w:tc>
          <w:tcPr>
            <w:tcW w:w="2551" w:type="dxa"/>
            <w:vAlign w:val="center"/>
          </w:tcPr>
          <w:p>
            <w:pPr>
              <w:pStyle w:val="12"/>
            </w:pPr>
            <w:r>
              <w:t>624.82</w:t>
            </w:r>
          </w:p>
        </w:tc>
        <w:tc>
          <w:tcPr>
            <w:tcW w:w="2551" w:type="dxa"/>
            <w:vAlign w:val="center"/>
          </w:tcPr>
          <w:p>
            <w:pPr>
              <w:pStyle w:val="12"/>
            </w:pPr>
            <w:r>
              <w:t>171.62</w:t>
            </w:r>
          </w:p>
        </w:tc>
        <w:tc>
          <w:tcPr>
            <w:tcW w:w="2551" w:type="dxa"/>
            <w:vAlign w:val="center"/>
          </w:tcPr>
          <w:p>
            <w:pPr>
              <w:pStyle w:val="12"/>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18.76</w:t>
            </w:r>
          </w:p>
        </w:tc>
        <w:tc>
          <w:tcPr>
            <w:tcW w:w="2551" w:type="dxa"/>
            <w:vAlign w:val="center"/>
          </w:tcPr>
          <w:p>
            <w:pPr>
              <w:pStyle w:val="12"/>
            </w:pPr>
            <w:r>
              <w:t>18.76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18.76</w:t>
            </w:r>
          </w:p>
        </w:tc>
        <w:tc>
          <w:tcPr>
            <w:tcW w:w="2551" w:type="dxa"/>
            <w:vAlign w:val="center"/>
          </w:tcPr>
          <w:p>
            <w:pPr>
              <w:pStyle w:val="12"/>
            </w:pPr>
            <w:r>
              <w:t>18.76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18.76</w:t>
            </w:r>
          </w:p>
        </w:tc>
        <w:tc>
          <w:tcPr>
            <w:tcW w:w="2551" w:type="dxa"/>
            <w:vAlign w:val="center"/>
          </w:tcPr>
          <w:p>
            <w:pPr>
              <w:pStyle w:val="12"/>
            </w:pPr>
            <w:r>
              <w:t>18.76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211.29</w:t>
            </w:r>
          </w:p>
        </w:tc>
        <w:tc>
          <w:tcPr>
            <w:tcW w:w="2551" w:type="dxa"/>
            <w:vAlign w:val="center"/>
          </w:tcPr>
          <w:p>
            <w:pPr>
              <w:pStyle w:val="16"/>
            </w:pPr>
            <w:r>
              <w:t>197.85</w:t>
            </w:r>
          </w:p>
        </w:tc>
        <w:tc>
          <w:tcPr>
            <w:tcW w:w="2551" w:type="dxa"/>
            <w:vAlign w:val="center"/>
          </w:tcPr>
          <w:p>
            <w:pPr>
              <w:pStyle w:val="16"/>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189.49</w:t>
            </w:r>
          </w:p>
        </w:tc>
        <w:tc>
          <w:tcPr>
            <w:tcW w:w="2551" w:type="dxa"/>
            <w:vAlign w:val="center"/>
          </w:tcPr>
          <w:p>
            <w:pPr>
              <w:pStyle w:val="12"/>
            </w:pPr>
            <w:r>
              <w:t>189.49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85.39</w:t>
            </w:r>
          </w:p>
        </w:tc>
        <w:tc>
          <w:tcPr>
            <w:tcW w:w="2551" w:type="dxa"/>
            <w:vAlign w:val="center"/>
          </w:tcPr>
          <w:p>
            <w:pPr>
              <w:pStyle w:val="12"/>
            </w:pPr>
            <w:r>
              <w:t>85.39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41.01</w:t>
            </w:r>
          </w:p>
        </w:tc>
        <w:tc>
          <w:tcPr>
            <w:tcW w:w="2551" w:type="dxa"/>
            <w:vAlign w:val="center"/>
          </w:tcPr>
          <w:p>
            <w:pPr>
              <w:pStyle w:val="12"/>
            </w:pPr>
            <w:r>
              <w:t>41.01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11.88</w:t>
            </w:r>
          </w:p>
        </w:tc>
        <w:tc>
          <w:tcPr>
            <w:tcW w:w="2551" w:type="dxa"/>
            <w:vAlign w:val="center"/>
          </w:tcPr>
          <w:p>
            <w:pPr>
              <w:pStyle w:val="12"/>
            </w:pPr>
            <w:r>
              <w:t>11.88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18.76</w:t>
            </w:r>
          </w:p>
        </w:tc>
        <w:tc>
          <w:tcPr>
            <w:tcW w:w="2551" w:type="dxa"/>
            <w:vAlign w:val="center"/>
          </w:tcPr>
          <w:p>
            <w:pPr>
              <w:pStyle w:val="12"/>
            </w:pPr>
            <w:r>
              <w:t>18.76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13.44</w:t>
            </w:r>
          </w:p>
        </w:tc>
        <w:tc>
          <w:tcPr>
            <w:tcW w:w="2551" w:type="dxa"/>
            <w:vAlign w:val="center"/>
          </w:tcPr>
          <w:p>
            <w:pPr>
              <w:pStyle w:val="12"/>
            </w:pPr>
          </w:p>
        </w:tc>
        <w:tc>
          <w:tcPr>
            <w:tcW w:w="2551" w:type="dxa"/>
            <w:vAlign w:val="center"/>
          </w:tcPr>
          <w:p>
            <w:pPr>
              <w:pStyle w:val="12"/>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0.24</w:t>
            </w:r>
          </w:p>
        </w:tc>
        <w:tc>
          <w:tcPr>
            <w:tcW w:w="2551" w:type="dxa"/>
            <w:vAlign w:val="center"/>
          </w:tcPr>
          <w:p>
            <w:pPr>
              <w:pStyle w:val="12"/>
            </w:pPr>
          </w:p>
        </w:tc>
        <w:tc>
          <w:tcPr>
            <w:tcW w:w="2551"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8.64</w:t>
            </w:r>
          </w:p>
        </w:tc>
        <w:tc>
          <w:tcPr>
            <w:tcW w:w="2551" w:type="dxa"/>
            <w:vAlign w:val="center"/>
          </w:tcPr>
          <w:p>
            <w:pPr>
              <w:pStyle w:val="12"/>
            </w:pPr>
          </w:p>
        </w:tc>
        <w:tc>
          <w:tcPr>
            <w:tcW w:w="2551" w:type="dxa"/>
            <w:vAlign w:val="center"/>
          </w:tcPr>
          <w:p>
            <w:pPr>
              <w:pStyle w:val="12"/>
            </w:pPr>
            <w:r>
              <w:t>8.64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0.24</w:t>
            </w:r>
          </w:p>
        </w:tc>
        <w:tc>
          <w:tcPr>
            <w:tcW w:w="2551" w:type="dxa"/>
            <w:vAlign w:val="center"/>
          </w:tcPr>
          <w:p>
            <w:pPr>
              <w:pStyle w:val="12"/>
            </w:pPr>
          </w:p>
        </w:tc>
        <w:tc>
          <w:tcPr>
            <w:tcW w:w="2551"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Times New Roman" w:hAnsi="Times New Roman" w:eastAsia="方正仿宋_GBK" w:cs="Times New Roman"/>
          <w:color w:val="000000"/>
          <w:sz w:val="28"/>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pPr>
        <w:spacing w:before="0" w:after="0" w:line="500" w:lineRule="exact"/>
        <w:ind w:firstLine="560"/>
        <w:jc w:val="left"/>
        <w:outlineLvl w:val="9"/>
        <w:rPr>
          <w:rFonts w:hint="eastAsia" w:ascii="Times New Roman" w:hAnsi="Times New Roman" w:eastAsia="方正仿宋_GBK" w:cs="Times New Roman"/>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中国共产党隆尧县委员会政法委员会本级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部门预算安排的总体情况</w:t>
      </w:r>
    </w:p>
    <w:p>
      <w:pPr>
        <w:pStyle w:val="19"/>
      </w:pPr>
      <w:r>
        <w:t>按照预算管理有关规定，目前我省部门预算的编制实行综合预算管理，即全部收入和支出都反映的预算中。中共隆尧县委政法委员会的收支包含在部门预算中。</w:t>
      </w:r>
    </w:p>
    <w:p>
      <w:pPr>
        <w:pStyle w:val="19"/>
      </w:pPr>
      <w:r>
        <w:t>1、收入说明</w:t>
      </w:r>
    </w:p>
    <w:p>
      <w:pPr>
        <w:pStyle w:val="19"/>
      </w:pPr>
      <w:r>
        <w:t>反映本单位当年全部收入。2025年预算收入664.49万元，其中：一般公共预算收入664.49万元，基金预算收入0万元，财政专户核拨收入0万元，其他来源收入0万元。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隆尧县委政法委员会年度部门预算中支出预算的总体情况。2025年部门支出预算为664.49万元，其中基本支出211.29万元，包括人员经费197.85万元和日常公用经费13.44万元；项目支出453.20万元，主要为基层治理“织网”专项行动项目300万元；综治视联网经费72.48万元；综治经费（含扫黑除恶）17.5万元；政法网经费14.88万元；铁路护路经费2.5万元；精神障碍监护人责任险和以奖代补经费45.84万元。</w:t>
      </w:r>
    </w:p>
    <w:p>
      <w:pPr>
        <w:pStyle w:val="19"/>
      </w:pPr>
      <w:r>
        <w:t>3、比上年增减情况</w:t>
      </w:r>
    </w:p>
    <w:p>
      <w:pPr>
        <w:pStyle w:val="19"/>
      </w:pPr>
      <w:r>
        <w:t>2025年部门预算收支安排664.49万元，较2024年增加198.47万元，其中：基本支出增加41.4万元，主要是人员经费增加所至；项目支出增加157.07万元，主要为本年度基层治理“织网”专项行动项目增加所至。</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2025年，我部门机关运行经费共计安排13.44万元，主要用于保证单位正常运转的办公支出。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紧密围绕县委、县政府中心工作，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一、根据党的路线、方针、政策和县委、县政府、市委政法委的部署，统一全县政法各部门的思想和行动。</w:t>
      </w:r>
    </w:p>
    <w:p>
      <w:pPr>
        <w:pStyle w:val="23"/>
      </w:pPr>
      <w:r>
        <w:t>二、对一定时期内全县政法工作作出全局性部署，并督促贯彻落实。</w:t>
      </w:r>
    </w:p>
    <w:p>
      <w:pPr>
        <w:pStyle w:val="23"/>
      </w:pPr>
      <w:r>
        <w:t>三、组织、协调、指导全县社会稳定和矛盾排查调处工作。</w:t>
      </w:r>
    </w:p>
    <w:p>
      <w:pPr>
        <w:pStyle w:val="23"/>
      </w:pPr>
      <w:r>
        <w:t>四、检查县政法各部门执行法律法规和党的方针政策情况，结合实际研究制定严格公正执法、落实党的方针政策的具体措施。</w:t>
      </w:r>
    </w:p>
    <w:p>
      <w:pPr>
        <w:pStyle w:val="23"/>
      </w:pPr>
      <w:r>
        <w:t>五、大力支持和严格监督县政法各部门依法行使职权，指导、协助县政法各部门在依法相互制约的同时密切配合，督促、推动大案要案查处工作，研究、协调有争议的重大、疑难案件。</w:t>
      </w:r>
    </w:p>
    <w:p>
      <w:pPr>
        <w:pStyle w:val="23"/>
      </w:pPr>
      <w:r>
        <w:t>六、组织协调全县社会治安综合治理工作，充分发挥各职能部门作用，推进各项措施的落实。</w:t>
      </w:r>
    </w:p>
    <w:p>
      <w:pPr>
        <w:pStyle w:val="23"/>
      </w:pPr>
      <w:r>
        <w:t>七、组织、协调、指导、督促全县法治建设工作。</w:t>
      </w:r>
    </w:p>
    <w:p>
      <w:pPr>
        <w:pStyle w:val="23"/>
      </w:pPr>
      <w:r>
        <w:t>八、研究本地涉及国家安全稳定相关问题并作出决策。</w:t>
      </w:r>
    </w:p>
    <w:p>
      <w:pPr>
        <w:pStyle w:val="23"/>
      </w:pPr>
      <w:r>
        <w:t>九、认真开展政法工作的调研和宣传工作，总结新经验，解决新问题。</w:t>
      </w:r>
    </w:p>
    <w:p>
      <w:pPr>
        <w:pStyle w:val="23"/>
      </w:pPr>
      <w:r>
        <w:t>十、掌握全县政法队伍建设情况；研究加强政法队伍建设和领导班子建设的措施；协助纪检监察部门查处涉及政法领导干部的大案要案。</w:t>
      </w:r>
    </w:p>
    <w:p>
      <w:pPr>
        <w:pStyle w:val="23"/>
      </w:pPr>
      <w:r>
        <w:t>十一、办理县委、县政府和市委政法委交办的其他事项。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2025年，将以党的二十大精神为指导，以建设更高水平的平安隆尧，确保全县大局稳定，助力“经济强县、美丽隆尧”建设为目标，开展好九项工作：</w:t>
      </w:r>
    </w:p>
    <w:p>
      <w:pPr>
        <w:pStyle w:val="24"/>
      </w:pPr>
      <w:r>
        <w:t>一是维护国家政治安全。贯彻总体国家安全观，深入开展国家安全学习宣传活动。持续强化同各类邪教组织的斗争，巩固教育转化成果。圆满完成全国两会安全等重大安保维稳任务。督促落实对政治重点人的管控举措。</w:t>
      </w:r>
    </w:p>
    <w:p>
      <w:pPr>
        <w:pStyle w:val="24"/>
      </w:pPr>
      <w:r>
        <w:t>二是维护社会治安秩序。坚持扫黑除恶斗争常态化，深入摸排涉黑恶线索，加大打击力度，遏制黑恶违法犯罪反弹。继续坚持政法机关全警参战、多警联动，常态化开展多种形式的巡逻防控新模式，并将巡防工作向农村基层、企业周边、治安薄弱部位延伸，扩大覆盖面，强化管控力。严厉打击严重暴力、侵财等影响群众安全感的突出犯罪，加大对电信网络诈骗犯罪的打击力度，保障人民群众的财产安全。</w:t>
      </w:r>
    </w:p>
    <w:p>
      <w:pPr>
        <w:pStyle w:val="24"/>
      </w:pPr>
      <w:r>
        <w:t>三是防范化解风险隐患。加强情报信息工作，密切关注涉稳动态，确保发现早、行动快、处置好。加强重点领域、重点人群的稳定风险防范工作，突出解决好房地产领域遗留问题，防止发生各类不稳定事件。稳步推进、妥善处置非法集资案件办理和涉案财产处置工作。加强矛盾纠纷排查调解工作，最大限度降低“民转刑”“越级访”等风险。</w:t>
      </w:r>
    </w:p>
    <w:p>
      <w:pPr>
        <w:pStyle w:val="24"/>
      </w:pPr>
      <w:r>
        <w:t>四是坚持和发展新时代“枫桥经验”。引导、支持和鼓励全县各级各部门，打造具有隆尧特色的新时代“枫桥经验”新模式，培树一批过得硬的示范点，推出一批在市以上具有影响力的亮点工作。加强人民调解组织建设，加大对个人品牌调解室的支持力度，构建矛盾纠纷联调联治大网络。坚持“平安建设进万家”活动常态化，切实巩固群防群治的平安建设工作机制和成果。</w:t>
      </w:r>
    </w:p>
    <w:p>
      <w:pPr>
        <w:pStyle w:val="24"/>
      </w:pPr>
      <w:r>
        <w:t>五是深入推进信访法治化。严格落实“乡镇书记周六接访日”，形成“法治支撑、社会参与、多元化解”的大信访工作格局。全面加强对初信初访的督办化解和回访力度，使初次信访事项化解率不低于90%，努力实现“让群众最多访一次”目标。全力化解重复信访积案。对中联办、省联办交办的三批信访积案开展全方位“回头看”，限期办结销号。精心做好敏感时期信访保障，坚决实现“三个不发生”的工作目标：即不发生大规模集体上访和群体性事件，不发生涉访人员极端恶性事件，不发生问题处置不当引发的媒体负面炒作事件。坚守法律、政策底线，依法打击以访施压、以访谋利的违法犯罪行为，坚决杜绝“法内问题法外解决”。大力开展《信访工作条例》落实年活动，根据《信访法治化工作指南》，广泛展示“依法依规信访‘路线图’”、“党委和政府信访部门依法依规处理信访事项‘导引图’”，积极营造办事依法、遇事找法、解决问题用法、化解矛盾靠法的良好环境。</w:t>
      </w:r>
    </w:p>
    <w:p>
      <w:pPr>
        <w:pStyle w:val="24"/>
      </w:pPr>
      <w:r>
        <w:t>六是加强法治创建工作。组织协调县委法治办，引领全县各相关部门，以创建法治政府为龙头，开展多种形式的法治创建活动，推出更多具有时代意义、进步意义的法治人物、法治范例。加强培树、推荐工作，争取涌现更多国家和省级民主法治示范村。强化司法执法监督，加大涉法涉诉信访问题化解力度，减少信访上行隐患。加大“八五”普法力度，推动法治宣传教育进基层，营造更加浓厚的法治氛围。</w:t>
      </w:r>
    </w:p>
    <w:p>
      <w:pPr>
        <w:pStyle w:val="24"/>
      </w:pPr>
      <w:r>
        <w:t>七是优化法治化营商环境。推动政法机关重商尊商爱商护商制度化规范化，营造“法治是最好的营商环境”的浓厚氛围。深入开展“四型机关建设”活动，深入推进政法机关“放管服”改革，深化涉企矛盾纠纷多元化解机制，把更多的法治力量整合到经济建设第一线，大力营造安全稳定的社会环境、公平正义的法治环境、平安包容的创业环境。</w:t>
      </w:r>
    </w:p>
    <w:p>
      <w:pPr>
        <w:pStyle w:val="24"/>
      </w:pPr>
      <w:r>
        <w:t>八是加强机关政治建设。深入学习贯彻《中国共产党政法工作条例》，全面加强党对政法工作的绝对领导，确保把党的路线方针政策落实到位。认真落实党风廉政建设主体责任，积极开展政治性警示教育，巩固政法领域反腐败成果。持续整治政法队伍存在的顽瘴痼疾，巩固教育整顿成果。强化政法队伍纪律作风建设，推动群众安全感和满意度“双提升”。</w:t>
      </w:r>
    </w:p>
    <w:p>
      <w:pPr>
        <w:pStyle w:val="24"/>
        <w:sectPr>
          <w:pgSz w:w="16840" w:h="11900" w:orient="landscape"/>
          <w:pgMar w:top="1361" w:right="1020" w:bottom="1361" w:left="1020" w:header="720" w:footer="720" w:gutter="0"/>
          <w:cols w:space="720" w:num="1"/>
        </w:sectPr>
      </w:pPr>
      <w:r>
        <w:t>九是加强指标考核工作。围绕承担的平安建设、法治建设指标任务，进一步明确考核细则，细化考核标准，把考核工作做细、做实。密切关注上级考核动态，及时对接上级考核部门，精准调整考核工作方向，争取多得分、少丢分，最大限度地确保颗粒归仓，力争取得更好成绩。</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uk-UA"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我部门2025年无专项资金预算。</w:t>
      </w: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1、基层治理“织网”专项行动项目绩效目标表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76"/>
        <w:gridCol w:w="1650"/>
        <w:gridCol w:w="2150"/>
        <w:gridCol w:w="245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13052525P000039101255</w:t>
            </w:r>
          </w:p>
        </w:tc>
        <w:tc>
          <w:tcPr>
            <w:tcW w:w="2676" w:type="dxa"/>
            <w:vAlign w:val="center"/>
          </w:tcPr>
          <w:p>
            <w:pPr>
              <w:pStyle w:val="11"/>
            </w:pPr>
            <w:r>
              <w:t>项目名称</w:t>
            </w:r>
          </w:p>
        </w:tc>
        <w:tc>
          <w:tcPr>
            <w:tcW w:w="6254" w:type="dxa"/>
            <w:gridSpan w:val="3"/>
            <w:vAlign w:val="center"/>
          </w:tcPr>
          <w:p>
            <w:pPr>
              <w:pStyle w:val="13"/>
            </w:pPr>
            <w:r>
              <w:t>基层治理“织网”专项行动项目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676" w:type="dxa"/>
            <w:vAlign w:val="center"/>
          </w:tcPr>
          <w:p>
            <w:pPr>
              <w:pStyle w:val="11"/>
            </w:pPr>
            <w:r>
              <w:t>其中：财政    资金</w:t>
            </w:r>
          </w:p>
        </w:tc>
        <w:tc>
          <w:tcPr>
            <w:tcW w:w="1650" w:type="dxa"/>
            <w:vAlign w:val="center"/>
          </w:tcPr>
          <w:p>
            <w:pPr>
              <w:pStyle w:val="13"/>
            </w:pPr>
            <w:r>
              <w:t>300.00</w:t>
            </w:r>
          </w:p>
        </w:tc>
        <w:tc>
          <w:tcPr>
            <w:tcW w:w="2150" w:type="dxa"/>
            <w:vAlign w:val="center"/>
          </w:tcPr>
          <w:p>
            <w:pPr>
              <w:pStyle w:val="11"/>
            </w:pPr>
            <w:r>
              <w:t>其他资金</w:t>
            </w:r>
          </w:p>
        </w:tc>
        <w:tc>
          <w:tcPr>
            <w:tcW w:w="2454"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用于社情民意管理服务平台建设、网络安全服务提升、网格员基础津贴等。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76" w:type="dxa"/>
            <w:vAlign w:val="center"/>
          </w:tcPr>
          <w:p>
            <w:pPr>
              <w:pStyle w:val="11"/>
            </w:pPr>
            <w:r>
              <w:t>6月底</w:t>
            </w:r>
          </w:p>
        </w:tc>
        <w:tc>
          <w:tcPr>
            <w:tcW w:w="1650" w:type="dxa"/>
            <w:vAlign w:val="center"/>
          </w:tcPr>
          <w:p>
            <w:pPr>
              <w:pStyle w:val="11"/>
            </w:pPr>
            <w:r>
              <w:t>10月底</w:t>
            </w:r>
          </w:p>
        </w:tc>
        <w:tc>
          <w:tcPr>
            <w:tcW w:w="460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676" w:type="dxa"/>
            <w:vAlign w:val="center"/>
          </w:tcPr>
          <w:p>
            <w:pPr>
              <w:pStyle w:val="14"/>
            </w:pPr>
            <w:r>
              <w:t>45%</w:t>
            </w:r>
          </w:p>
        </w:tc>
        <w:tc>
          <w:tcPr>
            <w:tcW w:w="1650" w:type="dxa"/>
            <w:vAlign w:val="center"/>
          </w:tcPr>
          <w:p>
            <w:pPr>
              <w:pStyle w:val="14"/>
            </w:pPr>
            <w:r>
              <w:t>80%</w:t>
            </w:r>
          </w:p>
        </w:tc>
        <w:tc>
          <w:tcPr>
            <w:tcW w:w="460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1.动态掌握网格情况，及时上报信息，维护社会稳定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13"/>
        <w:gridCol w:w="2163"/>
        <w:gridCol w:w="24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13" w:type="dxa"/>
            <w:vAlign w:val="center"/>
          </w:tcPr>
          <w:p>
            <w:pPr>
              <w:pStyle w:val="11"/>
            </w:pPr>
            <w:r>
              <w:t>绩效指标描述</w:t>
            </w:r>
          </w:p>
        </w:tc>
        <w:tc>
          <w:tcPr>
            <w:tcW w:w="2163" w:type="dxa"/>
            <w:vAlign w:val="center"/>
          </w:tcPr>
          <w:p>
            <w:pPr>
              <w:pStyle w:val="11"/>
            </w:pPr>
            <w:r>
              <w:t>指标值</w:t>
            </w:r>
          </w:p>
        </w:tc>
        <w:tc>
          <w:tcPr>
            <w:tcW w:w="245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建设社情民意管理服务平台</w:t>
            </w:r>
          </w:p>
        </w:tc>
        <w:tc>
          <w:tcPr>
            <w:tcW w:w="4313" w:type="dxa"/>
            <w:vAlign w:val="center"/>
          </w:tcPr>
          <w:p>
            <w:pPr>
              <w:pStyle w:val="13"/>
            </w:pPr>
            <w:r>
              <w:t>建成社情民意管理服务平台</w:t>
            </w:r>
          </w:p>
        </w:tc>
        <w:tc>
          <w:tcPr>
            <w:tcW w:w="2163" w:type="dxa"/>
            <w:vAlign w:val="center"/>
          </w:tcPr>
          <w:p>
            <w:pPr>
              <w:pStyle w:val="13"/>
            </w:pPr>
            <w:r>
              <w:t>1</w:t>
            </w:r>
          </w:p>
        </w:tc>
        <w:tc>
          <w:tcPr>
            <w:tcW w:w="2454" w:type="dxa"/>
            <w:vAlign w:val="center"/>
          </w:tcPr>
          <w:p>
            <w:pPr>
              <w:pStyle w:val="13"/>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保障平台运行</w:t>
            </w:r>
          </w:p>
        </w:tc>
        <w:tc>
          <w:tcPr>
            <w:tcW w:w="4313" w:type="dxa"/>
            <w:vAlign w:val="center"/>
          </w:tcPr>
          <w:p>
            <w:pPr>
              <w:pStyle w:val="13"/>
            </w:pPr>
            <w:r>
              <w:t>保障平台运行</w:t>
            </w:r>
          </w:p>
        </w:tc>
        <w:tc>
          <w:tcPr>
            <w:tcW w:w="2163" w:type="dxa"/>
            <w:vAlign w:val="center"/>
          </w:tcPr>
          <w:p>
            <w:pPr>
              <w:pStyle w:val="13"/>
            </w:pPr>
            <w:r>
              <w:t>平稳运行</w:t>
            </w:r>
          </w:p>
        </w:tc>
        <w:tc>
          <w:tcPr>
            <w:tcW w:w="2454" w:type="dxa"/>
            <w:vAlign w:val="center"/>
          </w:tcPr>
          <w:p>
            <w:pPr>
              <w:pStyle w:val="13"/>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4313" w:type="dxa"/>
            <w:vAlign w:val="center"/>
          </w:tcPr>
          <w:p>
            <w:pPr>
              <w:pStyle w:val="13"/>
            </w:pPr>
            <w:r>
              <w:t>按照日常巡查进度完成</w:t>
            </w:r>
          </w:p>
        </w:tc>
        <w:tc>
          <w:tcPr>
            <w:tcW w:w="2163" w:type="dxa"/>
            <w:vAlign w:val="center"/>
          </w:tcPr>
          <w:p>
            <w:pPr>
              <w:pStyle w:val="13"/>
            </w:pPr>
            <w:r>
              <w:t>≥100%</w:t>
            </w:r>
          </w:p>
        </w:tc>
        <w:tc>
          <w:tcPr>
            <w:tcW w:w="2454" w:type="dxa"/>
            <w:vAlign w:val="center"/>
          </w:tcPr>
          <w:p>
            <w:pPr>
              <w:pStyle w:val="13"/>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4313" w:type="dxa"/>
            <w:vAlign w:val="center"/>
          </w:tcPr>
          <w:p>
            <w:pPr>
              <w:pStyle w:val="13"/>
            </w:pPr>
            <w:r>
              <w:t>项目预算金额</w:t>
            </w:r>
          </w:p>
        </w:tc>
        <w:tc>
          <w:tcPr>
            <w:tcW w:w="2163" w:type="dxa"/>
            <w:vAlign w:val="center"/>
          </w:tcPr>
          <w:p>
            <w:pPr>
              <w:pStyle w:val="13"/>
            </w:pPr>
            <w:r>
              <w:t>控制在预算数内</w:t>
            </w:r>
          </w:p>
        </w:tc>
        <w:tc>
          <w:tcPr>
            <w:tcW w:w="2454" w:type="dxa"/>
            <w:vAlign w:val="center"/>
          </w:tcPr>
          <w:p>
            <w:pPr>
              <w:pStyle w:val="13"/>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提高社会治理水平</w:t>
            </w:r>
          </w:p>
        </w:tc>
        <w:tc>
          <w:tcPr>
            <w:tcW w:w="4313" w:type="dxa"/>
            <w:vAlign w:val="center"/>
          </w:tcPr>
          <w:p>
            <w:pPr>
              <w:pStyle w:val="13"/>
            </w:pPr>
            <w:r>
              <w:t>提高社会治理水平</w:t>
            </w:r>
          </w:p>
        </w:tc>
        <w:tc>
          <w:tcPr>
            <w:tcW w:w="2163" w:type="dxa"/>
            <w:vAlign w:val="center"/>
          </w:tcPr>
          <w:p>
            <w:pPr>
              <w:pStyle w:val="13"/>
            </w:pPr>
            <w:r>
              <w:t>有效提高</w:t>
            </w:r>
          </w:p>
        </w:tc>
        <w:tc>
          <w:tcPr>
            <w:tcW w:w="2454" w:type="dxa"/>
            <w:vAlign w:val="center"/>
          </w:tcPr>
          <w:p>
            <w:pPr>
              <w:pStyle w:val="13"/>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313" w:type="dxa"/>
            <w:vAlign w:val="center"/>
          </w:tcPr>
          <w:p>
            <w:pPr>
              <w:pStyle w:val="13"/>
            </w:pPr>
            <w:r>
              <w:t>群众满意度</w:t>
            </w:r>
          </w:p>
        </w:tc>
        <w:tc>
          <w:tcPr>
            <w:tcW w:w="2163" w:type="dxa"/>
            <w:vAlign w:val="center"/>
          </w:tcPr>
          <w:p>
            <w:pPr>
              <w:pStyle w:val="13"/>
            </w:pPr>
            <w:r>
              <w:t>≥95%</w:t>
            </w:r>
          </w:p>
        </w:tc>
        <w:tc>
          <w:tcPr>
            <w:tcW w:w="2454" w:type="dxa"/>
            <w:vAlign w:val="center"/>
          </w:tcPr>
          <w:p>
            <w:pPr>
              <w:pStyle w:val="13"/>
            </w:pPr>
            <w:r>
              <w:t>隆尧县基层治理“织网”重点任务实施方案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2、精神障碍监护人责任险和以奖代补经费绩效目标表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91"/>
        <w:gridCol w:w="2312"/>
        <w:gridCol w:w="1592"/>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13052525P00003310010U</w:t>
            </w:r>
          </w:p>
        </w:tc>
        <w:tc>
          <w:tcPr>
            <w:tcW w:w="2835" w:type="dxa"/>
            <w:vAlign w:val="center"/>
          </w:tcPr>
          <w:p>
            <w:pPr>
              <w:pStyle w:val="11"/>
            </w:pPr>
            <w:r>
              <w:t>项目名称</w:t>
            </w:r>
          </w:p>
        </w:tc>
        <w:tc>
          <w:tcPr>
            <w:tcW w:w="6095" w:type="dxa"/>
            <w:gridSpan w:val="3"/>
            <w:vAlign w:val="center"/>
          </w:tcPr>
          <w:p>
            <w:pPr>
              <w:pStyle w:val="13"/>
            </w:pPr>
            <w:r>
              <w:t>精神障碍监护人责任险和以奖代补经费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45.84</w:t>
            </w:r>
          </w:p>
        </w:tc>
        <w:tc>
          <w:tcPr>
            <w:tcW w:w="2835" w:type="dxa"/>
            <w:vAlign w:val="center"/>
          </w:tcPr>
          <w:p>
            <w:pPr>
              <w:pStyle w:val="11"/>
            </w:pPr>
            <w:r>
              <w:t>其中：财政    资金</w:t>
            </w:r>
          </w:p>
        </w:tc>
        <w:tc>
          <w:tcPr>
            <w:tcW w:w="2191" w:type="dxa"/>
            <w:vAlign w:val="center"/>
          </w:tcPr>
          <w:p>
            <w:pPr>
              <w:pStyle w:val="13"/>
            </w:pPr>
            <w:r>
              <w:t>45.84</w:t>
            </w:r>
          </w:p>
        </w:tc>
        <w:tc>
          <w:tcPr>
            <w:tcW w:w="2312" w:type="dxa"/>
            <w:vAlign w:val="center"/>
          </w:tcPr>
          <w:p>
            <w:pPr>
              <w:pStyle w:val="11"/>
            </w:pPr>
            <w:r>
              <w:t>其他资金</w:t>
            </w:r>
          </w:p>
        </w:tc>
        <w:tc>
          <w:tcPr>
            <w:tcW w:w="1592"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按时投保精神障碍患者监护人责任险发放以奖代补经费，促进和谐稳定。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91" w:type="dxa"/>
            <w:vAlign w:val="center"/>
          </w:tcPr>
          <w:p>
            <w:pPr>
              <w:pStyle w:val="11"/>
            </w:pPr>
            <w:r>
              <w:t>10月底</w:t>
            </w:r>
          </w:p>
        </w:tc>
        <w:tc>
          <w:tcPr>
            <w:tcW w:w="390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75%</w:t>
            </w:r>
          </w:p>
        </w:tc>
        <w:tc>
          <w:tcPr>
            <w:tcW w:w="2191" w:type="dxa"/>
            <w:vAlign w:val="center"/>
          </w:tcPr>
          <w:p>
            <w:pPr>
              <w:pStyle w:val="14"/>
            </w:pPr>
            <w:r>
              <w:t>75%</w:t>
            </w:r>
          </w:p>
        </w:tc>
        <w:tc>
          <w:tcPr>
            <w:tcW w:w="390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1.按时投保精神障碍患者监护人责任险发放以奖代补经费，促进和谐稳定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13"/>
        <w:gridCol w:w="2313"/>
        <w:gridCol w:w="16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3" w:type="dxa"/>
            <w:vAlign w:val="center"/>
          </w:tcPr>
          <w:p>
            <w:pPr>
              <w:pStyle w:val="11"/>
            </w:pPr>
            <w:r>
              <w:t>绩效指标描述</w:t>
            </w:r>
          </w:p>
        </w:tc>
        <w:tc>
          <w:tcPr>
            <w:tcW w:w="2313" w:type="dxa"/>
            <w:vAlign w:val="center"/>
          </w:tcPr>
          <w:p>
            <w:pPr>
              <w:pStyle w:val="11"/>
            </w:pPr>
            <w:r>
              <w:t>指标值</w:t>
            </w:r>
          </w:p>
        </w:tc>
        <w:tc>
          <w:tcPr>
            <w:tcW w:w="160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013" w:type="dxa"/>
            <w:vAlign w:val="center"/>
          </w:tcPr>
          <w:p>
            <w:pPr>
              <w:pStyle w:val="13"/>
            </w:pPr>
            <w:r>
              <w:t>补助资金到位后，及时支付相关人员</w:t>
            </w:r>
          </w:p>
        </w:tc>
        <w:tc>
          <w:tcPr>
            <w:tcW w:w="2313" w:type="dxa"/>
            <w:vAlign w:val="center"/>
          </w:tcPr>
          <w:p>
            <w:pPr>
              <w:pStyle w:val="13"/>
            </w:pPr>
            <w:r>
              <w:t>≥100%</w:t>
            </w:r>
          </w:p>
        </w:tc>
        <w:tc>
          <w:tcPr>
            <w:tcW w:w="1604" w:type="dxa"/>
            <w:vAlign w:val="center"/>
          </w:tcPr>
          <w:p>
            <w:pPr>
              <w:pStyle w:val="13"/>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013" w:type="dxa"/>
            <w:vAlign w:val="center"/>
          </w:tcPr>
          <w:p>
            <w:pPr>
              <w:pStyle w:val="13"/>
            </w:pPr>
            <w:r>
              <w:t>补助发放覆盖率</w:t>
            </w:r>
          </w:p>
        </w:tc>
        <w:tc>
          <w:tcPr>
            <w:tcW w:w="2313" w:type="dxa"/>
            <w:vAlign w:val="center"/>
          </w:tcPr>
          <w:p>
            <w:pPr>
              <w:pStyle w:val="13"/>
            </w:pPr>
            <w:r>
              <w:t>≥100%</w:t>
            </w:r>
          </w:p>
        </w:tc>
        <w:tc>
          <w:tcPr>
            <w:tcW w:w="1604" w:type="dxa"/>
            <w:vAlign w:val="center"/>
          </w:tcPr>
          <w:p>
            <w:pPr>
              <w:pStyle w:val="13"/>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013" w:type="dxa"/>
            <w:vAlign w:val="center"/>
          </w:tcPr>
          <w:p>
            <w:pPr>
              <w:pStyle w:val="13"/>
            </w:pPr>
            <w:r>
              <w:t>按期完成率</w:t>
            </w:r>
          </w:p>
        </w:tc>
        <w:tc>
          <w:tcPr>
            <w:tcW w:w="2313" w:type="dxa"/>
            <w:vAlign w:val="center"/>
          </w:tcPr>
          <w:p>
            <w:pPr>
              <w:pStyle w:val="13"/>
            </w:pPr>
            <w:r>
              <w:t>≥100%</w:t>
            </w:r>
          </w:p>
        </w:tc>
        <w:tc>
          <w:tcPr>
            <w:tcW w:w="1604" w:type="dxa"/>
            <w:vAlign w:val="center"/>
          </w:tcPr>
          <w:p>
            <w:pPr>
              <w:pStyle w:val="13"/>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经费使用率(%)</w:t>
            </w:r>
          </w:p>
        </w:tc>
        <w:tc>
          <w:tcPr>
            <w:tcW w:w="5013" w:type="dxa"/>
            <w:vAlign w:val="center"/>
          </w:tcPr>
          <w:p>
            <w:pPr>
              <w:pStyle w:val="13"/>
            </w:pPr>
            <w:r>
              <w:t>经费使用率(%)</w:t>
            </w:r>
          </w:p>
        </w:tc>
        <w:tc>
          <w:tcPr>
            <w:tcW w:w="2313" w:type="dxa"/>
            <w:vAlign w:val="center"/>
          </w:tcPr>
          <w:p>
            <w:pPr>
              <w:pStyle w:val="13"/>
            </w:pPr>
            <w:r>
              <w:t>≥100%</w:t>
            </w:r>
          </w:p>
        </w:tc>
        <w:tc>
          <w:tcPr>
            <w:tcW w:w="1604" w:type="dxa"/>
            <w:vAlign w:val="center"/>
          </w:tcPr>
          <w:p>
            <w:pPr>
              <w:pStyle w:val="13"/>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困难群众生活水平提升情况</w:t>
            </w:r>
          </w:p>
        </w:tc>
        <w:tc>
          <w:tcPr>
            <w:tcW w:w="5013" w:type="dxa"/>
            <w:vAlign w:val="center"/>
          </w:tcPr>
          <w:p>
            <w:pPr>
              <w:pStyle w:val="13"/>
            </w:pPr>
            <w:r>
              <w:t>困难群众生活水平提升情况</w:t>
            </w:r>
          </w:p>
        </w:tc>
        <w:tc>
          <w:tcPr>
            <w:tcW w:w="2313" w:type="dxa"/>
            <w:vAlign w:val="center"/>
          </w:tcPr>
          <w:p>
            <w:pPr>
              <w:pStyle w:val="13"/>
            </w:pPr>
            <w:r>
              <w:t>有所提高</w:t>
            </w:r>
          </w:p>
        </w:tc>
        <w:tc>
          <w:tcPr>
            <w:tcW w:w="1604" w:type="dxa"/>
            <w:vAlign w:val="center"/>
          </w:tcPr>
          <w:p>
            <w:pPr>
              <w:pStyle w:val="13"/>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013" w:type="dxa"/>
            <w:vAlign w:val="center"/>
          </w:tcPr>
          <w:p>
            <w:pPr>
              <w:pStyle w:val="13"/>
            </w:pPr>
            <w:r>
              <w:t>服务受益对象满意度</w:t>
            </w:r>
          </w:p>
        </w:tc>
        <w:tc>
          <w:tcPr>
            <w:tcW w:w="2313" w:type="dxa"/>
            <w:vAlign w:val="center"/>
          </w:tcPr>
          <w:p>
            <w:pPr>
              <w:pStyle w:val="13"/>
            </w:pPr>
            <w:r>
              <w:t>≥90%</w:t>
            </w:r>
          </w:p>
        </w:tc>
        <w:tc>
          <w:tcPr>
            <w:tcW w:w="1604" w:type="dxa"/>
            <w:vAlign w:val="center"/>
          </w:tcPr>
          <w:p>
            <w:pPr>
              <w:pStyle w:val="13"/>
            </w:pPr>
            <w:r>
              <w:t>邢综治办【2016】2号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3、铁路护路经费绩效目标表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066"/>
        <w:gridCol w:w="2300"/>
        <w:gridCol w:w="17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13052525P00003310009G</w:t>
            </w:r>
          </w:p>
        </w:tc>
        <w:tc>
          <w:tcPr>
            <w:tcW w:w="2835" w:type="dxa"/>
            <w:vAlign w:val="center"/>
          </w:tcPr>
          <w:p>
            <w:pPr>
              <w:pStyle w:val="11"/>
            </w:pPr>
            <w:r>
              <w:t>项目名称</w:t>
            </w:r>
          </w:p>
        </w:tc>
        <w:tc>
          <w:tcPr>
            <w:tcW w:w="6095" w:type="dxa"/>
            <w:gridSpan w:val="3"/>
            <w:vAlign w:val="center"/>
          </w:tcPr>
          <w:p>
            <w:pPr>
              <w:pStyle w:val="13"/>
            </w:pPr>
            <w:r>
              <w:t>铁路护路经费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066" w:type="dxa"/>
            <w:vAlign w:val="center"/>
          </w:tcPr>
          <w:p>
            <w:pPr>
              <w:pStyle w:val="13"/>
            </w:pPr>
            <w:r>
              <w:t>2.50</w:t>
            </w:r>
          </w:p>
        </w:tc>
        <w:tc>
          <w:tcPr>
            <w:tcW w:w="2300" w:type="dxa"/>
            <w:vAlign w:val="center"/>
          </w:tcPr>
          <w:p>
            <w:pPr>
              <w:pStyle w:val="11"/>
            </w:pPr>
            <w:r>
              <w:t>其他资金</w:t>
            </w:r>
          </w:p>
        </w:tc>
        <w:tc>
          <w:tcPr>
            <w:tcW w:w="172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组织铁路高铁护路工作，确保辖区铁路安全畅通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66" w:type="dxa"/>
            <w:vAlign w:val="center"/>
          </w:tcPr>
          <w:p>
            <w:pPr>
              <w:pStyle w:val="11"/>
            </w:pPr>
            <w:r>
              <w:t>10月底</w:t>
            </w:r>
          </w:p>
        </w:tc>
        <w:tc>
          <w:tcPr>
            <w:tcW w:w="4029"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066" w:type="dxa"/>
            <w:vAlign w:val="center"/>
          </w:tcPr>
          <w:p>
            <w:pPr>
              <w:pStyle w:val="14"/>
            </w:pPr>
            <w:r>
              <w:t>75%</w:t>
            </w:r>
          </w:p>
        </w:tc>
        <w:tc>
          <w:tcPr>
            <w:tcW w:w="4029"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1.组织铁路高铁护路工作，确保辖区铁路安全畅通。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76"/>
        <w:gridCol w:w="2325"/>
        <w:gridCol w:w="172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76" w:type="dxa"/>
            <w:vAlign w:val="center"/>
          </w:tcPr>
          <w:p>
            <w:pPr>
              <w:pStyle w:val="11"/>
            </w:pPr>
            <w:r>
              <w:t>绩效指标描述</w:t>
            </w:r>
          </w:p>
        </w:tc>
        <w:tc>
          <w:tcPr>
            <w:tcW w:w="2325" w:type="dxa"/>
            <w:vAlign w:val="center"/>
          </w:tcPr>
          <w:p>
            <w:pPr>
              <w:pStyle w:val="11"/>
            </w:pPr>
            <w:r>
              <w:t>指标值</w:t>
            </w:r>
          </w:p>
        </w:tc>
        <w:tc>
          <w:tcPr>
            <w:tcW w:w="172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重要时期专项护路任务次数（次）</w:t>
            </w:r>
          </w:p>
        </w:tc>
        <w:tc>
          <w:tcPr>
            <w:tcW w:w="4876" w:type="dxa"/>
            <w:vAlign w:val="center"/>
          </w:tcPr>
          <w:p>
            <w:pPr>
              <w:pStyle w:val="13"/>
            </w:pPr>
            <w:r>
              <w:t>重要时期省委省政府专项护路任务次数</w:t>
            </w:r>
          </w:p>
        </w:tc>
        <w:tc>
          <w:tcPr>
            <w:tcW w:w="2325" w:type="dxa"/>
            <w:vAlign w:val="center"/>
          </w:tcPr>
          <w:p>
            <w:pPr>
              <w:pStyle w:val="13"/>
            </w:pPr>
            <w:r>
              <w:t>≥100%</w:t>
            </w:r>
          </w:p>
        </w:tc>
        <w:tc>
          <w:tcPr>
            <w:tcW w:w="1729"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重大安保任务完成率(%)</w:t>
            </w:r>
          </w:p>
        </w:tc>
        <w:tc>
          <w:tcPr>
            <w:tcW w:w="4876" w:type="dxa"/>
            <w:vAlign w:val="center"/>
          </w:tcPr>
          <w:p>
            <w:pPr>
              <w:pStyle w:val="13"/>
            </w:pPr>
            <w:r>
              <w:t>重大安保任务完成率(%)</w:t>
            </w:r>
          </w:p>
        </w:tc>
        <w:tc>
          <w:tcPr>
            <w:tcW w:w="2325" w:type="dxa"/>
            <w:vAlign w:val="center"/>
          </w:tcPr>
          <w:p>
            <w:pPr>
              <w:pStyle w:val="13"/>
            </w:pPr>
            <w:r>
              <w:t>≥100%</w:t>
            </w:r>
          </w:p>
        </w:tc>
        <w:tc>
          <w:tcPr>
            <w:tcW w:w="1729"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4876" w:type="dxa"/>
            <w:vAlign w:val="center"/>
          </w:tcPr>
          <w:p>
            <w:pPr>
              <w:pStyle w:val="13"/>
            </w:pPr>
            <w:r>
              <w:t>完工及时率</w:t>
            </w:r>
          </w:p>
        </w:tc>
        <w:tc>
          <w:tcPr>
            <w:tcW w:w="2325" w:type="dxa"/>
            <w:vAlign w:val="center"/>
          </w:tcPr>
          <w:p>
            <w:pPr>
              <w:pStyle w:val="13"/>
            </w:pPr>
            <w:r>
              <w:t>≥100%</w:t>
            </w:r>
          </w:p>
        </w:tc>
        <w:tc>
          <w:tcPr>
            <w:tcW w:w="1729"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完成工作需要资金</w:t>
            </w:r>
          </w:p>
        </w:tc>
        <w:tc>
          <w:tcPr>
            <w:tcW w:w="4876" w:type="dxa"/>
            <w:vAlign w:val="center"/>
          </w:tcPr>
          <w:p>
            <w:pPr>
              <w:pStyle w:val="13"/>
            </w:pPr>
            <w:r>
              <w:t>完成工作需要资金</w:t>
            </w:r>
          </w:p>
        </w:tc>
        <w:tc>
          <w:tcPr>
            <w:tcW w:w="2325" w:type="dxa"/>
            <w:vAlign w:val="center"/>
          </w:tcPr>
          <w:p>
            <w:pPr>
              <w:pStyle w:val="13"/>
            </w:pPr>
            <w:r>
              <w:t>2.5万元</w:t>
            </w:r>
          </w:p>
        </w:tc>
        <w:tc>
          <w:tcPr>
            <w:tcW w:w="1729"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4876" w:type="dxa"/>
            <w:vAlign w:val="center"/>
          </w:tcPr>
          <w:p>
            <w:pPr>
              <w:pStyle w:val="13"/>
            </w:pPr>
            <w:r>
              <w:t>通过开展信息宣传工作，创造良好的舆论氛围，使我厅工作得到广大受众的充分认可。</w:t>
            </w:r>
          </w:p>
        </w:tc>
        <w:tc>
          <w:tcPr>
            <w:tcW w:w="2325" w:type="dxa"/>
            <w:vAlign w:val="center"/>
          </w:tcPr>
          <w:p>
            <w:pPr>
              <w:pStyle w:val="13"/>
            </w:pPr>
            <w:r>
              <w:t>有效提高</w:t>
            </w:r>
          </w:p>
        </w:tc>
        <w:tc>
          <w:tcPr>
            <w:tcW w:w="1729"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876" w:type="dxa"/>
            <w:vAlign w:val="center"/>
          </w:tcPr>
          <w:p>
            <w:pPr>
              <w:pStyle w:val="13"/>
            </w:pPr>
            <w:r>
              <w:t>服务对象满意度</w:t>
            </w:r>
          </w:p>
        </w:tc>
        <w:tc>
          <w:tcPr>
            <w:tcW w:w="2325" w:type="dxa"/>
            <w:vAlign w:val="center"/>
          </w:tcPr>
          <w:p>
            <w:pPr>
              <w:pStyle w:val="13"/>
            </w:pPr>
            <w:r>
              <w:t>满意</w:t>
            </w:r>
          </w:p>
        </w:tc>
        <w:tc>
          <w:tcPr>
            <w:tcW w:w="1729"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4、政法网经费绩效目标表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41"/>
        <w:gridCol w:w="2362"/>
        <w:gridCol w:w="1592"/>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13052525P000033100123</w:t>
            </w:r>
          </w:p>
        </w:tc>
        <w:tc>
          <w:tcPr>
            <w:tcW w:w="2835" w:type="dxa"/>
            <w:vAlign w:val="center"/>
          </w:tcPr>
          <w:p>
            <w:pPr>
              <w:pStyle w:val="11"/>
            </w:pPr>
            <w:r>
              <w:t>项目名称</w:t>
            </w:r>
          </w:p>
        </w:tc>
        <w:tc>
          <w:tcPr>
            <w:tcW w:w="6095" w:type="dxa"/>
            <w:gridSpan w:val="3"/>
            <w:vAlign w:val="center"/>
          </w:tcPr>
          <w:p>
            <w:pPr>
              <w:pStyle w:val="13"/>
            </w:pPr>
            <w:r>
              <w:t>政法网经费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14.88</w:t>
            </w:r>
          </w:p>
        </w:tc>
        <w:tc>
          <w:tcPr>
            <w:tcW w:w="2835" w:type="dxa"/>
            <w:vAlign w:val="center"/>
          </w:tcPr>
          <w:p>
            <w:pPr>
              <w:pStyle w:val="11"/>
            </w:pPr>
            <w:r>
              <w:t>其中：财政    资金</w:t>
            </w:r>
          </w:p>
        </w:tc>
        <w:tc>
          <w:tcPr>
            <w:tcW w:w="2141" w:type="dxa"/>
            <w:vAlign w:val="center"/>
          </w:tcPr>
          <w:p>
            <w:pPr>
              <w:pStyle w:val="13"/>
            </w:pPr>
            <w:r>
              <w:t>14.88</w:t>
            </w:r>
          </w:p>
        </w:tc>
        <w:tc>
          <w:tcPr>
            <w:tcW w:w="2362" w:type="dxa"/>
            <w:vAlign w:val="center"/>
          </w:tcPr>
          <w:p>
            <w:pPr>
              <w:pStyle w:val="11"/>
            </w:pPr>
            <w:r>
              <w:t>其他资金</w:t>
            </w:r>
          </w:p>
        </w:tc>
        <w:tc>
          <w:tcPr>
            <w:tcW w:w="1592"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确保政法网安全运行，促进政法工作上台阶。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41" w:type="dxa"/>
            <w:vAlign w:val="center"/>
          </w:tcPr>
          <w:p>
            <w:pPr>
              <w:pStyle w:val="11"/>
            </w:pPr>
            <w:r>
              <w:t>10月底</w:t>
            </w:r>
          </w:p>
        </w:tc>
        <w:tc>
          <w:tcPr>
            <w:tcW w:w="395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141" w:type="dxa"/>
            <w:vAlign w:val="center"/>
          </w:tcPr>
          <w:p>
            <w:pPr>
              <w:pStyle w:val="14"/>
            </w:pPr>
            <w:r>
              <w:t>75%</w:t>
            </w:r>
          </w:p>
        </w:tc>
        <w:tc>
          <w:tcPr>
            <w:tcW w:w="395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1.确保政法网安全运行，促进政法工作上台阶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88"/>
        <w:gridCol w:w="2325"/>
        <w:gridCol w:w="16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8" w:type="dxa"/>
            <w:vAlign w:val="center"/>
          </w:tcPr>
          <w:p>
            <w:pPr>
              <w:pStyle w:val="11"/>
            </w:pPr>
            <w:r>
              <w:t>绩效指标描述</w:t>
            </w:r>
          </w:p>
        </w:tc>
        <w:tc>
          <w:tcPr>
            <w:tcW w:w="2325" w:type="dxa"/>
            <w:vAlign w:val="center"/>
          </w:tcPr>
          <w:p>
            <w:pPr>
              <w:pStyle w:val="11"/>
            </w:pPr>
            <w:r>
              <w:t>指标值</w:t>
            </w:r>
          </w:p>
        </w:tc>
        <w:tc>
          <w:tcPr>
            <w:tcW w:w="1617"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4988" w:type="dxa"/>
            <w:vAlign w:val="center"/>
          </w:tcPr>
          <w:p>
            <w:pPr>
              <w:pStyle w:val="13"/>
            </w:pPr>
            <w:r>
              <w:t>设备检修维护次数</w:t>
            </w:r>
          </w:p>
        </w:tc>
        <w:tc>
          <w:tcPr>
            <w:tcW w:w="2325" w:type="dxa"/>
            <w:vAlign w:val="center"/>
          </w:tcPr>
          <w:p>
            <w:pPr>
              <w:pStyle w:val="13"/>
            </w:pPr>
            <w:r>
              <w:t>≥12次</w:t>
            </w:r>
          </w:p>
        </w:tc>
        <w:tc>
          <w:tcPr>
            <w:tcW w:w="1617" w:type="dxa"/>
            <w:vAlign w:val="center"/>
          </w:tcPr>
          <w:p>
            <w:pPr>
              <w:pStyle w:val="13"/>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系统正常运行率</w:t>
            </w:r>
          </w:p>
        </w:tc>
        <w:tc>
          <w:tcPr>
            <w:tcW w:w="4988" w:type="dxa"/>
            <w:vAlign w:val="center"/>
          </w:tcPr>
          <w:p>
            <w:pPr>
              <w:pStyle w:val="13"/>
            </w:pPr>
            <w:r>
              <w:t>系统正常运行率</w:t>
            </w:r>
          </w:p>
        </w:tc>
        <w:tc>
          <w:tcPr>
            <w:tcW w:w="2325" w:type="dxa"/>
            <w:vAlign w:val="center"/>
          </w:tcPr>
          <w:p>
            <w:pPr>
              <w:pStyle w:val="13"/>
            </w:pPr>
            <w:r>
              <w:t>≥95%</w:t>
            </w:r>
          </w:p>
        </w:tc>
        <w:tc>
          <w:tcPr>
            <w:tcW w:w="1617" w:type="dxa"/>
            <w:vAlign w:val="center"/>
          </w:tcPr>
          <w:p>
            <w:pPr>
              <w:pStyle w:val="13"/>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故障反应时间</w:t>
            </w:r>
          </w:p>
        </w:tc>
        <w:tc>
          <w:tcPr>
            <w:tcW w:w="4988" w:type="dxa"/>
            <w:vAlign w:val="center"/>
          </w:tcPr>
          <w:p>
            <w:pPr>
              <w:pStyle w:val="13"/>
            </w:pPr>
            <w:r>
              <w:t>故障反应时间</w:t>
            </w:r>
          </w:p>
        </w:tc>
        <w:tc>
          <w:tcPr>
            <w:tcW w:w="2325" w:type="dxa"/>
            <w:vAlign w:val="center"/>
          </w:tcPr>
          <w:p>
            <w:pPr>
              <w:pStyle w:val="13"/>
            </w:pPr>
            <w:r>
              <w:t>≤12小时</w:t>
            </w:r>
          </w:p>
        </w:tc>
        <w:tc>
          <w:tcPr>
            <w:tcW w:w="1617" w:type="dxa"/>
            <w:vAlign w:val="center"/>
          </w:tcPr>
          <w:p>
            <w:pPr>
              <w:pStyle w:val="13"/>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988" w:type="dxa"/>
            <w:vAlign w:val="center"/>
          </w:tcPr>
          <w:p>
            <w:pPr>
              <w:pStyle w:val="13"/>
            </w:pPr>
            <w:r>
              <w:t>资金成本</w:t>
            </w:r>
          </w:p>
        </w:tc>
        <w:tc>
          <w:tcPr>
            <w:tcW w:w="2325" w:type="dxa"/>
            <w:vAlign w:val="center"/>
          </w:tcPr>
          <w:p>
            <w:pPr>
              <w:pStyle w:val="13"/>
            </w:pPr>
            <w:r>
              <w:t>14.88万元</w:t>
            </w:r>
          </w:p>
        </w:tc>
        <w:tc>
          <w:tcPr>
            <w:tcW w:w="1617" w:type="dxa"/>
            <w:vAlign w:val="center"/>
          </w:tcPr>
          <w:p>
            <w:pPr>
              <w:pStyle w:val="13"/>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4988" w:type="dxa"/>
            <w:vAlign w:val="center"/>
          </w:tcPr>
          <w:p>
            <w:pPr>
              <w:pStyle w:val="13"/>
            </w:pPr>
            <w:r>
              <w:t>保障工作顺利开展</w:t>
            </w:r>
          </w:p>
        </w:tc>
        <w:tc>
          <w:tcPr>
            <w:tcW w:w="2325" w:type="dxa"/>
            <w:vAlign w:val="center"/>
          </w:tcPr>
          <w:p>
            <w:pPr>
              <w:pStyle w:val="13"/>
            </w:pPr>
            <w:r>
              <w:t>顺利开展</w:t>
            </w:r>
          </w:p>
        </w:tc>
        <w:tc>
          <w:tcPr>
            <w:tcW w:w="1617" w:type="dxa"/>
            <w:vAlign w:val="center"/>
          </w:tcPr>
          <w:p>
            <w:pPr>
              <w:pStyle w:val="13"/>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4988" w:type="dxa"/>
            <w:vAlign w:val="center"/>
          </w:tcPr>
          <w:p>
            <w:pPr>
              <w:pStyle w:val="13"/>
            </w:pPr>
            <w:r>
              <w:t>通过问卷调查，满意和较满意的对象占所有调查对象的比例</w:t>
            </w:r>
          </w:p>
        </w:tc>
        <w:tc>
          <w:tcPr>
            <w:tcW w:w="2325" w:type="dxa"/>
            <w:vAlign w:val="center"/>
          </w:tcPr>
          <w:p>
            <w:pPr>
              <w:pStyle w:val="13"/>
            </w:pPr>
            <w:r>
              <w:t>≥95%</w:t>
            </w:r>
          </w:p>
        </w:tc>
        <w:tc>
          <w:tcPr>
            <w:tcW w:w="1617" w:type="dxa"/>
            <w:vAlign w:val="center"/>
          </w:tcPr>
          <w:p>
            <w:pPr>
              <w:pStyle w:val="13"/>
            </w:pPr>
            <w:r>
              <w:t>冀政法字【2015】12号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5、综治经费（含扫黑除恶）绩效目标表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91"/>
        <w:gridCol w:w="2262"/>
        <w:gridCol w:w="1642"/>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13052525P00003310006M</w:t>
            </w:r>
          </w:p>
        </w:tc>
        <w:tc>
          <w:tcPr>
            <w:tcW w:w="2835" w:type="dxa"/>
            <w:vAlign w:val="center"/>
          </w:tcPr>
          <w:p>
            <w:pPr>
              <w:pStyle w:val="11"/>
            </w:pPr>
            <w:r>
              <w:t>项目名称</w:t>
            </w:r>
          </w:p>
        </w:tc>
        <w:tc>
          <w:tcPr>
            <w:tcW w:w="6095" w:type="dxa"/>
            <w:gridSpan w:val="3"/>
            <w:vAlign w:val="center"/>
          </w:tcPr>
          <w:p>
            <w:pPr>
              <w:pStyle w:val="13"/>
            </w:pPr>
            <w:r>
              <w:t>综治经费（含扫黑除恶）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w:t>
            </w:r>
          </w:p>
        </w:tc>
        <w:tc>
          <w:tcPr>
            <w:tcW w:w="2835" w:type="dxa"/>
            <w:vAlign w:val="center"/>
          </w:tcPr>
          <w:p>
            <w:pPr>
              <w:pStyle w:val="11"/>
            </w:pPr>
            <w:r>
              <w:t>其中：财政    资金</w:t>
            </w:r>
          </w:p>
        </w:tc>
        <w:tc>
          <w:tcPr>
            <w:tcW w:w="2191" w:type="dxa"/>
            <w:vAlign w:val="center"/>
          </w:tcPr>
          <w:p>
            <w:pPr>
              <w:pStyle w:val="13"/>
            </w:pPr>
            <w:r>
              <w:t>17.50</w:t>
            </w:r>
          </w:p>
        </w:tc>
        <w:tc>
          <w:tcPr>
            <w:tcW w:w="2262" w:type="dxa"/>
            <w:vAlign w:val="center"/>
          </w:tcPr>
          <w:p>
            <w:pPr>
              <w:pStyle w:val="11"/>
            </w:pPr>
            <w:r>
              <w:t>其他资金</w:t>
            </w:r>
          </w:p>
        </w:tc>
        <w:tc>
          <w:tcPr>
            <w:tcW w:w="1642"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开展社会治安综合治理活动，确保全县社会政治稳定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91" w:type="dxa"/>
            <w:vAlign w:val="center"/>
          </w:tcPr>
          <w:p>
            <w:pPr>
              <w:pStyle w:val="11"/>
            </w:pPr>
            <w:r>
              <w:t>10月底</w:t>
            </w:r>
          </w:p>
        </w:tc>
        <w:tc>
          <w:tcPr>
            <w:tcW w:w="390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191" w:type="dxa"/>
            <w:vAlign w:val="center"/>
          </w:tcPr>
          <w:p>
            <w:pPr>
              <w:pStyle w:val="14"/>
            </w:pPr>
            <w:r>
              <w:t>75%</w:t>
            </w:r>
          </w:p>
        </w:tc>
        <w:tc>
          <w:tcPr>
            <w:tcW w:w="390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1.开展社会治安综合治理活动，确保全县社会政治稳定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38"/>
        <w:gridCol w:w="2275"/>
        <w:gridCol w:w="16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38" w:type="dxa"/>
            <w:vAlign w:val="center"/>
          </w:tcPr>
          <w:p>
            <w:pPr>
              <w:pStyle w:val="11"/>
            </w:pPr>
            <w:r>
              <w:t>绩效指标描述</w:t>
            </w:r>
          </w:p>
        </w:tc>
        <w:tc>
          <w:tcPr>
            <w:tcW w:w="2275" w:type="dxa"/>
            <w:vAlign w:val="center"/>
          </w:tcPr>
          <w:p>
            <w:pPr>
              <w:pStyle w:val="11"/>
            </w:pPr>
            <w:r>
              <w:t>指标值</w:t>
            </w:r>
          </w:p>
        </w:tc>
        <w:tc>
          <w:tcPr>
            <w:tcW w:w="1617"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培树治安防控工作先进典型县（市</w:t>
            </w:r>
          </w:p>
        </w:tc>
        <w:tc>
          <w:tcPr>
            <w:tcW w:w="5038" w:type="dxa"/>
            <w:vAlign w:val="center"/>
          </w:tcPr>
          <w:p>
            <w:pPr>
              <w:pStyle w:val="13"/>
            </w:pPr>
            <w:r>
              <w:t>培树治安防控工作先进典型村数量（个）</w:t>
            </w:r>
          </w:p>
        </w:tc>
        <w:tc>
          <w:tcPr>
            <w:tcW w:w="2275" w:type="dxa"/>
            <w:vAlign w:val="center"/>
          </w:tcPr>
          <w:p>
            <w:pPr>
              <w:pStyle w:val="13"/>
            </w:pPr>
            <w:r>
              <w:t>≥12个</w:t>
            </w:r>
          </w:p>
        </w:tc>
        <w:tc>
          <w:tcPr>
            <w:tcW w:w="1617"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038" w:type="dxa"/>
            <w:vAlign w:val="center"/>
          </w:tcPr>
          <w:p>
            <w:pPr>
              <w:pStyle w:val="13"/>
            </w:pPr>
            <w:r>
              <w:t>其他各项综合实务工作完成率</w:t>
            </w:r>
          </w:p>
        </w:tc>
        <w:tc>
          <w:tcPr>
            <w:tcW w:w="2275" w:type="dxa"/>
            <w:vAlign w:val="center"/>
          </w:tcPr>
          <w:p>
            <w:pPr>
              <w:pStyle w:val="13"/>
            </w:pPr>
            <w:r>
              <w:t>≥95%</w:t>
            </w:r>
          </w:p>
        </w:tc>
        <w:tc>
          <w:tcPr>
            <w:tcW w:w="1617"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038" w:type="dxa"/>
            <w:vAlign w:val="center"/>
          </w:tcPr>
          <w:p>
            <w:pPr>
              <w:pStyle w:val="13"/>
            </w:pPr>
            <w:r>
              <w:t>各项任务完成及时率（%）</w:t>
            </w:r>
          </w:p>
        </w:tc>
        <w:tc>
          <w:tcPr>
            <w:tcW w:w="2275" w:type="dxa"/>
            <w:vAlign w:val="center"/>
          </w:tcPr>
          <w:p>
            <w:pPr>
              <w:pStyle w:val="13"/>
            </w:pPr>
            <w:r>
              <w:t>≥95%</w:t>
            </w:r>
          </w:p>
        </w:tc>
        <w:tc>
          <w:tcPr>
            <w:tcW w:w="1617"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038" w:type="dxa"/>
            <w:vAlign w:val="center"/>
          </w:tcPr>
          <w:p>
            <w:pPr>
              <w:pStyle w:val="13"/>
            </w:pPr>
            <w:r>
              <w:t>资金成本</w:t>
            </w:r>
          </w:p>
        </w:tc>
        <w:tc>
          <w:tcPr>
            <w:tcW w:w="2275" w:type="dxa"/>
            <w:vAlign w:val="center"/>
          </w:tcPr>
          <w:p>
            <w:pPr>
              <w:pStyle w:val="13"/>
            </w:pPr>
            <w:r>
              <w:t>合理安排</w:t>
            </w:r>
          </w:p>
        </w:tc>
        <w:tc>
          <w:tcPr>
            <w:tcW w:w="1617"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038" w:type="dxa"/>
            <w:vAlign w:val="center"/>
          </w:tcPr>
          <w:p>
            <w:pPr>
              <w:pStyle w:val="13"/>
            </w:pPr>
            <w:r>
              <w:t>立体化社会治安防控体系覆盖率(%)</w:t>
            </w:r>
          </w:p>
        </w:tc>
        <w:tc>
          <w:tcPr>
            <w:tcW w:w="2275" w:type="dxa"/>
            <w:vAlign w:val="center"/>
          </w:tcPr>
          <w:p>
            <w:pPr>
              <w:pStyle w:val="13"/>
            </w:pPr>
            <w:r>
              <w:t>≥95%</w:t>
            </w:r>
          </w:p>
        </w:tc>
        <w:tc>
          <w:tcPr>
            <w:tcW w:w="1617" w:type="dxa"/>
            <w:vAlign w:val="center"/>
          </w:tcPr>
          <w:p>
            <w:pPr>
              <w:pStyle w:val="13"/>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038" w:type="dxa"/>
            <w:vAlign w:val="center"/>
          </w:tcPr>
          <w:p>
            <w:pPr>
              <w:pStyle w:val="13"/>
            </w:pPr>
            <w:r>
              <w:t>通过问卷调查，满意和较满意的对象占所有调查对象的比例</w:t>
            </w:r>
          </w:p>
        </w:tc>
        <w:tc>
          <w:tcPr>
            <w:tcW w:w="2275" w:type="dxa"/>
            <w:vAlign w:val="center"/>
          </w:tcPr>
          <w:p>
            <w:pPr>
              <w:pStyle w:val="13"/>
            </w:pPr>
            <w:r>
              <w:t>≥95%</w:t>
            </w:r>
          </w:p>
        </w:tc>
        <w:tc>
          <w:tcPr>
            <w:tcW w:w="1617"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6、综治视联网经费绩效目标表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53"/>
        <w:gridCol w:w="2313"/>
        <w:gridCol w:w="16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13052525P00003310011F</w:t>
            </w:r>
          </w:p>
        </w:tc>
        <w:tc>
          <w:tcPr>
            <w:tcW w:w="2835" w:type="dxa"/>
            <w:vAlign w:val="center"/>
          </w:tcPr>
          <w:p>
            <w:pPr>
              <w:pStyle w:val="11"/>
            </w:pPr>
            <w:r>
              <w:t>项目名称</w:t>
            </w:r>
          </w:p>
        </w:tc>
        <w:tc>
          <w:tcPr>
            <w:tcW w:w="6095" w:type="dxa"/>
            <w:gridSpan w:val="3"/>
            <w:vAlign w:val="center"/>
          </w:tcPr>
          <w:p>
            <w:pPr>
              <w:pStyle w:val="13"/>
            </w:pPr>
            <w:r>
              <w:t>综治视联网经费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72.48</w:t>
            </w:r>
          </w:p>
        </w:tc>
        <w:tc>
          <w:tcPr>
            <w:tcW w:w="2835" w:type="dxa"/>
            <w:vAlign w:val="center"/>
          </w:tcPr>
          <w:p>
            <w:pPr>
              <w:pStyle w:val="11"/>
            </w:pPr>
            <w:r>
              <w:t>其中：财政    资金</w:t>
            </w:r>
          </w:p>
        </w:tc>
        <w:tc>
          <w:tcPr>
            <w:tcW w:w="2153" w:type="dxa"/>
            <w:vAlign w:val="center"/>
          </w:tcPr>
          <w:p>
            <w:pPr>
              <w:pStyle w:val="13"/>
            </w:pPr>
            <w:r>
              <w:t>72.48</w:t>
            </w:r>
          </w:p>
        </w:tc>
        <w:tc>
          <w:tcPr>
            <w:tcW w:w="2313" w:type="dxa"/>
            <w:vAlign w:val="center"/>
          </w:tcPr>
          <w:p>
            <w:pPr>
              <w:pStyle w:val="11"/>
            </w:pPr>
            <w:r>
              <w:t>其他资金</w:t>
            </w:r>
          </w:p>
        </w:tc>
        <w:tc>
          <w:tcPr>
            <w:tcW w:w="1629"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确保综治视联网安全运行，促进市域社会治理现代化各项工作。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153" w:type="dxa"/>
            <w:vAlign w:val="center"/>
          </w:tcPr>
          <w:p>
            <w:pPr>
              <w:pStyle w:val="11"/>
            </w:pPr>
            <w:r>
              <w:t>10月底</w:t>
            </w:r>
          </w:p>
        </w:tc>
        <w:tc>
          <w:tcPr>
            <w:tcW w:w="3942"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153" w:type="dxa"/>
            <w:vAlign w:val="center"/>
          </w:tcPr>
          <w:p>
            <w:pPr>
              <w:pStyle w:val="14"/>
            </w:pPr>
            <w:r>
              <w:t>75%</w:t>
            </w:r>
          </w:p>
        </w:tc>
        <w:tc>
          <w:tcPr>
            <w:tcW w:w="3942"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1.确保综治视联网安全运行，促进市域社会治理现代化各项工作。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01"/>
        <w:gridCol w:w="2287"/>
        <w:gridCol w:w="164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01" w:type="dxa"/>
            <w:vAlign w:val="center"/>
          </w:tcPr>
          <w:p>
            <w:pPr>
              <w:pStyle w:val="11"/>
            </w:pPr>
            <w:r>
              <w:t>绩效指标描述</w:t>
            </w:r>
          </w:p>
        </w:tc>
        <w:tc>
          <w:tcPr>
            <w:tcW w:w="2287" w:type="dxa"/>
            <w:vAlign w:val="center"/>
          </w:tcPr>
          <w:p>
            <w:pPr>
              <w:pStyle w:val="11"/>
            </w:pPr>
            <w:r>
              <w:t>指标值</w:t>
            </w:r>
          </w:p>
        </w:tc>
        <w:tc>
          <w:tcPr>
            <w:tcW w:w="164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001" w:type="dxa"/>
            <w:vAlign w:val="center"/>
          </w:tcPr>
          <w:p>
            <w:pPr>
              <w:pStyle w:val="13"/>
            </w:pPr>
            <w:r>
              <w:t>系统出故障时间占总运行时间比</w:t>
            </w:r>
          </w:p>
        </w:tc>
        <w:tc>
          <w:tcPr>
            <w:tcW w:w="2287" w:type="dxa"/>
            <w:vAlign w:val="center"/>
          </w:tcPr>
          <w:p>
            <w:pPr>
              <w:pStyle w:val="13"/>
            </w:pPr>
            <w:r>
              <w:t>≥1%</w:t>
            </w:r>
          </w:p>
        </w:tc>
        <w:tc>
          <w:tcPr>
            <w:tcW w:w="1642" w:type="dxa"/>
            <w:vAlign w:val="center"/>
          </w:tcPr>
          <w:p>
            <w:pPr>
              <w:pStyle w:val="13"/>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系统故障修复响应时间</w:t>
            </w:r>
          </w:p>
        </w:tc>
        <w:tc>
          <w:tcPr>
            <w:tcW w:w="5001" w:type="dxa"/>
            <w:vAlign w:val="center"/>
          </w:tcPr>
          <w:p>
            <w:pPr>
              <w:pStyle w:val="13"/>
            </w:pPr>
            <w:r>
              <w:t>响应系统故障并修复的时间</w:t>
            </w:r>
          </w:p>
        </w:tc>
        <w:tc>
          <w:tcPr>
            <w:tcW w:w="2287" w:type="dxa"/>
            <w:vAlign w:val="center"/>
          </w:tcPr>
          <w:p>
            <w:pPr>
              <w:pStyle w:val="13"/>
            </w:pPr>
            <w:r>
              <w:t>≤24小时</w:t>
            </w:r>
          </w:p>
        </w:tc>
        <w:tc>
          <w:tcPr>
            <w:tcW w:w="1642" w:type="dxa"/>
            <w:vAlign w:val="center"/>
          </w:tcPr>
          <w:p>
            <w:pPr>
              <w:pStyle w:val="13"/>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设备检修维护次数</w:t>
            </w:r>
          </w:p>
        </w:tc>
        <w:tc>
          <w:tcPr>
            <w:tcW w:w="5001" w:type="dxa"/>
            <w:vAlign w:val="center"/>
          </w:tcPr>
          <w:p>
            <w:pPr>
              <w:pStyle w:val="13"/>
            </w:pPr>
            <w:r>
              <w:t>设备检修维护次数</w:t>
            </w:r>
          </w:p>
        </w:tc>
        <w:tc>
          <w:tcPr>
            <w:tcW w:w="2287" w:type="dxa"/>
            <w:vAlign w:val="center"/>
          </w:tcPr>
          <w:p>
            <w:pPr>
              <w:pStyle w:val="13"/>
            </w:pPr>
            <w:r>
              <w:t>&gt;12次</w:t>
            </w:r>
          </w:p>
        </w:tc>
        <w:tc>
          <w:tcPr>
            <w:tcW w:w="1642" w:type="dxa"/>
            <w:vAlign w:val="center"/>
          </w:tcPr>
          <w:p>
            <w:pPr>
              <w:pStyle w:val="13"/>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001" w:type="dxa"/>
            <w:vAlign w:val="center"/>
          </w:tcPr>
          <w:p>
            <w:pPr>
              <w:pStyle w:val="13"/>
            </w:pPr>
            <w:r>
              <w:t>资金成本</w:t>
            </w:r>
          </w:p>
        </w:tc>
        <w:tc>
          <w:tcPr>
            <w:tcW w:w="2287" w:type="dxa"/>
            <w:vAlign w:val="center"/>
          </w:tcPr>
          <w:p>
            <w:pPr>
              <w:pStyle w:val="13"/>
            </w:pPr>
            <w:r>
              <w:t>72.48万元</w:t>
            </w:r>
          </w:p>
        </w:tc>
        <w:tc>
          <w:tcPr>
            <w:tcW w:w="1642" w:type="dxa"/>
            <w:vAlign w:val="center"/>
          </w:tcPr>
          <w:p>
            <w:pPr>
              <w:pStyle w:val="13"/>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非正常停机率</w:t>
            </w:r>
          </w:p>
        </w:tc>
        <w:tc>
          <w:tcPr>
            <w:tcW w:w="5001" w:type="dxa"/>
            <w:vAlign w:val="center"/>
          </w:tcPr>
          <w:p>
            <w:pPr>
              <w:pStyle w:val="13"/>
            </w:pPr>
            <w:r>
              <w:t>非正常停机次数占总停机次数</w:t>
            </w:r>
          </w:p>
        </w:tc>
        <w:tc>
          <w:tcPr>
            <w:tcW w:w="2287" w:type="dxa"/>
            <w:vAlign w:val="center"/>
          </w:tcPr>
          <w:p>
            <w:pPr>
              <w:pStyle w:val="13"/>
            </w:pPr>
            <w:r>
              <w:t>≥5%</w:t>
            </w:r>
          </w:p>
        </w:tc>
        <w:tc>
          <w:tcPr>
            <w:tcW w:w="1642" w:type="dxa"/>
            <w:vAlign w:val="center"/>
          </w:tcPr>
          <w:p>
            <w:pPr>
              <w:pStyle w:val="13"/>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001" w:type="dxa"/>
            <w:vAlign w:val="center"/>
          </w:tcPr>
          <w:p>
            <w:pPr>
              <w:pStyle w:val="13"/>
            </w:pPr>
            <w:r>
              <w:t>服务对象的满意度</w:t>
            </w:r>
          </w:p>
        </w:tc>
        <w:tc>
          <w:tcPr>
            <w:tcW w:w="2287" w:type="dxa"/>
            <w:vAlign w:val="center"/>
          </w:tcPr>
          <w:p>
            <w:pPr>
              <w:pStyle w:val="13"/>
            </w:pPr>
            <w:r>
              <w:t>≥95%</w:t>
            </w:r>
          </w:p>
        </w:tc>
        <w:tc>
          <w:tcPr>
            <w:tcW w:w="1642" w:type="dxa"/>
            <w:vAlign w:val="center"/>
          </w:tcPr>
          <w:p>
            <w:pPr>
              <w:pStyle w:val="13"/>
            </w:pPr>
            <w:r>
              <w:t>冀综治办【2018】39号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rPr>
                <w:rFonts w:hint="eastAsia" w:eastAsia="方正书宋_GBK"/>
                <w:lang w:val="en-US" w:eastAsia="zh-CN"/>
              </w:rPr>
            </w:pPr>
            <w:r>
              <w:rPr>
                <w:rFonts w:hint="eastAsia"/>
                <w:lang w:val="en-US" w:eastAsia="zh-CN"/>
              </w:rPr>
              <w:t>社情民意管理服务平台</w:t>
            </w:r>
          </w:p>
        </w:tc>
        <w:tc>
          <w:tcPr>
            <w:tcW w:w="964" w:type="dxa"/>
            <w:vAlign w:val="center"/>
          </w:tcPr>
          <w:p>
            <w:pPr>
              <w:pStyle w:val="12"/>
              <w:rPr>
                <w:rFonts w:hint="default" w:eastAsia="方正书宋_GBK"/>
                <w:lang w:val="en-US" w:eastAsia="zh-CN"/>
              </w:rPr>
            </w:pPr>
            <w:r>
              <w:rPr>
                <w:rFonts w:hint="eastAsia"/>
                <w:lang w:val="en-US" w:eastAsia="zh-CN"/>
              </w:rPr>
              <w:t>23</w:t>
            </w:r>
          </w:p>
        </w:tc>
        <w:tc>
          <w:tcPr>
            <w:tcW w:w="1134" w:type="dxa"/>
            <w:vAlign w:val="center"/>
          </w:tcPr>
          <w:p>
            <w:pPr>
              <w:pStyle w:val="13"/>
              <w:rPr>
                <w:rFonts w:hint="eastAsia" w:eastAsia="方正书宋_GBK"/>
                <w:lang w:eastAsia="zh-CN"/>
              </w:rPr>
            </w:pPr>
            <w:r>
              <w:rPr>
                <w:rFonts w:hint="eastAsia"/>
                <w:lang w:eastAsia="zh-CN"/>
              </w:rPr>
              <w:t>服务平台</w:t>
            </w:r>
          </w:p>
        </w:tc>
        <w:tc>
          <w:tcPr>
            <w:tcW w:w="1134" w:type="dxa"/>
            <w:vAlign w:val="center"/>
          </w:tcPr>
          <w:p>
            <w:pPr>
              <w:pStyle w:val="13"/>
            </w:pPr>
          </w:p>
        </w:tc>
        <w:tc>
          <w:tcPr>
            <w:tcW w:w="709" w:type="dxa"/>
            <w:vAlign w:val="center"/>
          </w:tcPr>
          <w:p>
            <w:pPr>
              <w:pStyle w:val="14"/>
              <w:rPr>
                <w:rFonts w:hint="eastAsia" w:eastAsia="方正书宋_GBK"/>
                <w:lang w:val="en-US" w:eastAsia="zh-CN"/>
              </w:rPr>
            </w:pPr>
            <w:r>
              <w:rPr>
                <w:rFonts w:hint="eastAsia"/>
                <w:lang w:val="en-US" w:eastAsia="zh-CN"/>
              </w:rPr>
              <w:t>1</w:t>
            </w:r>
          </w:p>
        </w:tc>
        <w:tc>
          <w:tcPr>
            <w:tcW w:w="850" w:type="dxa"/>
            <w:vAlign w:val="center"/>
          </w:tcPr>
          <w:p>
            <w:pPr>
              <w:pStyle w:val="12"/>
              <w:rPr>
                <w:rFonts w:hint="eastAsia" w:eastAsia="方正书宋_GBK"/>
                <w:lang w:val="en-US" w:eastAsia="zh-CN"/>
              </w:rPr>
            </w:pPr>
            <w:r>
              <w:rPr>
                <w:rFonts w:hint="eastAsia"/>
                <w:lang w:val="en-US" w:eastAsia="zh-CN"/>
              </w:rPr>
              <w:t>1</w:t>
            </w:r>
          </w:p>
        </w:tc>
        <w:tc>
          <w:tcPr>
            <w:tcW w:w="850" w:type="dxa"/>
            <w:vAlign w:val="center"/>
          </w:tcPr>
          <w:p>
            <w:pPr>
              <w:pStyle w:val="12"/>
              <w:rPr>
                <w:rFonts w:hint="default" w:eastAsia="方正书宋_GBK"/>
                <w:lang w:val="en-US" w:eastAsia="zh-CN"/>
              </w:rPr>
            </w:pPr>
            <w:r>
              <w:rPr>
                <w:rFonts w:hint="eastAsia"/>
                <w:lang w:val="en-US" w:eastAsia="zh-CN"/>
              </w:rPr>
              <w:t>23</w:t>
            </w:r>
          </w:p>
        </w:tc>
        <w:tc>
          <w:tcPr>
            <w:tcW w:w="964" w:type="dxa"/>
            <w:vAlign w:val="center"/>
          </w:tcPr>
          <w:p>
            <w:pPr>
              <w:pStyle w:val="12"/>
              <w:rPr>
                <w:rFonts w:hint="default" w:eastAsia="方正书宋_GBK"/>
                <w:lang w:val="en-US" w:eastAsia="zh-CN"/>
              </w:rPr>
            </w:pPr>
            <w:r>
              <w:rPr>
                <w:rFonts w:hint="eastAsia"/>
                <w:lang w:val="en-US" w:eastAsia="zh-CN"/>
              </w:rPr>
              <w:t>23</w:t>
            </w:r>
          </w:p>
        </w:tc>
        <w:tc>
          <w:tcPr>
            <w:tcW w:w="964" w:type="dxa"/>
            <w:vAlign w:val="center"/>
          </w:tcPr>
          <w:p>
            <w:pPr>
              <w:pStyle w:val="12"/>
              <w:rPr>
                <w:rFonts w:hint="default" w:eastAsia="方正书宋_GBK"/>
                <w:lang w:val="en-US" w:eastAsia="zh-CN"/>
              </w:rPr>
            </w:pPr>
            <w:r>
              <w:rPr>
                <w:rFonts w:hint="eastAsia"/>
                <w:lang w:val="en-US" w:eastAsia="zh-CN"/>
              </w:rPr>
              <w:t>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w:t>
      </w:r>
      <w:bookmarkStart w:id="20" w:name="_GoBack"/>
      <w:bookmarkEnd w:id="20"/>
      <w:r>
        <w:rPr>
          <w:rFonts w:ascii="方正书宋_GBK" w:hAnsi="方正书宋_GBK" w:eastAsia="方正书宋_GBK" w:cs="方正书宋_GBK"/>
          <w:color w:val="000000"/>
          <w:sz w:val="21"/>
        </w:rPr>
        <w:t>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中国共产党隆尧县委员会政法委员会（含所属单位）上年末固定资产金额为13.28万元（详见下表）。本年度拟购置固定资产总额为23.00万元，已按要求列入政府采购预算，详见政府采购预算表。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39</w:t>
            </w:r>
          </w:p>
        </w:tc>
        <w:tc>
          <w:tcPr>
            <w:tcW w:w="2835" w:type="dxa"/>
            <w:vAlign w:val="center"/>
          </w:tcPr>
          <w:p>
            <w:pPr>
              <w:pStyle w:val="12"/>
            </w:pPr>
            <w:r>
              <w:t>13.28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B2AA74"/>
    <w:multiLevelType w:val="singleLevel"/>
    <w:tmpl w:val="78B2AA7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kM2Y4ZTdmZDQ4YzkyMmEzMDM2MWJiYjg1YmQxNmEifQ=="/>
  </w:docVars>
  <w:rsids>
    <w:rsidRoot w:val="00000000"/>
    <w:rsid w:val="0A713916"/>
    <w:rsid w:val="0C5A091B"/>
    <w:rsid w:val="1F6F725A"/>
    <w:rsid w:val="227F78B3"/>
    <w:rsid w:val="7F407A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12</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2025-03-01T16:55:00Z</dcterms:created>
  <dc:creator>Administrator</dc:creator>
  <cp:lastModifiedBy>Administrator</cp:lastModifiedBy>
  <dcterms:modified xsi:type="dcterms:W3CDTF">2025-03-03T01:06:33Z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9C498C7D914B45439D4F2F9B0554F36A_13</vt:lpwstr>
  </property>
</Properties>
</file>