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2"/>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r>
      <w:r>
        <w:tab/>
      </w:r>
      <w:r>
        <w:rPr>
          <w:rFonts w:hint="eastAsia"/>
          <w:lang w:val="en-US" w:eastAsia="zh-CN"/>
        </w:rPr>
        <w:t>1</w:t>
      </w:r>
      <w:r>
        <w:fldChar w:fldCharType="end"/>
      </w:r>
      <w:r>
        <w:rPr>
          <w:rFonts w:hint="eastAsia"/>
          <w:lang w:val="en-US" w:eastAsia="zh-CN"/>
        </w:rPr>
        <w:t>7</w:t>
      </w:r>
    </w:p>
    <w:p>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eastAsia="zh-CN"/>
        </w:rPr>
        <w:t>六</w:t>
      </w:r>
      <w:r>
        <w:t>、政府采购预算情况</w:t>
      </w:r>
      <w:r>
        <w:tab/>
      </w:r>
      <w:r>
        <w:rPr>
          <w:rFonts w:hint="eastAsia"/>
          <w:lang w:val="en-US" w:eastAsia="zh-CN"/>
        </w:rPr>
        <w:t>2</w:t>
      </w:r>
      <w:r>
        <w:fldChar w:fldCharType="end"/>
      </w:r>
      <w:r>
        <w:rPr>
          <w:rFonts w:hint="eastAsia"/>
          <w:lang w:val="en-US" w:eastAsia="zh-CN"/>
        </w:rPr>
        <w:t>3</w:t>
      </w:r>
    </w:p>
    <w:p>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2</w:t>
      </w:r>
      <w:r>
        <w:fldChar w:fldCharType="end"/>
      </w:r>
      <w:r>
        <w:rPr>
          <w:rFonts w:hint="eastAsia"/>
          <w:lang w:val="en-US" w:eastAsia="zh-CN"/>
        </w:rPr>
        <w:t>3</w:t>
      </w:r>
    </w:p>
    <w:p>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2</w:t>
      </w:r>
      <w:r>
        <w:fldChar w:fldCharType="end"/>
      </w:r>
      <w:r>
        <w:rPr>
          <w:rFonts w:hint="eastAsia"/>
          <w:lang w:val="en-US" w:eastAsia="zh-CN"/>
        </w:rPr>
        <w:t>4</w:t>
      </w:r>
    </w:p>
    <w:p>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2</w:t>
      </w:r>
      <w:r>
        <w:fldChar w:fldCharType="end"/>
      </w:r>
      <w:r>
        <w:rPr>
          <w:rFonts w:hint="eastAsia"/>
          <w:lang w:val="en-US" w:eastAsia="zh-CN"/>
        </w:rPr>
        <w:t>5</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5"/>
            </w:pPr>
            <w:r>
              <w:t>216中国共产党隆尧县委员会政法委员会</w:t>
            </w:r>
          </w:p>
        </w:tc>
        <w:tc>
          <w:tcPr>
            <w:tcW w:w="2126" w:type="dxa"/>
            <w:tcBorders>
              <w:top w:val="single" w:color="FFFFFF" w:sz="6" w:space="0"/>
              <w:left w:val="single" w:color="FFFFFF" w:sz="6" w:space="0"/>
              <w:right w:val="single" w:color="FFFFFF" w:sz="6" w:space="0"/>
            </w:tcBorders>
            <w:vAlign w:val="center"/>
          </w:tcPr>
          <w:p>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10"/>
            </w:pPr>
            <w:r>
              <w:t>一、一般公共预算拨款收入</w:t>
            </w:r>
          </w:p>
        </w:tc>
        <w:tc>
          <w:tcPr>
            <w:tcW w:w="2126" w:type="dxa"/>
            <w:vAlign w:val="center"/>
          </w:tcPr>
          <w:p>
            <w:pPr>
              <w:pStyle w:val="11"/>
            </w:pPr>
            <w:r>
              <w:t>664.49</w:t>
            </w:r>
          </w:p>
        </w:tc>
        <w:tc>
          <w:tcPr>
            <w:tcW w:w="4535" w:type="dxa"/>
            <w:vAlign w:val="center"/>
          </w:tcPr>
          <w:p>
            <w:pPr>
              <w:pStyle w:val="10"/>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10"/>
            </w:pPr>
            <w:r>
              <w:t>二、政府性基金预算拨款收入</w:t>
            </w:r>
          </w:p>
        </w:tc>
        <w:tc>
          <w:tcPr>
            <w:tcW w:w="2126" w:type="dxa"/>
            <w:vAlign w:val="center"/>
          </w:tcPr>
          <w:p>
            <w:pPr>
              <w:pStyle w:val="11"/>
            </w:pPr>
          </w:p>
        </w:tc>
        <w:tc>
          <w:tcPr>
            <w:tcW w:w="4535" w:type="dxa"/>
            <w:vAlign w:val="center"/>
          </w:tcPr>
          <w:p>
            <w:pPr>
              <w:pStyle w:val="10"/>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10"/>
            </w:pPr>
            <w:r>
              <w:t>三、国有资本经营预算拨款收入</w:t>
            </w:r>
          </w:p>
        </w:tc>
        <w:tc>
          <w:tcPr>
            <w:tcW w:w="2126" w:type="dxa"/>
            <w:vAlign w:val="center"/>
          </w:tcPr>
          <w:p>
            <w:pPr>
              <w:pStyle w:val="11"/>
            </w:pPr>
          </w:p>
        </w:tc>
        <w:tc>
          <w:tcPr>
            <w:tcW w:w="4535" w:type="dxa"/>
            <w:vAlign w:val="center"/>
          </w:tcPr>
          <w:p>
            <w:pPr>
              <w:pStyle w:val="10"/>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10"/>
            </w:pPr>
            <w:r>
              <w:t>四、财政专户管理资金收入</w:t>
            </w:r>
          </w:p>
        </w:tc>
        <w:tc>
          <w:tcPr>
            <w:tcW w:w="2126" w:type="dxa"/>
            <w:vAlign w:val="center"/>
          </w:tcPr>
          <w:p>
            <w:pPr>
              <w:pStyle w:val="11"/>
            </w:pPr>
          </w:p>
        </w:tc>
        <w:tc>
          <w:tcPr>
            <w:tcW w:w="4535" w:type="dxa"/>
            <w:vAlign w:val="center"/>
          </w:tcPr>
          <w:p>
            <w:pPr>
              <w:pStyle w:val="10"/>
            </w:pPr>
            <w:r>
              <w:t>四、公共安全支出</w:t>
            </w:r>
          </w:p>
        </w:tc>
        <w:tc>
          <w:tcPr>
            <w:tcW w:w="2126" w:type="dxa"/>
            <w:vAlign w:val="center"/>
          </w:tcPr>
          <w:p>
            <w:pPr>
              <w:pStyle w:val="11"/>
            </w:pPr>
            <w:r>
              <w:t>624.82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10"/>
            </w:pPr>
            <w:r>
              <w:t>五、单位资金</w:t>
            </w:r>
          </w:p>
        </w:tc>
        <w:tc>
          <w:tcPr>
            <w:tcW w:w="2126" w:type="dxa"/>
            <w:vAlign w:val="center"/>
          </w:tcPr>
          <w:p>
            <w:pPr>
              <w:pStyle w:val="11"/>
            </w:pPr>
          </w:p>
        </w:tc>
        <w:tc>
          <w:tcPr>
            <w:tcW w:w="4535" w:type="dxa"/>
            <w:vAlign w:val="center"/>
          </w:tcPr>
          <w:p>
            <w:pPr>
              <w:pStyle w:val="10"/>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八、社会保障和就业支出</w:t>
            </w:r>
          </w:p>
        </w:tc>
        <w:tc>
          <w:tcPr>
            <w:tcW w:w="2126" w:type="dxa"/>
            <w:vAlign w:val="center"/>
          </w:tcPr>
          <w:p>
            <w:pPr>
              <w:pStyle w:val="11"/>
            </w:pPr>
            <w:r>
              <w:t>18.76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十、卫生健康支出</w:t>
            </w:r>
          </w:p>
        </w:tc>
        <w:tc>
          <w:tcPr>
            <w:tcW w:w="2126" w:type="dxa"/>
            <w:vAlign w:val="center"/>
          </w:tcPr>
          <w:p>
            <w:pPr>
              <w:pStyle w:val="11"/>
            </w:pPr>
            <w:r>
              <w:t>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二十、住房保障支出</w:t>
            </w:r>
          </w:p>
        </w:tc>
        <w:tc>
          <w:tcPr>
            <w:tcW w:w="2126" w:type="dxa"/>
            <w:vAlign w:val="center"/>
          </w:tcPr>
          <w:p>
            <w:pPr>
              <w:pStyle w:val="11"/>
            </w:pPr>
            <w:r>
              <w:t>11.41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0"/>
            </w:pPr>
          </w:p>
        </w:tc>
        <w:tc>
          <w:tcPr>
            <w:tcW w:w="2126" w:type="dxa"/>
            <w:vAlign w:val="center"/>
          </w:tcPr>
          <w:p>
            <w:pPr>
              <w:pStyle w:val="11"/>
            </w:pPr>
          </w:p>
        </w:tc>
        <w:tc>
          <w:tcPr>
            <w:tcW w:w="4535" w:type="dxa"/>
            <w:vAlign w:val="center"/>
          </w:tcPr>
          <w:p>
            <w:pPr>
              <w:pStyle w:val="10"/>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12"/>
            </w:pPr>
            <w:r>
              <w:t>本年收入合计</w:t>
            </w:r>
          </w:p>
        </w:tc>
        <w:tc>
          <w:tcPr>
            <w:tcW w:w="2126" w:type="dxa"/>
            <w:vAlign w:val="center"/>
          </w:tcPr>
          <w:p>
            <w:pPr>
              <w:pStyle w:val="13"/>
            </w:pPr>
            <w:r>
              <w:t>664.49</w:t>
            </w:r>
          </w:p>
        </w:tc>
        <w:tc>
          <w:tcPr>
            <w:tcW w:w="4535" w:type="dxa"/>
            <w:vAlign w:val="center"/>
          </w:tcPr>
          <w:p>
            <w:pPr>
              <w:pStyle w:val="12"/>
            </w:pPr>
            <w:r>
              <w:t>本年支出合计</w:t>
            </w:r>
          </w:p>
        </w:tc>
        <w:tc>
          <w:tcPr>
            <w:tcW w:w="2126" w:type="dxa"/>
            <w:vAlign w:val="center"/>
          </w:tcPr>
          <w:p>
            <w:pPr>
              <w:pStyle w:val="13"/>
            </w:pPr>
            <w:r>
              <w:t>664.49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0"/>
            </w:pPr>
            <w:r>
              <w:t>上年结转结余</w:t>
            </w:r>
          </w:p>
        </w:tc>
        <w:tc>
          <w:tcPr>
            <w:tcW w:w="2126" w:type="dxa"/>
            <w:vAlign w:val="center"/>
          </w:tcPr>
          <w:p>
            <w:pPr>
              <w:pStyle w:val="11"/>
            </w:pPr>
          </w:p>
        </w:tc>
        <w:tc>
          <w:tcPr>
            <w:tcW w:w="4535" w:type="dxa"/>
            <w:vAlign w:val="center"/>
          </w:tcPr>
          <w:p>
            <w:pPr>
              <w:pStyle w:val="10"/>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4535" w:type="dxa"/>
            <w:vAlign w:val="center"/>
          </w:tcPr>
          <w:p>
            <w:pPr>
              <w:pStyle w:val="12"/>
            </w:pPr>
            <w:r>
              <w:t>收入总计</w:t>
            </w:r>
          </w:p>
        </w:tc>
        <w:tc>
          <w:tcPr>
            <w:tcW w:w="2126" w:type="dxa"/>
            <w:vAlign w:val="center"/>
          </w:tcPr>
          <w:p>
            <w:pPr>
              <w:pStyle w:val="13"/>
            </w:pPr>
            <w:r>
              <w:t>664.49</w:t>
            </w:r>
          </w:p>
        </w:tc>
        <w:tc>
          <w:tcPr>
            <w:tcW w:w="4535" w:type="dxa"/>
            <w:vAlign w:val="center"/>
          </w:tcPr>
          <w:p>
            <w:pPr>
              <w:pStyle w:val="12"/>
            </w:pPr>
            <w:r>
              <w:t>支出总计</w:t>
            </w:r>
          </w:p>
        </w:tc>
        <w:tc>
          <w:tcPr>
            <w:tcW w:w="2126" w:type="dxa"/>
            <w:vAlign w:val="center"/>
          </w:tcPr>
          <w:p>
            <w:pPr>
              <w:pStyle w:val="13"/>
            </w:pPr>
            <w:r>
              <w:t>664.49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216中国共产党隆尧县委员会政法委员会</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664.49</w:t>
            </w:r>
          </w:p>
        </w:tc>
        <w:tc>
          <w:tcPr>
            <w:tcW w:w="1134" w:type="dxa"/>
            <w:vAlign w:val="center"/>
          </w:tcPr>
          <w:p>
            <w:pPr>
              <w:pStyle w:val="13"/>
            </w:pPr>
            <w:r>
              <w:t>664.49</w:t>
            </w:r>
          </w:p>
        </w:tc>
        <w:tc>
          <w:tcPr>
            <w:tcW w:w="1134" w:type="dxa"/>
            <w:vAlign w:val="center"/>
          </w:tcPr>
          <w:p>
            <w:pPr>
              <w:pStyle w:val="13"/>
            </w:pPr>
            <w:r>
              <w:t>664.49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10"/>
            </w:pPr>
            <w:r>
              <w:t>204</w:t>
            </w:r>
          </w:p>
        </w:tc>
        <w:tc>
          <w:tcPr>
            <w:tcW w:w="1559" w:type="dxa"/>
            <w:vAlign w:val="center"/>
          </w:tcPr>
          <w:p>
            <w:pPr>
              <w:pStyle w:val="10"/>
            </w:pPr>
            <w:r>
              <w:t>公共安全支出</w:t>
            </w:r>
          </w:p>
        </w:tc>
        <w:tc>
          <w:tcPr>
            <w:tcW w:w="1134" w:type="dxa"/>
            <w:vAlign w:val="center"/>
          </w:tcPr>
          <w:p>
            <w:pPr>
              <w:pStyle w:val="11"/>
            </w:pPr>
            <w:r>
              <w:t>624.82</w:t>
            </w:r>
          </w:p>
        </w:tc>
        <w:tc>
          <w:tcPr>
            <w:tcW w:w="1134" w:type="dxa"/>
            <w:vAlign w:val="center"/>
          </w:tcPr>
          <w:p>
            <w:pPr>
              <w:pStyle w:val="11"/>
            </w:pPr>
            <w:r>
              <w:t>624.82</w:t>
            </w:r>
          </w:p>
        </w:tc>
        <w:tc>
          <w:tcPr>
            <w:tcW w:w="1134" w:type="dxa"/>
            <w:vAlign w:val="center"/>
          </w:tcPr>
          <w:p>
            <w:pPr>
              <w:pStyle w:val="11"/>
            </w:pPr>
            <w:r>
              <w:t>624.82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10"/>
            </w:pPr>
            <w:r>
              <w:t>20402</w:t>
            </w:r>
          </w:p>
        </w:tc>
        <w:tc>
          <w:tcPr>
            <w:tcW w:w="1559" w:type="dxa"/>
            <w:vAlign w:val="center"/>
          </w:tcPr>
          <w:p>
            <w:pPr>
              <w:pStyle w:val="10"/>
            </w:pPr>
            <w:r>
              <w:t>公安</w:t>
            </w:r>
          </w:p>
        </w:tc>
        <w:tc>
          <w:tcPr>
            <w:tcW w:w="1134" w:type="dxa"/>
            <w:vAlign w:val="center"/>
          </w:tcPr>
          <w:p>
            <w:pPr>
              <w:pStyle w:val="11"/>
            </w:pPr>
            <w:r>
              <w:t>624.82</w:t>
            </w:r>
          </w:p>
        </w:tc>
        <w:tc>
          <w:tcPr>
            <w:tcW w:w="1134" w:type="dxa"/>
            <w:vAlign w:val="center"/>
          </w:tcPr>
          <w:p>
            <w:pPr>
              <w:pStyle w:val="11"/>
            </w:pPr>
            <w:r>
              <w:t>624.82</w:t>
            </w:r>
          </w:p>
        </w:tc>
        <w:tc>
          <w:tcPr>
            <w:tcW w:w="1134" w:type="dxa"/>
            <w:vAlign w:val="center"/>
          </w:tcPr>
          <w:p>
            <w:pPr>
              <w:pStyle w:val="11"/>
            </w:pPr>
            <w:r>
              <w:t>624.82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10"/>
            </w:pPr>
            <w:r>
              <w:t>2040299</w:t>
            </w:r>
          </w:p>
        </w:tc>
        <w:tc>
          <w:tcPr>
            <w:tcW w:w="1559" w:type="dxa"/>
            <w:vAlign w:val="center"/>
          </w:tcPr>
          <w:p>
            <w:pPr>
              <w:pStyle w:val="10"/>
            </w:pPr>
            <w:r>
              <w:t>其他公安支出</w:t>
            </w:r>
          </w:p>
        </w:tc>
        <w:tc>
          <w:tcPr>
            <w:tcW w:w="1134" w:type="dxa"/>
            <w:vAlign w:val="center"/>
          </w:tcPr>
          <w:p>
            <w:pPr>
              <w:pStyle w:val="11"/>
            </w:pPr>
            <w:r>
              <w:t>624.82</w:t>
            </w:r>
          </w:p>
        </w:tc>
        <w:tc>
          <w:tcPr>
            <w:tcW w:w="1134" w:type="dxa"/>
            <w:vAlign w:val="center"/>
          </w:tcPr>
          <w:p>
            <w:pPr>
              <w:pStyle w:val="11"/>
            </w:pPr>
            <w:r>
              <w:t>624.82</w:t>
            </w:r>
          </w:p>
        </w:tc>
        <w:tc>
          <w:tcPr>
            <w:tcW w:w="1134" w:type="dxa"/>
            <w:vAlign w:val="center"/>
          </w:tcPr>
          <w:p>
            <w:pPr>
              <w:pStyle w:val="11"/>
            </w:pPr>
            <w:r>
              <w:t>624.82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11"/>
            </w:pPr>
            <w:r>
              <w:t>18.76</w:t>
            </w:r>
          </w:p>
        </w:tc>
        <w:tc>
          <w:tcPr>
            <w:tcW w:w="1134" w:type="dxa"/>
            <w:vAlign w:val="center"/>
          </w:tcPr>
          <w:p>
            <w:pPr>
              <w:pStyle w:val="11"/>
            </w:pPr>
            <w:r>
              <w:t>18.76</w:t>
            </w:r>
          </w:p>
        </w:tc>
        <w:tc>
          <w:tcPr>
            <w:tcW w:w="1134" w:type="dxa"/>
            <w:vAlign w:val="center"/>
          </w:tcPr>
          <w:p>
            <w:pPr>
              <w:pStyle w:val="11"/>
            </w:pPr>
            <w:r>
              <w:t>18.76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11"/>
            </w:pPr>
            <w:r>
              <w:t>18.76</w:t>
            </w:r>
          </w:p>
        </w:tc>
        <w:tc>
          <w:tcPr>
            <w:tcW w:w="1134" w:type="dxa"/>
            <w:vAlign w:val="center"/>
          </w:tcPr>
          <w:p>
            <w:pPr>
              <w:pStyle w:val="11"/>
            </w:pPr>
            <w:r>
              <w:t>18.76</w:t>
            </w:r>
          </w:p>
        </w:tc>
        <w:tc>
          <w:tcPr>
            <w:tcW w:w="1134" w:type="dxa"/>
            <w:vAlign w:val="center"/>
          </w:tcPr>
          <w:p>
            <w:pPr>
              <w:pStyle w:val="11"/>
            </w:pPr>
            <w:r>
              <w:t>18.76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11"/>
            </w:pPr>
            <w:r>
              <w:t>18.76</w:t>
            </w:r>
          </w:p>
        </w:tc>
        <w:tc>
          <w:tcPr>
            <w:tcW w:w="1134" w:type="dxa"/>
            <w:vAlign w:val="center"/>
          </w:tcPr>
          <w:p>
            <w:pPr>
              <w:pStyle w:val="11"/>
            </w:pPr>
            <w:r>
              <w:t>18.76</w:t>
            </w:r>
          </w:p>
        </w:tc>
        <w:tc>
          <w:tcPr>
            <w:tcW w:w="1134" w:type="dxa"/>
            <w:vAlign w:val="center"/>
          </w:tcPr>
          <w:p>
            <w:pPr>
              <w:pStyle w:val="11"/>
            </w:pPr>
            <w:r>
              <w:t>18.76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5"/>
            </w:pPr>
            <w:r>
              <w:t>216中国共产党隆尧县委员会政法委员会</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664.49</w:t>
            </w:r>
          </w:p>
        </w:tc>
        <w:tc>
          <w:tcPr>
            <w:tcW w:w="1361" w:type="dxa"/>
            <w:vAlign w:val="center"/>
          </w:tcPr>
          <w:p>
            <w:pPr>
              <w:pStyle w:val="13"/>
            </w:pPr>
            <w:r>
              <w:t>211.29</w:t>
            </w:r>
          </w:p>
        </w:tc>
        <w:tc>
          <w:tcPr>
            <w:tcW w:w="1361" w:type="dxa"/>
            <w:vAlign w:val="center"/>
          </w:tcPr>
          <w:p>
            <w:pPr>
              <w:pStyle w:val="13"/>
            </w:pPr>
            <w:r>
              <w:t>453.20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10"/>
            </w:pPr>
            <w:r>
              <w:t>204</w:t>
            </w:r>
          </w:p>
        </w:tc>
        <w:tc>
          <w:tcPr>
            <w:tcW w:w="4535" w:type="dxa"/>
            <w:vAlign w:val="center"/>
          </w:tcPr>
          <w:p>
            <w:pPr>
              <w:pStyle w:val="10"/>
            </w:pPr>
            <w:r>
              <w:t>公共安全支出</w:t>
            </w:r>
          </w:p>
        </w:tc>
        <w:tc>
          <w:tcPr>
            <w:tcW w:w="1361" w:type="dxa"/>
            <w:vAlign w:val="center"/>
          </w:tcPr>
          <w:p>
            <w:pPr>
              <w:pStyle w:val="11"/>
            </w:pPr>
            <w:r>
              <w:t>624.82</w:t>
            </w:r>
          </w:p>
        </w:tc>
        <w:tc>
          <w:tcPr>
            <w:tcW w:w="1361" w:type="dxa"/>
            <w:vAlign w:val="center"/>
          </w:tcPr>
          <w:p>
            <w:pPr>
              <w:pStyle w:val="11"/>
            </w:pPr>
            <w:r>
              <w:t>171.62</w:t>
            </w:r>
          </w:p>
        </w:tc>
        <w:tc>
          <w:tcPr>
            <w:tcW w:w="1361" w:type="dxa"/>
            <w:vAlign w:val="center"/>
          </w:tcPr>
          <w:p>
            <w:pPr>
              <w:pStyle w:val="11"/>
            </w:pPr>
            <w:r>
              <w:t>453.20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10"/>
            </w:pPr>
            <w:r>
              <w:t>20402</w:t>
            </w:r>
          </w:p>
        </w:tc>
        <w:tc>
          <w:tcPr>
            <w:tcW w:w="4535" w:type="dxa"/>
            <w:vAlign w:val="center"/>
          </w:tcPr>
          <w:p>
            <w:pPr>
              <w:pStyle w:val="10"/>
            </w:pPr>
            <w:r>
              <w:t>公安</w:t>
            </w:r>
          </w:p>
        </w:tc>
        <w:tc>
          <w:tcPr>
            <w:tcW w:w="1361" w:type="dxa"/>
            <w:vAlign w:val="center"/>
          </w:tcPr>
          <w:p>
            <w:pPr>
              <w:pStyle w:val="11"/>
            </w:pPr>
            <w:r>
              <w:t>624.82</w:t>
            </w:r>
          </w:p>
        </w:tc>
        <w:tc>
          <w:tcPr>
            <w:tcW w:w="1361" w:type="dxa"/>
            <w:vAlign w:val="center"/>
          </w:tcPr>
          <w:p>
            <w:pPr>
              <w:pStyle w:val="11"/>
            </w:pPr>
            <w:r>
              <w:t>171.62</w:t>
            </w:r>
          </w:p>
        </w:tc>
        <w:tc>
          <w:tcPr>
            <w:tcW w:w="1361" w:type="dxa"/>
            <w:vAlign w:val="center"/>
          </w:tcPr>
          <w:p>
            <w:pPr>
              <w:pStyle w:val="11"/>
            </w:pPr>
            <w:r>
              <w:t>453.20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10"/>
            </w:pPr>
            <w:r>
              <w:t>2040299</w:t>
            </w:r>
          </w:p>
        </w:tc>
        <w:tc>
          <w:tcPr>
            <w:tcW w:w="4535" w:type="dxa"/>
            <w:vAlign w:val="center"/>
          </w:tcPr>
          <w:p>
            <w:pPr>
              <w:pStyle w:val="10"/>
            </w:pPr>
            <w:r>
              <w:t>其他公安支出</w:t>
            </w:r>
          </w:p>
        </w:tc>
        <w:tc>
          <w:tcPr>
            <w:tcW w:w="1361" w:type="dxa"/>
            <w:vAlign w:val="center"/>
          </w:tcPr>
          <w:p>
            <w:pPr>
              <w:pStyle w:val="11"/>
            </w:pPr>
            <w:r>
              <w:t>624.82</w:t>
            </w:r>
          </w:p>
        </w:tc>
        <w:tc>
          <w:tcPr>
            <w:tcW w:w="1361" w:type="dxa"/>
            <w:vAlign w:val="center"/>
          </w:tcPr>
          <w:p>
            <w:pPr>
              <w:pStyle w:val="11"/>
            </w:pPr>
            <w:r>
              <w:t>171.62</w:t>
            </w:r>
          </w:p>
        </w:tc>
        <w:tc>
          <w:tcPr>
            <w:tcW w:w="1361" w:type="dxa"/>
            <w:vAlign w:val="center"/>
          </w:tcPr>
          <w:p>
            <w:pPr>
              <w:pStyle w:val="11"/>
            </w:pPr>
            <w:r>
              <w:t>453.20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11"/>
            </w:pPr>
            <w:r>
              <w:t>18.76</w:t>
            </w:r>
          </w:p>
        </w:tc>
        <w:tc>
          <w:tcPr>
            <w:tcW w:w="1361" w:type="dxa"/>
            <w:vAlign w:val="center"/>
          </w:tcPr>
          <w:p>
            <w:pPr>
              <w:pStyle w:val="11"/>
            </w:pPr>
            <w:r>
              <w:t>18.76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11"/>
            </w:pPr>
            <w:r>
              <w:t>18.76</w:t>
            </w:r>
          </w:p>
        </w:tc>
        <w:tc>
          <w:tcPr>
            <w:tcW w:w="1361" w:type="dxa"/>
            <w:vAlign w:val="center"/>
          </w:tcPr>
          <w:p>
            <w:pPr>
              <w:pStyle w:val="11"/>
            </w:pPr>
            <w:r>
              <w:t>18.76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11"/>
            </w:pPr>
            <w:r>
              <w:t>18.76</w:t>
            </w:r>
          </w:p>
        </w:tc>
        <w:tc>
          <w:tcPr>
            <w:tcW w:w="1361" w:type="dxa"/>
            <w:vAlign w:val="center"/>
          </w:tcPr>
          <w:p>
            <w:pPr>
              <w:pStyle w:val="11"/>
            </w:pPr>
            <w:r>
              <w:t>18.76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11"/>
            </w:pPr>
            <w:r>
              <w:t>9.50</w:t>
            </w:r>
          </w:p>
        </w:tc>
        <w:tc>
          <w:tcPr>
            <w:tcW w:w="1361" w:type="dxa"/>
            <w:vAlign w:val="center"/>
          </w:tcPr>
          <w:p>
            <w:pPr>
              <w:pStyle w:val="11"/>
            </w:pPr>
            <w:r>
              <w:t>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11"/>
            </w:pPr>
            <w:r>
              <w:t>9.50</w:t>
            </w:r>
          </w:p>
        </w:tc>
        <w:tc>
          <w:tcPr>
            <w:tcW w:w="1361" w:type="dxa"/>
            <w:vAlign w:val="center"/>
          </w:tcPr>
          <w:p>
            <w:pPr>
              <w:pStyle w:val="11"/>
            </w:pPr>
            <w:r>
              <w:t>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11"/>
            </w:pPr>
            <w:r>
              <w:t>9.50</w:t>
            </w:r>
          </w:p>
        </w:tc>
        <w:tc>
          <w:tcPr>
            <w:tcW w:w="1361" w:type="dxa"/>
            <w:vAlign w:val="center"/>
          </w:tcPr>
          <w:p>
            <w:pPr>
              <w:pStyle w:val="11"/>
            </w:pPr>
            <w:r>
              <w:t>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11"/>
            </w:pPr>
            <w:r>
              <w:t>11.41</w:t>
            </w:r>
          </w:p>
        </w:tc>
        <w:tc>
          <w:tcPr>
            <w:tcW w:w="1361" w:type="dxa"/>
            <w:vAlign w:val="center"/>
          </w:tcPr>
          <w:p>
            <w:pPr>
              <w:pStyle w:val="11"/>
            </w:pPr>
            <w:r>
              <w:t>11.41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11"/>
            </w:pPr>
            <w:r>
              <w:t>11.41</w:t>
            </w:r>
          </w:p>
        </w:tc>
        <w:tc>
          <w:tcPr>
            <w:tcW w:w="1361" w:type="dxa"/>
            <w:vAlign w:val="center"/>
          </w:tcPr>
          <w:p>
            <w:pPr>
              <w:pStyle w:val="11"/>
            </w:pPr>
            <w:r>
              <w:t>11.41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11"/>
            </w:pPr>
            <w:r>
              <w:t>11.41</w:t>
            </w:r>
          </w:p>
        </w:tc>
        <w:tc>
          <w:tcPr>
            <w:tcW w:w="1361" w:type="dxa"/>
            <w:vAlign w:val="center"/>
          </w:tcPr>
          <w:p>
            <w:pPr>
              <w:pStyle w:val="11"/>
            </w:pPr>
            <w:r>
              <w:t>11.41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216中国共产党隆尧县委员会政法委员会</w:t>
            </w:r>
          </w:p>
        </w:tc>
        <w:tc>
          <w:tcPr>
            <w:tcW w:w="3402" w:type="dxa"/>
            <w:tcBorders>
              <w:top w:val="single" w:color="FFFFFF" w:sz="6" w:space="0"/>
              <w:left w:val="single" w:color="FFFFFF" w:sz="6" w:space="0"/>
              <w:right w:val="single" w:color="FFFFFF" w:sz="6" w:space="0"/>
            </w:tcBorders>
            <w:vAlign w:val="center"/>
          </w:tcPr>
          <w:p>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10"/>
            </w:pPr>
            <w:r>
              <w:t>一、一般公共预算拨款</w:t>
            </w:r>
          </w:p>
        </w:tc>
        <w:tc>
          <w:tcPr>
            <w:tcW w:w="1474" w:type="dxa"/>
            <w:vAlign w:val="center"/>
          </w:tcPr>
          <w:p>
            <w:pPr>
              <w:pStyle w:val="11"/>
            </w:pPr>
            <w:r>
              <w:t>664.49</w:t>
            </w:r>
          </w:p>
        </w:tc>
        <w:tc>
          <w:tcPr>
            <w:tcW w:w="3402" w:type="dxa"/>
            <w:vAlign w:val="center"/>
          </w:tcPr>
          <w:p>
            <w:pPr>
              <w:pStyle w:val="10"/>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四、公共安全支出</w:t>
            </w:r>
          </w:p>
        </w:tc>
        <w:tc>
          <w:tcPr>
            <w:tcW w:w="1474" w:type="dxa"/>
            <w:vAlign w:val="center"/>
          </w:tcPr>
          <w:p>
            <w:pPr>
              <w:pStyle w:val="11"/>
            </w:pPr>
            <w:r>
              <w:t>624.82</w:t>
            </w:r>
          </w:p>
        </w:tc>
        <w:tc>
          <w:tcPr>
            <w:tcW w:w="1474" w:type="dxa"/>
            <w:vAlign w:val="center"/>
          </w:tcPr>
          <w:p>
            <w:pPr>
              <w:pStyle w:val="11"/>
            </w:pPr>
            <w:r>
              <w:t>624.82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八、社会保障和就业支出</w:t>
            </w:r>
          </w:p>
        </w:tc>
        <w:tc>
          <w:tcPr>
            <w:tcW w:w="1474" w:type="dxa"/>
            <w:vAlign w:val="center"/>
          </w:tcPr>
          <w:p>
            <w:pPr>
              <w:pStyle w:val="11"/>
            </w:pPr>
            <w:r>
              <w:t>18.76</w:t>
            </w:r>
          </w:p>
        </w:tc>
        <w:tc>
          <w:tcPr>
            <w:tcW w:w="1474" w:type="dxa"/>
            <w:vAlign w:val="center"/>
          </w:tcPr>
          <w:p>
            <w:pPr>
              <w:pStyle w:val="11"/>
            </w:pPr>
            <w:r>
              <w:t>18.76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十、卫生健康支出</w:t>
            </w:r>
          </w:p>
        </w:tc>
        <w:tc>
          <w:tcPr>
            <w:tcW w:w="1474" w:type="dxa"/>
            <w:vAlign w:val="center"/>
          </w:tcPr>
          <w:p>
            <w:pPr>
              <w:pStyle w:val="11"/>
            </w:pPr>
            <w:r>
              <w:t>9.50</w:t>
            </w:r>
          </w:p>
        </w:tc>
        <w:tc>
          <w:tcPr>
            <w:tcW w:w="1474" w:type="dxa"/>
            <w:vAlign w:val="center"/>
          </w:tcPr>
          <w:p>
            <w:pPr>
              <w:pStyle w:val="11"/>
            </w:pPr>
            <w:r>
              <w:t>9.50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二十、住房保障支出</w:t>
            </w:r>
          </w:p>
        </w:tc>
        <w:tc>
          <w:tcPr>
            <w:tcW w:w="1474" w:type="dxa"/>
            <w:vAlign w:val="center"/>
          </w:tcPr>
          <w:p>
            <w:pPr>
              <w:pStyle w:val="11"/>
            </w:pPr>
            <w:r>
              <w:t>11.41</w:t>
            </w:r>
          </w:p>
        </w:tc>
        <w:tc>
          <w:tcPr>
            <w:tcW w:w="1474" w:type="dxa"/>
            <w:vAlign w:val="center"/>
          </w:tcPr>
          <w:p>
            <w:pPr>
              <w:pStyle w:val="11"/>
            </w:pPr>
            <w:r>
              <w:t>11.41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10"/>
            </w:pPr>
          </w:p>
        </w:tc>
        <w:tc>
          <w:tcPr>
            <w:tcW w:w="1474" w:type="dxa"/>
            <w:vAlign w:val="center"/>
          </w:tcPr>
          <w:p>
            <w:pPr>
              <w:pStyle w:val="11"/>
            </w:pPr>
          </w:p>
        </w:tc>
        <w:tc>
          <w:tcPr>
            <w:tcW w:w="3402" w:type="dxa"/>
            <w:vAlign w:val="center"/>
          </w:tcPr>
          <w:p>
            <w:pPr>
              <w:pStyle w:val="10"/>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12"/>
            </w:pPr>
            <w:r>
              <w:t>本年收入合计</w:t>
            </w:r>
          </w:p>
        </w:tc>
        <w:tc>
          <w:tcPr>
            <w:tcW w:w="1474" w:type="dxa"/>
            <w:vAlign w:val="center"/>
          </w:tcPr>
          <w:p>
            <w:pPr>
              <w:pStyle w:val="13"/>
            </w:pPr>
            <w:r>
              <w:t>664.49</w:t>
            </w:r>
          </w:p>
        </w:tc>
        <w:tc>
          <w:tcPr>
            <w:tcW w:w="3402" w:type="dxa"/>
            <w:vAlign w:val="center"/>
          </w:tcPr>
          <w:p>
            <w:pPr>
              <w:pStyle w:val="12"/>
            </w:pPr>
            <w:r>
              <w:t>本年支出合计</w:t>
            </w:r>
          </w:p>
        </w:tc>
        <w:tc>
          <w:tcPr>
            <w:tcW w:w="1474" w:type="dxa"/>
            <w:vAlign w:val="center"/>
          </w:tcPr>
          <w:p>
            <w:pPr>
              <w:pStyle w:val="13"/>
            </w:pPr>
            <w:r>
              <w:t>664.49</w:t>
            </w:r>
          </w:p>
        </w:tc>
        <w:tc>
          <w:tcPr>
            <w:tcW w:w="1474" w:type="dxa"/>
            <w:vAlign w:val="center"/>
          </w:tcPr>
          <w:p>
            <w:pPr>
              <w:pStyle w:val="13"/>
            </w:pPr>
            <w:r>
              <w:t>664.49</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10"/>
            </w:pPr>
            <w:r>
              <w:t>年初财政拨款结转和结余</w:t>
            </w:r>
          </w:p>
        </w:tc>
        <w:tc>
          <w:tcPr>
            <w:tcW w:w="1474" w:type="dxa"/>
            <w:vAlign w:val="center"/>
          </w:tcPr>
          <w:p>
            <w:pPr>
              <w:pStyle w:val="11"/>
            </w:pPr>
          </w:p>
        </w:tc>
        <w:tc>
          <w:tcPr>
            <w:tcW w:w="3402" w:type="dxa"/>
            <w:vAlign w:val="center"/>
          </w:tcPr>
          <w:p>
            <w:pPr>
              <w:pStyle w:val="10"/>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10"/>
            </w:pPr>
            <w:r>
              <w:t>一、一般公共预算拨款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10"/>
            </w:pPr>
            <w:r>
              <w:t>二、政府性基金预算拨款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10"/>
            </w:pPr>
            <w:r>
              <w:t>三、国有资本经营预算拨款</w:t>
            </w:r>
          </w:p>
        </w:tc>
        <w:tc>
          <w:tcPr>
            <w:tcW w:w="1474" w:type="dxa"/>
            <w:vAlign w:val="center"/>
          </w:tcPr>
          <w:p>
            <w:pPr>
              <w:pStyle w:val="11"/>
            </w:pPr>
          </w:p>
        </w:tc>
        <w:tc>
          <w:tcPr>
            <w:tcW w:w="3402" w:type="dxa"/>
            <w:vAlign w:val="center"/>
          </w:tcPr>
          <w:p>
            <w:pPr>
              <w:pStyle w:val="10"/>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37</w:t>
            </w:r>
          </w:p>
        </w:tc>
        <w:tc>
          <w:tcPr>
            <w:tcW w:w="3402" w:type="dxa"/>
            <w:vAlign w:val="center"/>
          </w:tcPr>
          <w:p>
            <w:pPr>
              <w:pStyle w:val="12"/>
            </w:pPr>
            <w:r>
              <w:t>收入总计</w:t>
            </w:r>
          </w:p>
        </w:tc>
        <w:tc>
          <w:tcPr>
            <w:tcW w:w="1474" w:type="dxa"/>
            <w:vAlign w:val="center"/>
          </w:tcPr>
          <w:p>
            <w:pPr>
              <w:pStyle w:val="13"/>
            </w:pPr>
            <w:r>
              <w:t>664.49</w:t>
            </w:r>
          </w:p>
        </w:tc>
        <w:tc>
          <w:tcPr>
            <w:tcW w:w="3402" w:type="dxa"/>
            <w:vAlign w:val="center"/>
          </w:tcPr>
          <w:p>
            <w:pPr>
              <w:pStyle w:val="12"/>
            </w:pPr>
            <w:r>
              <w:t>支出总计</w:t>
            </w:r>
          </w:p>
        </w:tc>
        <w:tc>
          <w:tcPr>
            <w:tcW w:w="1474" w:type="dxa"/>
            <w:vAlign w:val="center"/>
          </w:tcPr>
          <w:p>
            <w:pPr>
              <w:pStyle w:val="13"/>
            </w:pPr>
            <w:r>
              <w:t>664.49</w:t>
            </w:r>
          </w:p>
        </w:tc>
        <w:tc>
          <w:tcPr>
            <w:tcW w:w="1474" w:type="dxa"/>
            <w:vAlign w:val="center"/>
          </w:tcPr>
          <w:p>
            <w:pPr>
              <w:pStyle w:val="13"/>
            </w:pPr>
            <w:r>
              <w:t>664.49</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664.49</w:t>
            </w:r>
          </w:p>
        </w:tc>
        <w:tc>
          <w:tcPr>
            <w:tcW w:w="2551" w:type="dxa"/>
            <w:vAlign w:val="center"/>
          </w:tcPr>
          <w:p>
            <w:pPr>
              <w:pStyle w:val="13"/>
            </w:pPr>
            <w:r>
              <w:t>211.29</w:t>
            </w:r>
          </w:p>
        </w:tc>
        <w:tc>
          <w:tcPr>
            <w:tcW w:w="2551" w:type="dxa"/>
            <w:vAlign w:val="center"/>
          </w:tcPr>
          <w:p>
            <w:pPr>
              <w:pStyle w:val="13"/>
            </w:pPr>
            <w:r>
              <w:t>453.20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204</w:t>
            </w:r>
          </w:p>
        </w:tc>
        <w:tc>
          <w:tcPr>
            <w:tcW w:w="4535" w:type="dxa"/>
            <w:vAlign w:val="center"/>
          </w:tcPr>
          <w:p>
            <w:pPr>
              <w:pStyle w:val="10"/>
            </w:pPr>
            <w:r>
              <w:t>公共安全支出</w:t>
            </w:r>
          </w:p>
        </w:tc>
        <w:tc>
          <w:tcPr>
            <w:tcW w:w="2551" w:type="dxa"/>
            <w:vAlign w:val="center"/>
          </w:tcPr>
          <w:p>
            <w:pPr>
              <w:pStyle w:val="11"/>
            </w:pPr>
            <w:r>
              <w:t>624.82</w:t>
            </w:r>
          </w:p>
        </w:tc>
        <w:tc>
          <w:tcPr>
            <w:tcW w:w="2551" w:type="dxa"/>
            <w:vAlign w:val="center"/>
          </w:tcPr>
          <w:p>
            <w:pPr>
              <w:pStyle w:val="11"/>
            </w:pPr>
            <w:r>
              <w:t>171.62</w:t>
            </w:r>
          </w:p>
        </w:tc>
        <w:tc>
          <w:tcPr>
            <w:tcW w:w="2551" w:type="dxa"/>
            <w:vAlign w:val="center"/>
          </w:tcPr>
          <w:p>
            <w:pPr>
              <w:pStyle w:val="11"/>
            </w:pPr>
            <w:r>
              <w:t>453.20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20402</w:t>
            </w:r>
          </w:p>
        </w:tc>
        <w:tc>
          <w:tcPr>
            <w:tcW w:w="4535" w:type="dxa"/>
            <w:vAlign w:val="center"/>
          </w:tcPr>
          <w:p>
            <w:pPr>
              <w:pStyle w:val="10"/>
            </w:pPr>
            <w:r>
              <w:t>公安</w:t>
            </w:r>
          </w:p>
        </w:tc>
        <w:tc>
          <w:tcPr>
            <w:tcW w:w="2551" w:type="dxa"/>
            <w:vAlign w:val="center"/>
          </w:tcPr>
          <w:p>
            <w:pPr>
              <w:pStyle w:val="11"/>
            </w:pPr>
            <w:r>
              <w:t>624.82</w:t>
            </w:r>
          </w:p>
        </w:tc>
        <w:tc>
          <w:tcPr>
            <w:tcW w:w="2551" w:type="dxa"/>
            <w:vAlign w:val="center"/>
          </w:tcPr>
          <w:p>
            <w:pPr>
              <w:pStyle w:val="11"/>
            </w:pPr>
            <w:r>
              <w:t>171.62</w:t>
            </w:r>
          </w:p>
        </w:tc>
        <w:tc>
          <w:tcPr>
            <w:tcW w:w="2551" w:type="dxa"/>
            <w:vAlign w:val="center"/>
          </w:tcPr>
          <w:p>
            <w:pPr>
              <w:pStyle w:val="11"/>
            </w:pPr>
            <w:r>
              <w:t>453.20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2040299</w:t>
            </w:r>
          </w:p>
        </w:tc>
        <w:tc>
          <w:tcPr>
            <w:tcW w:w="4535" w:type="dxa"/>
            <w:vAlign w:val="center"/>
          </w:tcPr>
          <w:p>
            <w:pPr>
              <w:pStyle w:val="10"/>
            </w:pPr>
            <w:r>
              <w:t>其他公安支出</w:t>
            </w:r>
          </w:p>
        </w:tc>
        <w:tc>
          <w:tcPr>
            <w:tcW w:w="2551" w:type="dxa"/>
            <w:vAlign w:val="center"/>
          </w:tcPr>
          <w:p>
            <w:pPr>
              <w:pStyle w:val="11"/>
            </w:pPr>
            <w:r>
              <w:t>624.82</w:t>
            </w:r>
          </w:p>
        </w:tc>
        <w:tc>
          <w:tcPr>
            <w:tcW w:w="2551" w:type="dxa"/>
            <w:vAlign w:val="center"/>
          </w:tcPr>
          <w:p>
            <w:pPr>
              <w:pStyle w:val="11"/>
            </w:pPr>
            <w:r>
              <w:t>171.62</w:t>
            </w:r>
          </w:p>
        </w:tc>
        <w:tc>
          <w:tcPr>
            <w:tcW w:w="2551" w:type="dxa"/>
            <w:vAlign w:val="center"/>
          </w:tcPr>
          <w:p>
            <w:pPr>
              <w:pStyle w:val="11"/>
            </w:pPr>
            <w:r>
              <w:t>453.20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11"/>
            </w:pPr>
            <w:r>
              <w:t>18.76</w:t>
            </w:r>
          </w:p>
        </w:tc>
        <w:tc>
          <w:tcPr>
            <w:tcW w:w="2551" w:type="dxa"/>
            <w:vAlign w:val="center"/>
          </w:tcPr>
          <w:p>
            <w:pPr>
              <w:pStyle w:val="11"/>
            </w:pPr>
            <w:r>
              <w:t>18.76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11"/>
            </w:pPr>
            <w:r>
              <w:t>18.76</w:t>
            </w:r>
          </w:p>
        </w:tc>
        <w:tc>
          <w:tcPr>
            <w:tcW w:w="2551" w:type="dxa"/>
            <w:vAlign w:val="center"/>
          </w:tcPr>
          <w:p>
            <w:pPr>
              <w:pStyle w:val="11"/>
            </w:pPr>
            <w:r>
              <w:t>18.76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11"/>
            </w:pPr>
            <w:r>
              <w:t>18.76</w:t>
            </w:r>
          </w:p>
        </w:tc>
        <w:tc>
          <w:tcPr>
            <w:tcW w:w="2551" w:type="dxa"/>
            <w:vAlign w:val="center"/>
          </w:tcPr>
          <w:p>
            <w:pPr>
              <w:pStyle w:val="11"/>
            </w:pPr>
            <w:r>
              <w:t>18.76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11"/>
            </w:pPr>
            <w:r>
              <w:t>9.50</w:t>
            </w:r>
          </w:p>
        </w:tc>
        <w:tc>
          <w:tcPr>
            <w:tcW w:w="2551" w:type="dxa"/>
            <w:vAlign w:val="center"/>
          </w:tcPr>
          <w:p>
            <w:pPr>
              <w:pStyle w:val="11"/>
            </w:pPr>
            <w:r>
              <w:t>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11"/>
            </w:pPr>
            <w:r>
              <w:t>9.50</w:t>
            </w:r>
          </w:p>
        </w:tc>
        <w:tc>
          <w:tcPr>
            <w:tcW w:w="2551" w:type="dxa"/>
            <w:vAlign w:val="center"/>
          </w:tcPr>
          <w:p>
            <w:pPr>
              <w:pStyle w:val="11"/>
            </w:pPr>
            <w:r>
              <w:t>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11"/>
            </w:pPr>
            <w:r>
              <w:t>9.50</w:t>
            </w:r>
          </w:p>
        </w:tc>
        <w:tc>
          <w:tcPr>
            <w:tcW w:w="2551" w:type="dxa"/>
            <w:vAlign w:val="center"/>
          </w:tcPr>
          <w:p>
            <w:pPr>
              <w:pStyle w:val="11"/>
            </w:pPr>
            <w:r>
              <w:t>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11"/>
            </w:pPr>
            <w:r>
              <w:t>11.41</w:t>
            </w:r>
          </w:p>
        </w:tc>
        <w:tc>
          <w:tcPr>
            <w:tcW w:w="2551" w:type="dxa"/>
            <w:vAlign w:val="center"/>
          </w:tcPr>
          <w:p>
            <w:pPr>
              <w:pStyle w:val="11"/>
            </w:pPr>
            <w:r>
              <w:t>11.41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11"/>
            </w:pPr>
            <w:r>
              <w:t>11.41</w:t>
            </w:r>
          </w:p>
        </w:tc>
        <w:tc>
          <w:tcPr>
            <w:tcW w:w="2551" w:type="dxa"/>
            <w:vAlign w:val="center"/>
          </w:tcPr>
          <w:p>
            <w:pPr>
              <w:pStyle w:val="11"/>
            </w:pPr>
            <w:r>
              <w:t>11.41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11"/>
            </w:pPr>
            <w:r>
              <w:t>11.41</w:t>
            </w:r>
          </w:p>
        </w:tc>
        <w:tc>
          <w:tcPr>
            <w:tcW w:w="2551" w:type="dxa"/>
            <w:vAlign w:val="center"/>
          </w:tcPr>
          <w:p>
            <w:pPr>
              <w:pStyle w:val="11"/>
            </w:pPr>
            <w:r>
              <w:t>11.41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w:t>
            </w:r>
            <w:r>
              <w:rPr>
                <w:rFonts w:hint="eastAsia"/>
                <w:lang w:eastAsia="zh-CN"/>
              </w:rPr>
              <w:t>单位</w:t>
            </w:r>
            <w:r>
              <w:t>经济分类科目</w:t>
            </w:r>
          </w:p>
        </w:tc>
        <w:tc>
          <w:tcPr>
            <w:tcW w:w="7653" w:type="dxa"/>
            <w:gridSpan w:val="3"/>
            <w:vAlign w:val="center"/>
          </w:tcPr>
          <w:p>
            <w:pPr>
              <w:pStyle w:val="8"/>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211.29</w:t>
            </w:r>
          </w:p>
        </w:tc>
        <w:tc>
          <w:tcPr>
            <w:tcW w:w="2551" w:type="dxa"/>
            <w:vAlign w:val="center"/>
          </w:tcPr>
          <w:p>
            <w:pPr>
              <w:pStyle w:val="13"/>
            </w:pPr>
            <w:r>
              <w:t>197.85</w:t>
            </w:r>
          </w:p>
        </w:tc>
        <w:tc>
          <w:tcPr>
            <w:tcW w:w="2551" w:type="dxa"/>
            <w:vAlign w:val="center"/>
          </w:tcPr>
          <w:p>
            <w:pPr>
              <w:pStyle w:val="13"/>
            </w:pPr>
            <w:r>
              <w:t>13.44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11"/>
            </w:pPr>
            <w:r>
              <w:t>189.49</w:t>
            </w:r>
          </w:p>
        </w:tc>
        <w:tc>
          <w:tcPr>
            <w:tcW w:w="2551" w:type="dxa"/>
            <w:vAlign w:val="center"/>
          </w:tcPr>
          <w:p>
            <w:pPr>
              <w:pStyle w:val="11"/>
            </w:pPr>
            <w:r>
              <w:t>189.49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11"/>
            </w:pPr>
            <w:r>
              <w:t>85.39</w:t>
            </w:r>
          </w:p>
        </w:tc>
        <w:tc>
          <w:tcPr>
            <w:tcW w:w="2551" w:type="dxa"/>
            <w:vAlign w:val="center"/>
          </w:tcPr>
          <w:p>
            <w:pPr>
              <w:pStyle w:val="11"/>
            </w:pPr>
            <w:r>
              <w:t>85.39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11"/>
            </w:pPr>
            <w:r>
              <w:t>41.01</w:t>
            </w:r>
          </w:p>
        </w:tc>
        <w:tc>
          <w:tcPr>
            <w:tcW w:w="2551" w:type="dxa"/>
            <w:vAlign w:val="center"/>
          </w:tcPr>
          <w:p>
            <w:pPr>
              <w:pStyle w:val="11"/>
            </w:pPr>
            <w:r>
              <w:t>41.01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11"/>
            </w:pPr>
            <w:r>
              <w:t>11.88</w:t>
            </w:r>
          </w:p>
        </w:tc>
        <w:tc>
          <w:tcPr>
            <w:tcW w:w="2551" w:type="dxa"/>
            <w:vAlign w:val="center"/>
          </w:tcPr>
          <w:p>
            <w:pPr>
              <w:pStyle w:val="11"/>
            </w:pPr>
            <w:r>
              <w:t>11.88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11"/>
            </w:pPr>
            <w:r>
              <w:t>18.76</w:t>
            </w:r>
          </w:p>
        </w:tc>
        <w:tc>
          <w:tcPr>
            <w:tcW w:w="2551" w:type="dxa"/>
            <w:vAlign w:val="center"/>
          </w:tcPr>
          <w:p>
            <w:pPr>
              <w:pStyle w:val="11"/>
            </w:pPr>
            <w:r>
              <w:t>18.76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11"/>
            </w:pPr>
            <w:r>
              <w:t>9.50</w:t>
            </w:r>
          </w:p>
        </w:tc>
        <w:tc>
          <w:tcPr>
            <w:tcW w:w="2551" w:type="dxa"/>
            <w:vAlign w:val="center"/>
          </w:tcPr>
          <w:p>
            <w:pPr>
              <w:pStyle w:val="11"/>
            </w:pPr>
            <w:r>
              <w:t>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11"/>
            </w:pPr>
            <w:r>
              <w:t>0.93</w:t>
            </w:r>
          </w:p>
        </w:tc>
        <w:tc>
          <w:tcPr>
            <w:tcW w:w="2551" w:type="dxa"/>
            <w:vAlign w:val="center"/>
          </w:tcPr>
          <w:p>
            <w:pPr>
              <w:pStyle w:val="11"/>
            </w:pPr>
            <w:r>
              <w:t>0.93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11"/>
            </w:pPr>
            <w:r>
              <w:t>11.41</w:t>
            </w:r>
          </w:p>
        </w:tc>
        <w:tc>
          <w:tcPr>
            <w:tcW w:w="2551" w:type="dxa"/>
            <w:vAlign w:val="center"/>
          </w:tcPr>
          <w:p>
            <w:pPr>
              <w:pStyle w:val="11"/>
            </w:pPr>
            <w:r>
              <w:t>11.41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10"/>
            </w:pPr>
            <w:r>
              <w:t>30199</w:t>
            </w:r>
          </w:p>
        </w:tc>
        <w:tc>
          <w:tcPr>
            <w:tcW w:w="4535" w:type="dxa"/>
            <w:vAlign w:val="center"/>
          </w:tcPr>
          <w:p>
            <w:pPr>
              <w:pStyle w:val="10"/>
            </w:pPr>
            <w:r>
              <w:t>其他工资福利支出</w:t>
            </w:r>
          </w:p>
        </w:tc>
        <w:tc>
          <w:tcPr>
            <w:tcW w:w="2551" w:type="dxa"/>
            <w:vAlign w:val="center"/>
          </w:tcPr>
          <w:p>
            <w:pPr>
              <w:pStyle w:val="11"/>
            </w:pPr>
            <w:r>
              <w:t>0.60</w:t>
            </w:r>
          </w:p>
        </w:tc>
        <w:tc>
          <w:tcPr>
            <w:tcW w:w="2551" w:type="dxa"/>
            <w:vAlign w:val="center"/>
          </w:tcPr>
          <w:p>
            <w:pPr>
              <w:pStyle w:val="11"/>
            </w:pPr>
            <w:r>
              <w:t>0.60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11"/>
            </w:pPr>
            <w:r>
              <w:t>13.44</w:t>
            </w:r>
          </w:p>
        </w:tc>
        <w:tc>
          <w:tcPr>
            <w:tcW w:w="2551" w:type="dxa"/>
            <w:vAlign w:val="center"/>
          </w:tcPr>
          <w:p>
            <w:pPr>
              <w:pStyle w:val="11"/>
            </w:pPr>
          </w:p>
        </w:tc>
        <w:tc>
          <w:tcPr>
            <w:tcW w:w="2551" w:type="dxa"/>
            <w:vAlign w:val="center"/>
          </w:tcPr>
          <w:p>
            <w:pPr>
              <w:pStyle w:val="11"/>
            </w:pPr>
            <w:r>
              <w:t>13.44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11"/>
            </w:pPr>
            <w:r>
              <w:t>1.26</w:t>
            </w:r>
          </w:p>
        </w:tc>
        <w:tc>
          <w:tcPr>
            <w:tcW w:w="2551" w:type="dxa"/>
            <w:vAlign w:val="center"/>
          </w:tcPr>
          <w:p>
            <w:pPr>
              <w:pStyle w:val="11"/>
            </w:pPr>
          </w:p>
        </w:tc>
        <w:tc>
          <w:tcPr>
            <w:tcW w:w="2551" w:type="dxa"/>
            <w:vAlign w:val="center"/>
          </w:tcPr>
          <w:p>
            <w:pPr>
              <w:pStyle w:val="11"/>
            </w:pPr>
            <w:r>
              <w:t>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10"/>
            </w:pPr>
            <w:r>
              <w:t>30205</w:t>
            </w:r>
          </w:p>
        </w:tc>
        <w:tc>
          <w:tcPr>
            <w:tcW w:w="4535" w:type="dxa"/>
            <w:vAlign w:val="center"/>
          </w:tcPr>
          <w:p>
            <w:pPr>
              <w:pStyle w:val="10"/>
            </w:pPr>
            <w:r>
              <w:t>水费</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11"/>
            </w:pPr>
            <w:r>
              <w:t>1.60</w:t>
            </w:r>
          </w:p>
        </w:tc>
        <w:tc>
          <w:tcPr>
            <w:tcW w:w="2551" w:type="dxa"/>
            <w:vAlign w:val="center"/>
          </w:tcPr>
          <w:p>
            <w:pPr>
              <w:pStyle w:val="11"/>
            </w:pPr>
          </w:p>
        </w:tc>
        <w:tc>
          <w:tcPr>
            <w:tcW w:w="2551" w:type="dxa"/>
            <w:vAlign w:val="center"/>
          </w:tcPr>
          <w:p>
            <w:pPr>
              <w:pStyle w:val="11"/>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11"/>
            </w:pPr>
            <w:r>
              <w:t>0.36</w:t>
            </w:r>
          </w:p>
        </w:tc>
        <w:tc>
          <w:tcPr>
            <w:tcW w:w="2551" w:type="dxa"/>
            <w:vAlign w:val="center"/>
          </w:tcPr>
          <w:p>
            <w:pPr>
              <w:pStyle w:val="11"/>
            </w:pPr>
          </w:p>
        </w:tc>
        <w:tc>
          <w:tcPr>
            <w:tcW w:w="2551" w:type="dxa"/>
            <w:vAlign w:val="center"/>
          </w:tcPr>
          <w:p>
            <w:pPr>
              <w:pStyle w:val="11"/>
            </w:pPr>
            <w:r>
              <w:t>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11"/>
            </w:pPr>
            <w:r>
              <w:t>0.52</w:t>
            </w:r>
          </w:p>
        </w:tc>
        <w:tc>
          <w:tcPr>
            <w:tcW w:w="2551" w:type="dxa"/>
            <w:vAlign w:val="center"/>
          </w:tcPr>
          <w:p>
            <w:pPr>
              <w:pStyle w:val="11"/>
            </w:pPr>
          </w:p>
        </w:tc>
        <w:tc>
          <w:tcPr>
            <w:tcW w:w="2551" w:type="dxa"/>
            <w:vAlign w:val="center"/>
          </w:tcPr>
          <w:p>
            <w:pPr>
              <w:pStyle w:val="11"/>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11"/>
            </w:pPr>
            <w:r>
              <w:t>0.36</w:t>
            </w:r>
          </w:p>
        </w:tc>
        <w:tc>
          <w:tcPr>
            <w:tcW w:w="2551" w:type="dxa"/>
            <w:vAlign w:val="center"/>
          </w:tcPr>
          <w:p>
            <w:pPr>
              <w:pStyle w:val="11"/>
            </w:pPr>
          </w:p>
        </w:tc>
        <w:tc>
          <w:tcPr>
            <w:tcW w:w="2551" w:type="dxa"/>
            <w:vAlign w:val="center"/>
          </w:tcPr>
          <w:p>
            <w:pPr>
              <w:pStyle w:val="11"/>
            </w:pPr>
            <w:r>
              <w:t>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11"/>
            </w:pPr>
            <w:r>
              <w:t>8.64</w:t>
            </w:r>
          </w:p>
        </w:tc>
        <w:tc>
          <w:tcPr>
            <w:tcW w:w="2551" w:type="dxa"/>
            <w:vAlign w:val="center"/>
          </w:tcPr>
          <w:p>
            <w:pPr>
              <w:pStyle w:val="11"/>
            </w:pPr>
          </w:p>
        </w:tc>
        <w:tc>
          <w:tcPr>
            <w:tcW w:w="2551" w:type="dxa"/>
            <w:vAlign w:val="center"/>
          </w:tcPr>
          <w:p>
            <w:pPr>
              <w:pStyle w:val="11"/>
            </w:pPr>
            <w:r>
              <w:t>8.64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11"/>
            </w:pPr>
            <w:r>
              <w:t>8.37</w:t>
            </w:r>
          </w:p>
        </w:tc>
        <w:tc>
          <w:tcPr>
            <w:tcW w:w="2551" w:type="dxa"/>
            <w:vAlign w:val="center"/>
          </w:tcPr>
          <w:p>
            <w:pPr>
              <w:pStyle w:val="11"/>
            </w:pPr>
            <w:r>
              <w:t>8.37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11"/>
            </w:pPr>
            <w:r>
              <w:t>8.37</w:t>
            </w:r>
          </w:p>
        </w:tc>
        <w:tc>
          <w:tcPr>
            <w:tcW w:w="2551" w:type="dxa"/>
            <w:vAlign w:val="center"/>
          </w:tcPr>
          <w:p>
            <w:pPr>
              <w:pStyle w:val="11"/>
            </w:pPr>
            <w:r>
              <w:t>8.37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10"/>
            </w:pPr>
          </w:p>
        </w:tc>
        <w:tc>
          <w:tcPr>
            <w:tcW w:w="4535" w:type="dxa"/>
            <w:vAlign w:val="center"/>
          </w:tcPr>
          <w:p>
            <w:pPr>
              <w:pStyle w:val="10"/>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5"/>
            </w:pPr>
            <w:r>
              <w:t>216中国共产党隆尧县委员会政法委员会</w:t>
            </w:r>
          </w:p>
        </w:tc>
        <w:tc>
          <w:tcPr>
            <w:tcW w:w="2381" w:type="dxa"/>
            <w:tcBorders>
              <w:top w:val="single" w:color="FFFFFF" w:sz="6" w:space="0"/>
              <w:left w:val="single" w:color="FFFFFF" w:sz="6" w:space="0"/>
              <w:right w:val="single" w:color="FFFFFF" w:sz="6" w:space="0"/>
            </w:tcBorders>
            <w:vAlign w:val="center"/>
          </w:tcPr>
          <w:p>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9"/>
            </w:pPr>
          </w:p>
        </w:tc>
        <w:tc>
          <w:tcPr>
            <w:tcW w:w="3798" w:type="dxa"/>
            <w:vAlign w:val="center"/>
          </w:tcPr>
          <w:p>
            <w:pPr>
              <w:pStyle w:val="10"/>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中国共产党隆尧县委员会政法委员会2025年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中国共产党隆尧县委员会政法委员会2025年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按照《中华人民共和国预算法》、《地方预决算公开操作规程》和《关于进一步推进预算公开工作的实施意见》规定，现将中国共产党隆尧县委员会政法委员会2025年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autoSpaceDE w:val="0"/>
        <w:autoSpaceDN w:val="0"/>
        <w:adjustRightInd w:val="0"/>
        <w:snapToGrid w:val="0"/>
        <w:spacing w:line="600" w:lineRule="atLeast"/>
        <w:ind w:firstLine="643" w:firstLineChars="200"/>
        <w:rPr>
          <w:rFonts w:ascii="Times New Roman" w:hAnsi="Times New Roman" w:eastAsia="方正仿宋_GBK" w:cs="Times New Roman"/>
          <w:color w:val="000000"/>
          <w:sz w:val="28"/>
        </w:rPr>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r>
        <w:rPr>
          <w:rFonts w:hint="eastAsia" w:ascii="Times New Roman" w:hAnsi="Times New Roman" w:eastAsia="方正仿宋_GBK" w:cs="Times New Roman"/>
          <w:color w:val="000000"/>
          <w:sz w:val="28"/>
          <w:lang w:val="zh-CN"/>
        </w:rPr>
        <w:t>县委政法委是县委主管政法方面工作的综合职能</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lang w:val="zh-CN"/>
        </w:rPr>
        <w:t>;</w:t>
      </w:r>
      <w:r>
        <w:rPr>
          <w:rFonts w:hint="eastAsia" w:ascii="Times New Roman" w:hAnsi="Times New Roman" w:eastAsia="方正仿宋_GBK" w:cs="Times New Roman"/>
          <w:color w:val="000000"/>
          <w:sz w:val="28"/>
          <w:lang w:val="zh-CN"/>
        </w:rPr>
        <w:t>主要职责是</w:t>
      </w:r>
      <w:r>
        <w:rPr>
          <w:rFonts w:ascii="Times New Roman" w:hAnsi="Times New Roman" w:eastAsia="方正仿宋_GBK" w:cs="Times New Roman"/>
          <w:color w:val="000000"/>
          <w:sz w:val="28"/>
          <w:lang w:val="zh-CN"/>
        </w:rPr>
        <w:t>:</w:t>
      </w:r>
      <w:r>
        <w:rPr>
          <w:rFonts w:hint="eastAsia" w:ascii="Times New Roman" w:hAnsi="Times New Roman" w:eastAsia="方正仿宋_GBK" w:cs="Times New Roman"/>
          <w:color w:val="000000"/>
          <w:sz w:val="28"/>
        </w:rPr>
        <w:t>贯彻落实中央和省、市委有关政法工作、政法干部队伍建设和社会治安综合治理工作的方针、政策、指示，根据上级政法委员会、社会治安综合治理委员会和县委、县政府的部署，指导政法各部门和综合治理成员单位的工作。围绕县委、县政府改革和发展的中心工作，对一定时期内的政法工作和社会治安综合治理工作作出部署，并督促贯彻落实；参与依法治县方针的实施。组织、协调、指导维护社会稳定工作，督促有关部门抓好落实。组织开展政法工作和社会治安综合治理工作调查研究，提出政法工作改革和加强社会治安综合治理工作的意见。检查监督政法部门执行法律法规和党的方针政策的情况，研究制定严肃执法、落实党的方针政策的具体措施，督促纠正执法中存在的问题，协助有关部门查处执法中的违法违纪问题。支持、监督政法各部门依法行使职权，组织查处地方和部门保护主义及非法干涉、干预和影响政法干警依法执行公务的事件；督促、协调政法各部门密切配合查处大案要案，研究、协调有争议的重大、疑难案件；指导全县政法部门信访工作。组织协调社会治安综合治理工作，研究制定并督促落实社会治安综合治理的有关措施。研究制定加强政法干部队伍建设的措施；组织指导政法部门干部队伍的教育管理和培训工作。组织、指导有关部门开展政法、综治宣传工作，推广政法、综合治理工作的先进经验，表彰政法、综合治理工作的先进单位和先进个人。</w:t>
      </w:r>
    </w:p>
    <w:p>
      <w:pPr>
        <w:autoSpaceDE w:val="0"/>
        <w:autoSpaceDN w:val="0"/>
        <w:adjustRightInd w:val="0"/>
        <w:snapToGrid w:val="0"/>
        <w:spacing w:line="600" w:lineRule="atLeast"/>
        <w:ind w:firstLine="643" w:firstLineChars="200"/>
        <w:rPr>
          <w:rFonts w:hint="eastAsia" w:ascii="Times New Roman" w:hAnsi="Times New Roman" w:eastAsia="方正仿宋_GBK" w:cs="Times New Roman"/>
          <w:color w:val="000000"/>
          <w:sz w:val="28"/>
        </w:rPr>
      </w:pPr>
      <w:r>
        <w:rPr>
          <w:rFonts w:ascii="方正楷体_GBK" w:hAnsi="方正楷体_GBK" w:eastAsia="方正楷体_GBK" w:cs="方正楷体_GBK"/>
          <w:b/>
          <w:color w:val="000000"/>
          <w:sz w:val="32"/>
        </w:rPr>
        <w:t>机构设置：</w:t>
      </w:r>
      <w:r>
        <w:rPr>
          <w:rFonts w:hint="eastAsia" w:ascii="Times New Roman" w:hAnsi="Times New Roman" w:eastAsia="方正仿宋_GBK" w:cs="Times New Roman"/>
          <w:color w:val="000000"/>
          <w:sz w:val="28"/>
        </w:rPr>
        <w:t>根据上述职责，政法委设5个内设机构：分别是办公室、法治执法监督股、维稳指导股、综治督导股、反邪教协调股。</w:t>
      </w:r>
    </w:p>
    <w:p>
      <w:pPr>
        <w:autoSpaceDE w:val="0"/>
        <w:autoSpaceDN w:val="0"/>
        <w:adjustRightInd w:val="0"/>
        <w:snapToGrid w:val="0"/>
        <w:spacing w:line="600" w:lineRule="atLeast"/>
        <w:ind w:firstLine="560" w:firstLineChars="200"/>
        <w:rPr>
          <w:rFonts w:hint="eastAsia" w:ascii="Times New Roman" w:hAnsi="Times New Roman" w:eastAsia="方正仿宋_GBK" w:cs="Times New Roman"/>
          <w:color w:val="000000"/>
          <w:sz w:val="28"/>
        </w:rPr>
      </w:pP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中国共产党隆尧县委员会政法委员会本级</w:t>
            </w:r>
          </w:p>
        </w:tc>
        <w:tc>
          <w:tcPr>
            <w:tcW w:w="1843" w:type="dxa"/>
            <w:vAlign w:val="center"/>
          </w:tcPr>
          <w:p>
            <w:pPr>
              <w:pStyle w:val="9"/>
            </w:pPr>
            <w:r>
              <w:t>行政</w:t>
            </w:r>
          </w:p>
        </w:tc>
        <w:tc>
          <w:tcPr>
            <w:tcW w:w="2126" w:type="dxa"/>
            <w:vAlign w:val="center"/>
          </w:tcPr>
          <w:p>
            <w:pPr>
              <w:pStyle w:val="9"/>
            </w:pPr>
            <w:r>
              <w:t>正科级</w:t>
            </w:r>
          </w:p>
        </w:tc>
        <w:tc>
          <w:tcPr>
            <w:tcW w:w="3827" w:type="dxa"/>
            <w:vAlign w:val="center"/>
          </w:tcPr>
          <w:p>
            <w:pPr>
              <w:pStyle w:val="9"/>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pStyle w:val="15"/>
      </w:pPr>
      <w:r>
        <w:rPr>
          <w:rFonts w:hint="eastAsia"/>
          <w:lang w:eastAsia="zh-CN"/>
        </w:rPr>
        <w:t>单位</w:t>
      </w:r>
      <w:r>
        <w:t>预算安排的总体情况</w:t>
      </w:r>
    </w:p>
    <w:p>
      <w:pPr>
        <w:pStyle w:val="15"/>
      </w:pPr>
      <w:r>
        <w:t>按照预算管理有关规定，目前我省</w:t>
      </w:r>
      <w:r>
        <w:rPr>
          <w:rFonts w:hint="eastAsia"/>
          <w:lang w:eastAsia="zh-CN"/>
        </w:rPr>
        <w:t>单位</w:t>
      </w:r>
      <w:r>
        <w:t>预算的编制实行综合预算管理，即全部收入和支出都反映的预算中。中共隆尧县委政法委员会的收支包含在</w:t>
      </w:r>
      <w:r>
        <w:rPr>
          <w:rFonts w:hint="eastAsia"/>
          <w:lang w:eastAsia="zh-CN"/>
        </w:rPr>
        <w:t>单位</w:t>
      </w:r>
      <w:r>
        <w:t>预算中。</w:t>
      </w:r>
    </w:p>
    <w:p>
      <w:pPr>
        <w:pStyle w:val="15"/>
      </w:pPr>
      <w:r>
        <w:t>1、收入说明</w:t>
      </w:r>
    </w:p>
    <w:p>
      <w:pPr>
        <w:pStyle w:val="15"/>
      </w:pPr>
      <w:r>
        <w:t>反映本单位当年全部收入。2025年预算收入664.49万元，其中：一般公共预算收入664.49万元，基金预算收入0万元，财政专户核拨收入0万元，其他来源收入0万元。</w:t>
      </w:r>
    </w:p>
    <w:p>
      <w:pPr>
        <w:pStyle w:val="15"/>
      </w:pPr>
      <w:r>
        <w:t>2、支出说明</w:t>
      </w:r>
    </w:p>
    <w:p>
      <w:pPr>
        <w:pStyle w:val="15"/>
      </w:pPr>
      <w:r>
        <w:t>收支预算总表支出栏、基本支出表、项目支出表按经济分类和支出功能分类科目编制，反映中共隆尧县委政法委员会年度</w:t>
      </w:r>
      <w:r>
        <w:rPr>
          <w:rFonts w:hint="eastAsia"/>
          <w:lang w:eastAsia="zh-CN"/>
        </w:rPr>
        <w:t>单位</w:t>
      </w:r>
      <w:r>
        <w:t>预算中支出预算的总体情况。2025年</w:t>
      </w:r>
      <w:r>
        <w:rPr>
          <w:rFonts w:hint="eastAsia"/>
          <w:lang w:eastAsia="zh-CN"/>
        </w:rPr>
        <w:t>单位</w:t>
      </w:r>
      <w:r>
        <w:t>支出预算为664.49万元，其中基本支出211.29万元，包括人员经费197.85万元和日常公用经费13.44万元；项目支出453.20万元，主要为基层治理“织网”专项行动项目300万元；综治视联网经费72.48万元；综治经费（含扫黑除恶）17.5万元；政法网经费14.88万元；铁路护路经费2.5万元；精神障碍监护人责任险和以奖代补经费45.84万元。</w:t>
      </w:r>
    </w:p>
    <w:p>
      <w:pPr>
        <w:pStyle w:val="15"/>
      </w:pPr>
      <w:r>
        <w:t>3、比上年增减情况</w:t>
      </w:r>
    </w:p>
    <w:p>
      <w:pPr>
        <w:pStyle w:val="15"/>
      </w:pPr>
      <w:r>
        <w:t>2025年</w:t>
      </w:r>
      <w:r>
        <w:rPr>
          <w:rFonts w:hint="eastAsia"/>
          <w:lang w:eastAsia="zh-CN"/>
        </w:rPr>
        <w:t>单位</w:t>
      </w:r>
      <w:r>
        <w:t>预算收支安排664.49万元，较2024年增加198.47万元，其中：基本支出增加41.4万元，主要是人员经费增加所至；项目支出增加157.07万元，主要为本年度基层治理“织网”专项行动项目增加所至。</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16"/>
      </w:pPr>
      <w:r>
        <w:t>2025年，我</w:t>
      </w:r>
      <w:r>
        <w:rPr>
          <w:rFonts w:hint="eastAsia"/>
          <w:lang w:eastAsia="zh-CN"/>
        </w:rPr>
        <w:t>单位</w:t>
      </w:r>
      <w:r>
        <w:t>机关运行经费共计安排13.44万元，主要用于保证单位正常运转的办公支出。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7"/>
      </w:pPr>
      <w:r>
        <w:t>2025年，我</w:t>
      </w:r>
      <w:r>
        <w:rPr>
          <w:rFonts w:hint="eastAsia"/>
          <w:lang w:eastAsia="zh-CN"/>
        </w:rPr>
        <w:t>单位</w:t>
      </w:r>
      <w:r>
        <w:t>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line="360" w:lineRule="auto"/>
        <w:ind w:firstLine="640"/>
        <w:jc w:val="left"/>
        <w:outlineLvl w:val="2"/>
        <w:rPr>
          <w:rFonts w:hint="eastAsia" w:ascii="黑体" w:hAnsi="黑体" w:eastAsia="黑体" w:cs="黑体"/>
          <w:color w:val="000000"/>
          <w:sz w:val="32"/>
          <w:lang w:eastAsia="zh-CN"/>
        </w:rPr>
      </w:pPr>
      <w:bookmarkStart w:id="13" w:name="_Toc_3_3_0000000016"/>
    </w:p>
    <w:p>
      <w:pPr>
        <w:spacing w:before="10" w:after="10" w:line="360" w:lineRule="auto"/>
        <w:ind w:firstLine="640"/>
        <w:jc w:val="left"/>
        <w:outlineLvl w:val="2"/>
        <w:rPr>
          <w:rFonts w:hint="eastAsia" w:ascii="黑体" w:hAnsi="黑体" w:eastAsia="黑体" w:cs="黑体"/>
          <w:color w:val="000000"/>
          <w:sz w:val="32"/>
          <w:lang w:eastAsia="zh-CN"/>
        </w:rPr>
      </w:pPr>
    </w:p>
    <w:p>
      <w:pPr>
        <w:spacing w:before="10" w:after="10" w:line="360" w:lineRule="auto"/>
        <w:ind w:firstLine="640"/>
        <w:jc w:val="left"/>
        <w:outlineLvl w:val="2"/>
        <w:rPr>
          <w:rFonts w:hint="eastAsia" w:ascii="黑体" w:hAnsi="黑体" w:eastAsia="黑体" w:cs="黑体"/>
          <w:color w:val="000000"/>
          <w:sz w:val="32"/>
          <w:lang w:eastAsia="zh-CN"/>
        </w:r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3"/>
    </w:p>
    <w:p>
      <w:pPr>
        <w:spacing w:before="0" w:after="0"/>
        <w:ind w:firstLine="560"/>
        <w:jc w:val="left"/>
        <w:outlineLvl w:val="9"/>
      </w:pPr>
      <w:r>
        <w:rPr>
          <w:rFonts w:ascii="方正仿宋_GBK" w:hAnsi="方正仿宋_GBK" w:eastAsia="方正仿宋_GBK" w:cs="方正仿宋_GBK"/>
          <w:color w:val="000000"/>
          <w:sz w:val="28"/>
        </w:rPr>
        <w:t>1、基层治理“织网”专项行动项目绩效目标表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276"/>
        <w:gridCol w:w="1425"/>
        <w:gridCol w:w="2675"/>
        <w:gridCol w:w="255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13052525P000039101255</w:t>
            </w:r>
          </w:p>
        </w:tc>
        <w:tc>
          <w:tcPr>
            <w:tcW w:w="2276" w:type="dxa"/>
            <w:vAlign w:val="center"/>
          </w:tcPr>
          <w:p>
            <w:pPr>
              <w:pStyle w:val="8"/>
            </w:pPr>
            <w:r>
              <w:t>项目名称</w:t>
            </w:r>
          </w:p>
        </w:tc>
        <w:tc>
          <w:tcPr>
            <w:tcW w:w="6654" w:type="dxa"/>
            <w:gridSpan w:val="3"/>
            <w:vAlign w:val="center"/>
          </w:tcPr>
          <w:p>
            <w:pPr>
              <w:pStyle w:val="10"/>
            </w:pPr>
            <w:r>
              <w:t>基层治理“织网”专项行动项目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300.00</w:t>
            </w:r>
          </w:p>
        </w:tc>
        <w:tc>
          <w:tcPr>
            <w:tcW w:w="2276" w:type="dxa"/>
            <w:vAlign w:val="center"/>
          </w:tcPr>
          <w:p>
            <w:pPr>
              <w:pStyle w:val="8"/>
            </w:pPr>
            <w:r>
              <w:t>其中：财政    资金</w:t>
            </w:r>
          </w:p>
        </w:tc>
        <w:tc>
          <w:tcPr>
            <w:tcW w:w="1425" w:type="dxa"/>
            <w:vAlign w:val="center"/>
          </w:tcPr>
          <w:p>
            <w:pPr>
              <w:pStyle w:val="10"/>
            </w:pPr>
            <w:r>
              <w:t>300.00</w:t>
            </w:r>
          </w:p>
        </w:tc>
        <w:tc>
          <w:tcPr>
            <w:tcW w:w="2675" w:type="dxa"/>
            <w:vAlign w:val="center"/>
          </w:tcPr>
          <w:p>
            <w:pPr>
              <w:pStyle w:val="8"/>
            </w:pPr>
            <w:r>
              <w:t>其他资金</w:t>
            </w:r>
          </w:p>
        </w:tc>
        <w:tc>
          <w:tcPr>
            <w:tcW w:w="2554"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用于社情民意管理服务平台建设、网络安全服务提升、网格员基础津贴等。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276" w:type="dxa"/>
            <w:vAlign w:val="center"/>
          </w:tcPr>
          <w:p>
            <w:pPr>
              <w:pStyle w:val="8"/>
            </w:pPr>
            <w:r>
              <w:t>6月底</w:t>
            </w:r>
          </w:p>
        </w:tc>
        <w:tc>
          <w:tcPr>
            <w:tcW w:w="1425" w:type="dxa"/>
            <w:vAlign w:val="center"/>
          </w:tcPr>
          <w:p>
            <w:pPr>
              <w:pStyle w:val="8"/>
            </w:pPr>
            <w:r>
              <w:t>10月底</w:t>
            </w:r>
          </w:p>
        </w:tc>
        <w:tc>
          <w:tcPr>
            <w:tcW w:w="5229"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20%</w:t>
            </w:r>
          </w:p>
        </w:tc>
        <w:tc>
          <w:tcPr>
            <w:tcW w:w="2276" w:type="dxa"/>
            <w:vAlign w:val="center"/>
          </w:tcPr>
          <w:p>
            <w:pPr>
              <w:pStyle w:val="9"/>
            </w:pPr>
            <w:r>
              <w:t>45%</w:t>
            </w:r>
          </w:p>
        </w:tc>
        <w:tc>
          <w:tcPr>
            <w:tcW w:w="1425" w:type="dxa"/>
            <w:vAlign w:val="center"/>
          </w:tcPr>
          <w:p>
            <w:pPr>
              <w:pStyle w:val="9"/>
            </w:pPr>
            <w:r>
              <w:t>80%</w:t>
            </w:r>
          </w:p>
        </w:tc>
        <w:tc>
          <w:tcPr>
            <w:tcW w:w="5229"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1.动态掌握网格情况，及时上报信息，维护社会稳定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726"/>
        <w:gridCol w:w="2625"/>
        <w:gridCol w:w="257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3726" w:type="dxa"/>
            <w:vAlign w:val="center"/>
          </w:tcPr>
          <w:p>
            <w:pPr>
              <w:pStyle w:val="8"/>
            </w:pPr>
            <w:r>
              <w:t>绩效指标描述</w:t>
            </w:r>
          </w:p>
        </w:tc>
        <w:tc>
          <w:tcPr>
            <w:tcW w:w="2625" w:type="dxa"/>
            <w:vAlign w:val="center"/>
          </w:tcPr>
          <w:p>
            <w:pPr>
              <w:pStyle w:val="8"/>
            </w:pPr>
            <w:r>
              <w:t>指标值</w:t>
            </w:r>
          </w:p>
        </w:tc>
        <w:tc>
          <w:tcPr>
            <w:tcW w:w="2579"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建设社情民意管理服务平台</w:t>
            </w:r>
          </w:p>
        </w:tc>
        <w:tc>
          <w:tcPr>
            <w:tcW w:w="3726" w:type="dxa"/>
            <w:vAlign w:val="center"/>
          </w:tcPr>
          <w:p>
            <w:pPr>
              <w:pStyle w:val="10"/>
            </w:pPr>
            <w:r>
              <w:t>建成社情民意管理服务平台</w:t>
            </w:r>
          </w:p>
        </w:tc>
        <w:tc>
          <w:tcPr>
            <w:tcW w:w="2625" w:type="dxa"/>
            <w:vAlign w:val="center"/>
          </w:tcPr>
          <w:p>
            <w:pPr>
              <w:pStyle w:val="10"/>
            </w:pPr>
            <w:r>
              <w:t>1</w:t>
            </w:r>
          </w:p>
        </w:tc>
        <w:tc>
          <w:tcPr>
            <w:tcW w:w="2579" w:type="dxa"/>
            <w:vAlign w:val="center"/>
          </w:tcPr>
          <w:p>
            <w:pPr>
              <w:pStyle w:val="10"/>
            </w:pPr>
            <w:r>
              <w:t>隆尧县基层治理“织网”重点任务实施方案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保障平台运行</w:t>
            </w:r>
          </w:p>
        </w:tc>
        <w:tc>
          <w:tcPr>
            <w:tcW w:w="3726" w:type="dxa"/>
            <w:vAlign w:val="center"/>
          </w:tcPr>
          <w:p>
            <w:pPr>
              <w:pStyle w:val="10"/>
            </w:pPr>
            <w:r>
              <w:t>保障平台运行</w:t>
            </w:r>
          </w:p>
        </w:tc>
        <w:tc>
          <w:tcPr>
            <w:tcW w:w="2625" w:type="dxa"/>
            <w:vAlign w:val="center"/>
          </w:tcPr>
          <w:p>
            <w:pPr>
              <w:pStyle w:val="10"/>
            </w:pPr>
            <w:r>
              <w:t>平稳运行</w:t>
            </w:r>
          </w:p>
        </w:tc>
        <w:tc>
          <w:tcPr>
            <w:tcW w:w="2579" w:type="dxa"/>
            <w:vAlign w:val="center"/>
          </w:tcPr>
          <w:p>
            <w:pPr>
              <w:pStyle w:val="10"/>
            </w:pPr>
            <w:r>
              <w:t>隆尧县基层治理“织网”重点任务实施方案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完成率</w:t>
            </w:r>
          </w:p>
        </w:tc>
        <w:tc>
          <w:tcPr>
            <w:tcW w:w="3726" w:type="dxa"/>
            <w:vAlign w:val="center"/>
          </w:tcPr>
          <w:p>
            <w:pPr>
              <w:pStyle w:val="10"/>
            </w:pPr>
            <w:r>
              <w:t>按照日常巡查进度完成</w:t>
            </w:r>
          </w:p>
        </w:tc>
        <w:tc>
          <w:tcPr>
            <w:tcW w:w="2625" w:type="dxa"/>
            <w:vAlign w:val="center"/>
          </w:tcPr>
          <w:p>
            <w:pPr>
              <w:pStyle w:val="10"/>
            </w:pPr>
            <w:r>
              <w:t>≥100%</w:t>
            </w:r>
          </w:p>
        </w:tc>
        <w:tc>
          <w:tcPr>
            <w:tcW w:w="2579" w:type="dxa"/>
            <w:vAlign w:val="center"/>
          </w:tcPr>
          <w:p>
            <w:pPr>
              <w:pStyle w:val="10"/>
            </w:pPr>
            <w:r>
              <w:t>隆尧县基层治理“织网”重点任务实施方案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项目费用</w:t>
            </w:r>
          </w:p>
        </w:tc>
        <w:tc>
          <w:tcPr>
            <w:tcW w:w="3726" w:type="dxa"/>
            <w:vAlign w:val="center"/>
          </w:tcPr>
          <w:p>
            <w:pPr>
              <w:pStyle w:val="10"/>
            </w:pPr>
            <w:r>
              <w:t>项目预算金额</w:t>
            </w:r>
          </w:p>
        </w:tc>
        <w:tc>
          <w:tcPr>
            <w:tcW w:w="2625" w:type="dxa"/>
            <w:vAlign w:val="center"/>
          </w:tcPr>
          <w:p>
            <w:pPr>
              <w:pStyle w:val="10"/>
            </w:pPr>
            <w:r>
              <w:t>控制在预算数内</w:t>
            </w:r>
          </w:p>
        </w:tc>
        <w:tc>
          <w:tcPr>
            <w:tcW w:w="2579" w:type="dxa"/>
            <w:vAlign w:val="center"/>
          </w:tcPr>
          <w:p>
            <w:pPr>
              <w:pStyle w:val="10"/>
            </w:pPr>
            <w:r>
              <w:t>隆尧县基层治理“织网”重点任务实施方案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提高社会治理水平</w:t>
            </w:r>
          </w:p>
        </w:tc>
        <w:tc>
          <w:tcPr>
            <w:tcW w:w="3726" w:type="dxa"/>
            <w:vAlign w:val="center"/>
          </w:tcPr>
          <w:p>
            <w:pPr>
              <w:pStyle w:val="10"/>
            </w:pPr>
            <w:r>
              <w:t>提高社会治理水平</w:t>
            </w:r>
          </w:p>
        </w:tc>
        <w:tc>
          <w:tcPr>
            <w:tcW w:w="2625" w:type="dxa"/>
            <w:vAlign w:val="center"/>
          </w:tcPr>
          <w:p>
            <w:pPr>
              <w:pStyle w:val="10"/>
            </w:pPr>
            <w:r>
              <w:t>有效提高</w:t>
            </w:r>
          </w:p>
        </w:tc>
        <w:tc>
          <w:tcPr>
            <w:tcW w:w="2579" w:type="dxa"/>
            <w:vAlign w:val="center"/>
          </w:tcPr>
          <w:p>
            <w:pPr>
              <w:pStyle w:val="10"/>
            </w:pPr>
            <w:r>
              <w:t>隆尧县基层治理“织网”重点任务实施方案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3726" w:type="dxa"/>
            <w:vAlign w:val="center"/>
          </w:tcPr>
          <w:p>
            <w:pPr>
              <w:pStyle w:val="10"/>
            </w:pPr>
            <w:r>
              <w:t>群众满意度</w:t>
            </w:r>
          </w:p>
        </w:tc>
        <w:tc>
          <w:tcPr>
            <w:tcW w:w="2625" w:type="dxa"/>
            <w:vAlign w:val="center"/>
          </w:tcPr>
          <w:p>
            <w:pPr>
              <w:pStyle w:val="10"/>
            </w:pPr>
            <w:r>
              <w:t>≥95%</w:t>
            </w:r>
          </w:p>
        </w:tc>
        <w:tc>
          <w:tcPr>
            <w:tcW w:w="2579" w:type="dxa"/>
            <w:vAlign w:val="center"/>
          </w:tcPr>
          <w:p>
            <w:pPr>
              <w:pStyle w:val="10"/>
            </w:pPr>
            <w:r>
              <w:t>隆尧县基层治理“织网”重点任务实施方案</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2、精神障碍监护人责任险和以奖代补经费绩效目标表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1603"/>
        <w:gridCol w:w="2450"/>
        <w:gridCol w:w="2042"/>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13052525P00003310010U</w:t>
            </w:r>
          </w:p>
        </w:tc>
        <w:tc>
          <w:tcPr>
            <w:tcW w:w="2835" w:type="dxa"/>
            <w:vAlign w:val="center"/>
          </w:tcPr>
          <w:p>
            <w:pPr>
              <w:pStyle w:val="8"/>
            </w:pPr>
            <w:r>
              <w:t>项目名称</w:t>
            </w:r>
          </w:p>
        </w:tc>
        <w:tc>
          <w:tcPr>
            <w:tcW w:w="6095" w:type="dxa"/>
            <w:gridSpan w:val="3"/>
            <w:vAlign w:val="center"/>
          </w:tcPr>
          <w:p>
            <w:pPr>
              <w:pStyle w:val="10"/>
            </w:pPr>
            <w:r>
              <w:t>精神障碍监护人责任险和以奖代补经费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45.84</w:t>
            </w:r>
          </w:p>
        </w:tc>
        <w:tc>
          <w:tcPr>
            <w:tcW w:w="2835" w:type="dxa"/>
            <w:vAlign w:val="center"/>
          </w:tcPr>
          <w:p>
            <w:pPr>
              <w:pStyle w:val="8"/>
            </w:pPr>
            <w:r>
              <w:t>其中：财政    资金</w:t>
            </w:r>
          </w:p>
        </w:tc>
        <w:tc>
          <w:tcPr>
            <w:tcW w:w="1603" w:type="dxa"/>
            <w:vAlign w:val="center"/>
          </w:tcPr>
          <w:p>
            <w:pPr>
              <w:pStyle w:val="10"/>
            </w:pPr>
            <w:r>
              <w:t>45.84</w:t>
            </w:r>
          </w:p>
        </w:tc>
        <w:tc>
          <w:tcPr>
            <w:tcW w:w="2450" w:type="dxa"/>
            <w:vAlign w:val="center"/>
          </w:tcPr>
          <w:p>
            <w:pPr>
              <w:pStyle w:val="8"/>
            </w:pPr>
            <w:r>
              <w:t>其他资金</w:t>
            </w:r>
          </w:p>
        </w:tc>
        <w:tc>
          <w:tcPr>
            <w:tcW w:w="2042"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按时投保精神障碍患者监护人责任险发放以奖代补经费，促进和谐稳定。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1603" w:type="dxa"/>
            <w:vAlign w:val="center"/>
          </w:tcPr>
          <w:p>
            <w:pPr>
              <w:pStyle w:val="8"/>
            </w:pPr>
            <w:r>
              <w:t>10月底</w:t>
            </w:r>
          </w:p>
        </w:tc>
        <w:tc>
          <w:tcPr>
            <w:tcW w:w="4492"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50%</w:t>
            </w:r>
          </w:p>
        </w:tc>
        <w:tc>
          <w:tcPr>
            <w:tcW w:w="2835" w:type="dxa"/>
            <w:vAlign w:val="center"/>
          </w:tcPr>
          <w:p>
            <w:pPr>
              <w:pStyle w:val="9"/>
            </w:pPr>
            <w:r>
              <w:t>75%</w:t>
            </w:r>
          </w:p>
        </w:tc>
        <w:tc>
          <w:tcPr>
            <w:tcW w:w="1603" w:type="dxa"/>
            <w:vAlign w:val="center"/>
          </w:tcPr>
          <w:p>
            <w:pPr>
              <w:pStyle w:val="9"/>
            </w:pPr>
            <w:r>
              <w:t>75%</w:t>
            </w:r>
          </w:p>
        </w:tc>
        <w:tc>
          <w:tcPr>
            <w:tcW w:w="4492"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1.按时投保精神障碍患者监护人责任险发放以奖代补经费，促进和谐稳定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13"/>
        <w:gridCol w:w="2450"/>
        <w:gridCol w:w="206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4413" w:type="dxa"/>
            <w:vAlign w:val="center"/>
          </w:tcPr>
          <w:p>
            <w:pPr>
              <w:pStyle w:val="8"/>
            </w:pPr>
            <w:r>
              <w:t>绩效指标描述</w:t>
            </w:r>
          </w:p>
        </w:tc>
        <w:tc>
          <w:tcPr>
            <w:tcW w:w="2450" w:type="dxa"/>
            <w:vAlign w:val="center"/>
          </w:tcPr>
          <w:p>
            <w:pPr>
              <w:pStyle w:val="8"/>
            </w:pPr>
            <w:r>
              <w:t>指标值</w:t>
            </w:r>
          </w:p>
        </w:tc>
        <w:tc>
          <w:tcPr>
            <w:tcW w:w="2067"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补助资金支付率</w:t>
            </w:r>
          </w:p>
        </w:tc>
        <w:tc>
          <w:tcPr>
            <w:tcW w:w="4413" w:type="dxa"/>
            <w:vAlign w:val="center"/>
          </w:tcPr>
          <w:p>
            <w:pPr>
              <w:pStyle w:val="10"/>
            </w:pPr>
            <w:r>
              <w:t>补助资金到位后，及时支付相关人员</w:t>
            </w:r>
          </w:p>
        </w:tc>
        <w:tc>
          <w:tcPr>
            <w:tcW w:w="2450" w:type="dxa"/>
            <w:vAlign w:val="center"/>
          </w:tcPr>
          <w:p>
            <w:pPr>
              <w:pStyle w:val="10"/>
            </w:pPr>
            <w:r>
              <w:t>≥100%</w:t>
            </w:r>
          </w:p>
        </w:tc>
        <w:tc>
          <w:tcPr>
            <w:tcW w:w="2067" w:type="dxa"/>
            <w:vAlign w:val="center"/>
          </w:tcPr>
          <w:p>
            <w:pPr>
              <w:pStyle w:val="10"/>
            </w:pPr>
            <w:r>
              <w:t>邢综治办【2016】2号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补助发放覆盖率</w:t>
            </w:r>
          </w:p>
        </w:tc>
        <w:tc>
          <w:tcPr>
            <w:tcW w:w="4413" w:type="dxa"/>
            <w:vAlign w:val="center"/>
          </w:tcPr>
          <w:p>
            <w:pPr>
              <w:pStyle w:val="10"/>
            </w:pPr>
            <w:r>
              <w:t>补助发放覆盖率</w:t>
            </w:r>
          </w:p>
        </w:tc>
        <w:tc>
          <w:tcPr>
            <w:tcW w:w="2450" w:type="dxa"/>
            <w:vAlign w:val="center"/>
          </w:tcPr>
          <w:p>
            <w:pPr>
              <w:pStyle w:val="10"/>
            </w:pPr>
            <w:r>
              <w:t>≥100%</w:t>
            </w:r>
          </w:p>
        </w:tc>
        <w:tc>
          <w:tcPr>
            <w:tcW w:w="2067" w:type="dxa"/>
            <w:vAlign w:val="center"/>
          </w:tcPr>
          <w:p>
            <w:pPr>
              <w:pStyle w:val="10"/>
            </w:pPr>
            <w:r>
              <w:t>邢综治办【2016】2号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按期完成率</w:t>
            </w:r>
          </w:p>
        </w:tc>
        <w:tc>
          <w:tcPr>
            <w:tcW w:w="4413" w:type="dxa"/>
            <w:vAlign w:val="center"/>
          </w:tcPr>
          <w:p>
            <w:pPr>
              <w:pStyle w:val="10"/>
            </w:pPr>
            <w:r>
              <w:t>按期完成率</w:t>
            </w:r>
          </w:p>
        </w:tc>
        <w:tc>
          <w:tcPr>
            <w:tcW w:w="2450" w:type="dxa"/>
            <w:vAlign w:val="center"/>
          </w:tcPr>
          <w:p>
            <w:pPr>
              <w:pStyle w:val="10"/>
            </w:pPr>
            <w:r>
              <w:t>≥100%</w:t>
            </w:r>
          </w:p>
        </w:tc>
        <w:tc>
          <w:tcPr>
            <w:tcW w:w="2067" w:type="dxa"/>
            <w:vAlign w:val="center"/>
          </w:tcPr>
          <w:p>
            <w:pPr>
              <w:pStyle w:val="10"/>
            </w:pPr>
            <w:r>
              <w:t>邢综治办【2016】2号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经费使用率(%)</w:t>
            </w:r>
          </w:p>
        </w:tc>
        <w:tc>
          <w:tcPr>
            <w:tcW w:w="4413" w:type="dxa"/>
            <w:vAlign w:val="center"/>
          </w:tcPr>
          <w:p>
            <w:pPr>
              <w:pStyle w:val="10"/>
            </w:pPr>
            <w:r>
              <w:t>经费使用率(%)</w:t>
            </w:r>
          </w:p>
        </w:tc>
        <w:tc>
          <w:tcPr>
            <w:tcW w:w="2450" w:type="dxa"/>
            <w:vAlign w:val="center"/>
          </w:tcPr>
          <w:p>
            <w:pPr>
              <w:pStyle w:val="10"/>
            </w:pPr>
            <w:r>
              <w:t>≥100%</w:t>
            </w:r>
          </w:p>
        </w:tc>
        <w:tc>
          <w:tcPr>
            <w:tcW w:w="2067" w:type="dxa"/>
            <w:vAlign w:val="center"/>
          </w:tcPr>
          <w:p>
            <w:pPr>
              <w:pStyle w:val="10"/>
            </w:pPr>
            <w:r>
              <w:t>邢综治办【2016】2号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困难群众生活水平提升情况</w:t>
            </w:r>
          </w:p>
        </w:tc>
        <w:tc>
          <w:tcPr>
            <w:tcW w:w="4413" w:type="dxa"/>
            <w:vAlign w:val="center"/>
          </w:tcPr>
          <w:p>
            <w:pPr>
              <w:pStyle w:val="10"/>
            </w:pPr>
            <w:r>
              <w:t>困难群众生活水平提升情况</w:t>
            </w:r>
          </w:p>
        </w:tc>
        <w:tc>
          <w:tcPr>
            <w:tcW w:w="2450" w:type="dxa"/>
            <w:vAlign w:val="center"/>
          </w:tcPr>
          <w:p>
            <w:pPr>
              <w:pStyle w:val="10"/>
            </w:pPr>
            <w:r>
              <w:t>有所提高</w:t>
            </w:r>
          </w:p>
        </w:tc>
        <w:tc>
          <w:tcPr>
            <w:tcW w:w="2067" w:type="dxa"/>
            <w:vAlign w:val="center"/>
          </w:tcPr>
          <w:p>
            <w:pPr>
              <w:pStyle w:val="10"/>
            </w:pPr>
            <w:r>
              <w:t>邢综治办【2016】2号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服务受益对象满意度</w:t>
            </w:r>
          </w:p>
        </w:tc>
        <w:tc>
          <w:tcPr>
            <w:tcW w:w="4413" w:type="dxa"/>
            <w:vAlign w:val="center"/>
          </w:tcPr>
          <w:p>
            <w:pPr>
              <w:pStyle w:val="10"/>
            </w:pPr>
            <w:r>
              <w:t>服务受益对象满意度</w:t>
            </w:r>
          </w:p>
        </w:tc>
        <w:tc>
          <w:tcPr>
            <w:tcW w:w="2450" w:type="dxa"/>
            <w:vAlign w:val="center"/>
          </w:tcPr>
          <w:p>
            <w:pPr>
              <w:pStyle w:val="10"/>
            </w:pPr>
            <w:r>
              <w:t>≥90%</w:t>
            </w:r>
          </w:p>
        </w:tc>
        <w:tc>
          <w:tcPr>
            <w:tcW w:w="2067" w:type="dxa"/>
            <w:vAlign w:val="center"/>
          </w:tcPr>
          <w:p>
            <w:pPr>
              <w:pStyle w:val="10"/>
            </w:pPr>
            <w:r>
              <w:t>邢综治办【2016】2号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3、铁路护路经费绩效目标表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166"/>
        <w:gridCol w:w="2275"/>
        <w:gridCol w:w="1654"/>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13052525P00003310009G</w:t>
            </w:r>
          </w:p>
        </w:tc>
        <w:tc>
          <w:tcPr>
            <w:tcW w:w="2835" w:type="dxa"/>
            <w:vAlign w:val="center"/>
          </w:tcPr>
          <w:p>
            <w:pPr>
              <w:pStyle w:val="8"/>
            </w:pPr>
            <w:r>
              <w:t>项目名称</w:t>
            </w:r>
          </w:p>
        </w:tc>
        <w:tc>
          <w:tcPr>
            <w:tcW w:w="6095" w:type="dxa"/>
            <w:gridSpan w:val="3"/>
            <w:vAlign w:val="center"/>
          </w:tcPr>
          <w:p>
            <w:pPr>
              <w:pStyle w:val="10"/>
            </w:pPr>
            <w:r>
              <w:t>铁路护路经费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2.50</w:t>
            </w:r>
          </w:p>
        </w:tc>
        <w:tc>
          <w:tcPr>
            <w:tcW w:w="2835" w:type="dxa"/>
            <w:vAlign w:val="center"/>
          </w:tcPr>
          <w:p>
            <w:pPr>
              <w:pStyle w:val="8"/>
            </w:pPr>
            <w:r>
              <w:t>其中：财政    资金</w:t>
            </w:r>
          </w:p>
        </w:tc>
        <w:tc>
          <w:tcPr>
            <w:tcW w:w="2166" w:type="dxa"/>
            <w:vAlign w:val="center"/>
          </w:tcPr>
          <w:p>
            <w:pPr>
              <w:pStyle w:val="10"/>
            </w:pPr>
            <w:r>
              <w:t>2.50</w:t>
            </w:r>
          </w:p>
        </w:tc>
        <w:tc>
          <w:tcPr>
            <w:tcW w:w="2275" w:type="dxa"/>
            <w:vAlign w:val="center"/>
          </w:tcPr>
          <w:p>
            <w:pPr>
              <w:pStyle w:val="8"/>
            </w:pPr>
            <w:r>
              <w:t>其他资金</w:t>
            </w:r>
          </w:p>
        </w:tc>
        <w:tc>
          <w:tcPr>
            <w:tcW w:w="1654"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组织铁路高铁护路工作，确保辖区铁路安全畅通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166" w:type="dxa"/>
            <w:vAlign w:val="center"/>
          </w:tcPr>
          <w:p>
            <w:pPr>
              <w:pStyle w:val="8"/>
            </w:pPr>
            <w:r>
              <w:t>10月底</w:t>
            </w:r>
          </w:p>
        </w:tc>
        <w:tc>
          <w:tcPr>
            <w:tcW w:w="3929"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25%</w:t>
            </w:r>
          </w:p>
        </w:tc>
        <w:tc>
          <w:tcPr>
            <w:tcW w:w="2835" w:type="dxa"/>
            <w:vAlign w:val="center"/>
          </w:tcPr>
          <w:p>
            <w:pPr>
              <w:pStyle w:val="9"/>
            </w:pPr>
            <w:r>
              <w:t>50%</w:t>
            </w:r>
          </w:p>
        </w:tc>
        <w:tc>
          <w:tcPr>
            <w:tcW w:w="2166" w:type="dxa"/>
            <w:vAlign w:val="center"/>
          </w:tcPr>
          <w:p>
            <w:pPr>
              <w:pStyle w:val="9"/>
            </w:pPr>
            <w:r>
              <w:t>75%</w:t>
            </w:r>
          </w:p>
        </w:tc>
        <w:tc>
          <w:tcPr>
            <w:tcW w:w="3929"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1.组织铁路高铁护路工作，确保辖区铁路安全畅通。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001"/>
        <w:gridCol w:w="2300"/>
        <w:gridCol w:w="162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001" w:type="dxa"/>
            <w:vAlign w:val="center"/>
          </w:tcPr>
          <w:p>
            <w:pPr>
              <w:pStyle w:val="8"/>
            </w:pPr>
            <w:r>
              <w:t>绩效指标描述</w:t>
            </w:r>
          </w:p>
        </w:tc>
        <w:tc>
          <w:tcPr>
            <w:tcW w:w="2300" w:type="dxa"/>
            <w:vAlign w:val="center"/>
          </w:tcPr>
          <w:p>
            <w:pPr>
              <w:pStyle w:val="8"/>
            </w:pPr>
            <w:r>
              <w:t>指标值</w:t>
            </w:r>
          </w:p>
        </w:tc>
        <w:tc>
          <w:tcPr>
            <w:tcW w:w="1629"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重要时期专项护路任务次数（次）</w:t>
            </w:r>
          </w:p>
        </w:tc>
        <w:tc>
          <w:tcPr>
            <w:tcW w:w="5001" w:type="dxa"/>
            <w:vAlign w:val="center"/>
          </w:tcPr>
          <w:p>
            <w:pPr>
              <w:pStyle w:val="10"/>
            </w:pPr>
            <w:r>
              <w:t>重要时期省委省政府专项护路任务次数</w:t>
            </w:r>
          </w:p>
        </w:tc>
        <w:tc>
          <w:tcPr>
            <w:tcW w:w="2300" w:type="dxa"/>
            <w:vAlign w:val="center"/>
          </w:tcPr>
          <w:p>
            <w:pPr>
              <w:pStyle w:val="10"/>
            </w:pPr>
            <w:r>
              <w:t>≥100%</w:t>
            </w:r>
          </w:p>
        </w:tc>
        <w:tc>
          <w:tcPr>
            <w:tcW w:w="1629" w:type="dxa"/>
            <w:vAlign w:val="center"/>
          </w:tcPr>
          <w:p>
            <w:pPr>
              <w:pStyle w:val="10"/>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重大安保任务完成率(%)</w:t>
            </w:r>
          </w:p>
        </w:tc>
        <w:tc>
          <w:tcPr>
            <w:tcW w:w="5001" w:type="dxa"/>
            <w:vAlign w:val="center"/>
          </w:tcPr>
          <w:p>
            <w:pPr>
              <w:pStyle w:val="10"/>
            </w:pPr>
            <w:r>
              <w:t>重大安保任务完成率(%)</w:t>
            </w:r>
          </w:p>
        </w:tc>
        <w:tc>
          <w:tcPr>
            <w:tcW w:w="2300" w:type="dxa"/>
            <w:vAlign w:val="center"/>
          </w:tcPr>
          <w:p>
            <w:pPr>
              <w:pStyle w:val="10"/>
            </w:pPr>
            <w:r>
              <w:t>≥100%</w:t>
            </w:r>
          </w:p>
        </w:tc>
        <w:tc>
          <w:tcPr>
            <w:tcW w:w="1629" w:type="dxa"/>
            <w:vAlign w:val="center"/>
          </w:tcPr>
          <w:p>
            <w:pPr>
              <w:pStyle w:val="10"/>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001" w:type="dxa"/>
            <w:vAlign w:val="center"/>
          </w:tcPr>
          <w:p>
            <w:pPr>
              <w:pStyle w:val="10"/>
            </w:pPr>
            <w:r>
              <w:t>完工及时率</w:t>
            </w:r>
          </w:p>
        </w:tc>
        <w:tc>
          <w:tcPr>
            <w:tcW w:w="2300" w:type="dxa"/>
            <w:vAlign w:val="center"/>
          </w:tcPr>
          <w:p>
            <w:pPr>
              <w:pStyle w:val="10"/>
            </w:pPr>
            <w:r>
              <w:t>≥100%</w:t>
            </w:r>
          </w:p>
        </w:tc>
        <w:tc>
          <w:tcPr>
            <w:tcW w:w="1629" w:type="dxa"/>
            <w:vAlign w:val="center"/>
          </w:tcPr>
          <w:p>
            <w:pPr>
              <w:pStyle w:val="10"/>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完成工作需要资金</w:t>
            </w:r>
          </w:p>
        </w:tc>
        <w:tc>
          <w:tcPr>
            <w:tcW w:w="5001" w:type="dxa"/>
            <w:vAlign w:val="center"/>
          </w:tcPr>
          <w:p>
            <w:pPr>
              <w:pStyle w:val="10"/>
            </w:pPr>
            <w:r>
              <w:t>完成工作需要资金</w:t>
            </w:r>
          </w:p>
        </w:tc>
        <w:tc>
          <w:tcPr>
            <w:tcW w:w="2300" w:type="dxa"/>
            <w:vAlign w:val="center"/>
          </w:tcPr>
          <w:p>
            <w:pPr>
              <w:pStyle w:val="10"/>
            </w:pPr>
            <w:r>
              <w:t>2.5万元</w:t>
            </w:r>
          </w:p>
        </w:tc>
        <w:tc>
          <w:tcPr>
            <w:tcW w:w="1629" w:type="dxa"/>
            <w:vAlign w:val="center"/>
          </w:tcPr>
          <w:p>
            <w:pPr>
              <w:pStyle w:val="10"/>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社会影响力</w:t>
            </w:r>
          </w:p>
        </w:tc>
        <w:tc>
          <w:tcPr>
            <w:tcW w:w="5001" w:type="dxa"/>
            <w:vAlign w:val="center"/>
          </w:tcPr>
          <w:p>
            <w:pPr>
              <w:pStyle w:val="10"/>
            </w:pPr>
            <w:r>
              <w:t>通过开展信息宣传工作，创造良好的舆论氛围，使我厅工作得到广大受众的充分认可。</w:t>
            </w:r>
          </w:p>
        </w:tc>
        <w:tc>
          <w:tcPr>
            <w:tcW w:w="2300" w:type="dxa"/>
            <w:vAlign w:val="center"/>
          </w:tcPr>
          <w:p>
            <w:pPr>
              <w:pStyle w:val="10"/>
            </w:pPr>
            <w:r>
              <w:t>有效提高</w:t>
            </w:r>
          </w:p>
        </w:tc>
        <w:tc>
          <w:tcPr>
            <w:tcW w:w="1629" w:type="dxa"/>
            <w:vAlign w:val="center"/>
          </w:tcPr>
          <w:p>
            <w:pPr>
              <w:pStyle w:val="10"/>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5001" w:type="dxa"/>
            <w:vAlign w:val="center"/>
          </w:tcPr>
          <w:p>
            <w:pPr>
              <w:pStyle w:val="10"/>
            </w:pPr>
            <w:r>
              <w:t>服务对象满意度</w:t>
            </w:r>
          </w:p>
        </w:tc>
        <w:tc>
          <w:tcPr>
            <w:tcW w:w="2300" w:type="dxa"/>
            <w:vAlign w:val="center"/>
          </w:tcPr>
          <w:p>
            <w:pPr>
              <w:pStyle w:val="10"/>
            </w:pPr>
            <w:r>
              <w:t>满意</w:t>
            </w:r>
          </w:p>
        </w:tc>
        <w:tc>
          <w:tcPr>
            <w:tcW w:w="1629" w:type="dxa"/>
            <w:vAlign w:val="center"/>
          </w:tcPr>
          <w:p>
            <w:pPr>
              <w:pStyle w:val="10"/>
            </w:pPr>
            <w:r>
              <w:t>冀综治办【2016】12号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4、政法网经费绩效目标表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041"/>
        <w:gridCol w:w="2275"/>
        <w:gridCol w:w="1779"/>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13052525P000033100123</w:t>
            </w:r>
          </w:p>
        </w:tc>
        <w:tc>
          <w:tcPr>
            <w:tcW w:w="2835" w:type="dxa"/>
            <w:vAlign w:val="center"/>
          </w:tcPr>
          <w:p>
            <w:pPr>
              <w:pStyle w:val="8"/>
            </w:pPr>
            <w:r>
              <w:t>项目名称</w:t>
            </w:r>
          </w:p>
        </w:tc>
        <w:tc>
          <w:tcPr>
            <w:tcW w:w="6095" w:type="dxa"/>
            <w:gridSpan w:val="3"/>
            <w:vAlign w:val="center"/>
          </w:tcPr>
          <w:p>
            <w:pPr>
              <w:pStyle w:val="10"/>
            </w:pPr>
            <w:r>
              <w:t>政法网经费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14.88</w:t>
            </w:r>
          </w:p>
        </w:tc>
        <w:tc>
          <w:tcPr>
            <w:tcW w:w="2835" w:type="dxa"/>
            <w:vAlign w:val="center"/>
          </w:tcPr>
          <w:p>
            <w:pPr>
              <w:pStyle w:val="8"/>
            </w:pPr>
            <w:r>
              <w:t>其中：财政    资金</w:t>
            </w:r>
          </w:p>
        </w:tc>
        <w:tc>
          <w:tcPr>
            <w:tcW w:w="2041" w:type="dxa"/>
            <w:vAlign w:val="center"/>
          </w:tcPr>
          <w:p>
            <w:pPr>
              <w:pStyle w:val="10"/>
            </w:pPr>
            <w:r>
              <w:t>14.88</w:t>
            </w:r>
          </w:p>
        </w:tc>
        <w:tc>
          <w:tcPr>
            <w:tcW w:w="2275" w:type="dxa"/>
            <w:vAlign w:val="center"/>
          </w:tcPr>
          <w:p>
            <w:pPr>
              <w:pStyle w:val="8"/>
            </w:pPr>
            <w:r>
              <w:t>其他资金</w:t>
            </w:r>
          </w:p>
        </w:tc>
        <w:tc>
          <w:tcPr>
            <w:tcW w:w="1779"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确保政法网安全运行，促进政法工作上台阶。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041" w:type="dxa"/>
            <w:vAlign w:val="center"/>
          </w:tcPr>
          <w:p>
            <w:pPr>
              <w:pStyle w:val="8"/>
            </w:pPr>
            <w:r>
              <w:t>10月底</w:t>
            </w:r>
          </w:p>
        </w:tc>
        <w:tc>
          <w:tcPr>
            <w:tcW w:w="4054"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25%</w:t>
            </w:r>
          </w:p>
        </w:tc>
        <w:tc>
          <w:tcPr>
            <w:tcW w:w="2835" w:type="dxa"/>
            <w:vAlign w:val="center"/>
          </w:tcPr>
          <w:p>
            <w:pPr>
              <w:pStyle w:val="9"/>
            </w:pPr>
            <w:r>
              <w:t>50%</w:t>
            </w:r>
          </w:p>
        </w:tc>
        <w:tc>
          <w:tcPr>
            <w:tcW w:w="2041" w:type="dxa"/>
            <w:vAlign w:val="center"/>
          </w:tcPr>
          <w:p>
            <w:pPr>
              <w:pStyle w:val="9"/>
            </w:pPr>
            <w:r>
              <w:t>75%</w:t>
            </w:r>
          </w:p>
        </w:tc>
        <w:tc>
          <w:tcPr>
            <w:tcW w:w="405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1.确保政法网安全运行，促进政法工作上台阶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51"/>
        <w:gridCol w:w="2287"/>
        <w:gridCol w:w="179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4851" w:type="dxa"/>
            <w:vAlign w:val="center"/>
          </w:tcPr>
          <w:p>
            <w:pPr>
              <w:pStyle w:val="8"/>
            </w:pPr>
            <w:r>
              <w:t>绩效指标描述</w:t>
            </w:r>
          </w:p>
        </w:tc>
        <w:tc>
          <w:tcPr>
            <w:tcW w:w="2287" w:type="dxa"/>
            <w:vAlign w:val="center"/>
          </w:tcPr>
          <w:p>
            <w:pPr>
              <w:pStyle w:val="8"/>
            </w:pPr>
            <w:r>
              <w:t>指标值</w:t>
            </w:r>
          </w:p>
        </w:tc>
        <w:tc>
          <w:tcPr>
            <w:tcW w:w="1792"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设备检修维护次数</w:t>
            </w:r>
          </w:p>
        </w:tc>
        <w:tc>
          <w:tcPr>
            <w:tcW w:w="4851" w:type="dxa"/>
            <w:vAlign w:val="center"/>
          </w:tcPr>
          <w:p>
            <w:pPr>
              <w:pStyle w:val="10"/>
            </w:pPr>
            <w:r>
              <w:t>设备检修维护次数</w:t>
            </w:r>
          </w:p>
        </w:tc>
        <w:tc>
          <w:tcPr>
            <w:tcW w:w="2287" w:type="dxa"/>
            <w:vAlign w:val="center"/>
          </w:tcPr>
          <w:p>
            <w:pPr>
              <w:pStyle w:val="10"/>
            </w:pPr>
            <w:r>
              <w:t>≥12次</w:t>
            </w:r>
          </w:p>
        </w:tc>
        <w:tc>
          <w:tcPr>
            <w:tcW w:w="1792" w:type="dxa"/>
            <w:vAlign w:val="center"/>
          </w:tcPr>
          <w:p>
            <w:pPr>
              <w:pStyle w:val="10"/>
            </w:pPr>
            <w:r>
              <w:t>冀政法字【2015】12号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系统正常运行率</w:t>
            </w:r>
          </w:p>
        </w:tc>
        <w:tc>
          <w:tcPr>
            <w:tcW w:w="4851" w:type="dxa"/>
            <w:vAlign w:val="center"/>
          </w:tcPr>
          <w:p>
            <w:pPr>
              <w:pStyle w:val="10"/>
            </w:pPr>
            <w:r>
              <w:t>系统正常运行率</w:t>
            </w:r>
          </w:p>
        </w:tc>
        <w:tc>
          <w:tcPr>
            <w:tcW w:w="2287" w:type="dxa"/>
            <w:vAlign w:val="center"/>
          </w:tcPr>
          <w:p>
            <w:pPr>
              <w:pStyle w:val="10"/>
            </w:pPr>
            <w:r>
              <w:t>≥95%</w:t>
            </w:r>
          </w:p>
        </w:tc>
        <w:tc>
          <w:tcPr>
            <w:tcW w:w="1792" w:type="dxa"/>
            <w:vAlign w:val="center"/>
          </w:tcPr>
          <w:p>
            <w:pPr>
              <w:pStyle w:val="10"/>
            </w:pPr>
            <w:r>
              <w:t>冀政法字【2015】12号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故障反应时间</w:t>
            </w:r>
          </w:p>
        </w:tc>
        <w:tc>
          <w:tcPr>
            <w:tcW w:w="4851" w:type="dxa"/>
            <w:vAlign w:val="center"/>
          </w:tcPr>
          <w:p>
            <w:pPr>
              <w:pStyle w:val="10"/>
            </w:pPr>
            <w:r>
              <w:t>故障反应时间</w:t>
            </w:r>
          </w:p>
        </w:tc>
        <w:tc>
          <w:tcPr>
            <w:tcW w:w="2287" w:type="dxa"/>
            <w:vAlign w:val="center"/>
          </w:tcPr>
          <w:p>
            <w:pPr>
              <w:pStyle w:val="10"/>
            </w:pPr>
            <w:r>
              <w:t>≤12小时</w:t>
            </w:r>
          </w:p>
        </w:tc>
        <w:tc>
          <w:tcPr>
            <w:tcW w:w="1792" w:type="dxa"/>
            <w:vAlign w:val="center"/>
          </w:tcPr>
          <w:p>
            <w:pPr>
              <w:pStyle w:val="10"/>
            </w:pPr>
            <w:r>
              <w:t>冀政法字【2015】12号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4851" w:type="dxa"/>
            <w:vAlign w:val="center"/>
          </w:tcPr>
          <w:p>
            <w:pPr>
              <w:pStyle w:val="10"/>
            </w:pPr>
            <w:r>
              <w:t>资金成本</w:t>
            </w:r>
          </w:p>
        </w:tc>
        <w:tc>
          <w:tcPr>
            <w:tcW w:w="2287" w:type="dxa"/>
            <w:vAlign w:val="center"/>
          </w:tcPr>
          <w:p>
            <w:pPr>
              <w:pStyle w:val="10"/>
            </w:pPr>
            <w:r>
              <w:t>14.88万元</w:t>
            </w:r>
          </w:p>
        </w:tc>
        <w:tc>
          <w:tcPr>
            <w:tcW w:w="1792" w:type="dxa"/>
            <w:vAlign w:val="center"/>
          </w:tcPr>
          <w:p>
            <w:pPr>
              <w:pStyle w:val="10"/>
            </w:pPr>
            <w:r>
              <w:t>冀政法字【2015】12号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保障工作顺利开展</w:t>
            </w:r>
          </w:p>
        </w:tc>
        <w:tc>
          <w:tcPr>
            <w:tcW w:w="4851" w:type="dxa"/>
            <w:vAlign w:val="center"/>
          </w:tcPr>
          <w:p>
            <w:pPr>
              <w:pStyle w:val="10"/>
            </w:pPr>
            <w:r>
              <w:t>保障工作顺利开展</w:t>
            </w:r>
          </w:p>
        </w:tc>
        <w:tc>
          <w:tcPr>
            <w:tcW w:w="2287" w:type="dxa"/>
            <w:vAlign w:val="center"/>
          </w:tcPr>
          <w:p>
            <w:pPr>
              <w:pStyle w:val="10"/>
            </w:pPr>
            <w:r>
              <w:t>顺利开展</w:t>
            </w:r>
          </w:p>
        </w:tc>
        <w:tc>
          <w:tcPr>
            <w:tcW w:w="1792" w:type="dxa"/>
            <w:vAlign w:val="center"/>
          </w:tcPr>
          <w:p>
            <w:pPr>
              <w:pStyle w:val="10"/>
            </w:pPr>
            <w:r>
              <w:t>冀政法字【2015】12号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4851" w:type="dxa"/>
            <w:vAlign w:val="center"/>
          </w:tcPr>
          <w:p>
            <w:pPr>
              <w:pStyle w:val="10"/>
            </w:pPr>
            <w:r>
              <w:t>通过问卷调查，满意和较满意的对象占所有调查对象的比例</w:t>
            </w:r>
          </w:p>
        </w:tc>
        <w:tc>
          <w:tcPr>
            <w:tcW w:w="2287" w:type="dxa"/>
            <w:vAlign w:val="center"/>
          </w:tcPr>
          <w:p>
            <w:pPr>
              <w:pStyle w:val="10"/>
            </w:pPr>
            <w:r>
              <w:t>≥95%</w:t>
            </w:r>
          </w:p>
        </w:tc>
        <w:tc>
          <w:tcPr>
            <w:tcW w:w="1792" w:type="dxa"/>
            <w:vAlign w:val="center"/>
          </w:tcPr>
          <w:p>
            <w:pPr>
              <w:pStyle w:val="10"/>
            </w:pPr>
            <w:r>
              <w:t>冀政法字【2015】12号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5、综治经费（含扫黑除恶）绩效目标表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128"/>
        <w:gridCol w:w="2175"/>
        <w:gridCol w:w="1792"/>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13052525P00003310006M</w:t>
            </w:r>
          </w:p>
        </w:tc>
        <w:tc>
          <w:tcPr>
            <w:tcW w:w="2835" w:type="dxa"/>
            <w:vAlign w:val="center"/>
          </w:tcPr>
          <w:p>
            <w:pPr>
              <w:pStyle w:val="8"/>
            </w:pPr>
            <w:r>
              <w:t>项目名称</w:t>
            </w:r>
          </w:p>
        </w:tc>
        <w:tc>
          <w:tcPr>
            <w:tcW w:w="6095" w:type="dxa"/>
            <w:gridSpan w:val="3"/>
            <w:vAlign w:val="center"/>
          </w:tcPr>
          <w:p>
            <w:pPr>
              <w:pStyle w:val="10"/>
            </w:pPr>
            <w:r>
              <w:t>综治经费（含扫黑除恶）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17.50</w:t>
            </w:r>
          </w:p>
        </w:tc>
        <w:tc>
          <w:tcPr>
            <w:tcW w:w="2835" w:type="dxa"/>
            <w:vAlign w:val="center"/>
          </w:tcPr>
          <w:p>
            <w:pPr>
              <w:pStyle w:val="8"/>
            </w:pPr>
            <w:r>
              <w:t>其中：财政    资金</w:t>
            </w:r>
          </w:p>
        </w:tc>
        <w:tc>
          <w:tcPr>
            <w:tcW w:w="2128" w:type="dxa"/>
            <w:vAlign w:val="center"/>
          </w:tcPr>
          <w:p>
            <w:pPr>
              <w:pStyle w:val="10"/>
            </w:pPr>
            <w:r>
              <w:t>17.50</w:t>
            </w:r>
          </w:p>
        </w:tc>
        <w:tc>
          <w:tcPr>
            <w:tcW w:w="2175" w:type="dxa"/>
            <w:vAlign w:val="center"/>
          </w:tcPr>
          <w:p>
            <w:pPr>
              <w:pStyle w:val="8"/>
            </w:pPr>
            <w:r>
              <w:t>其他资金</w:t>
            </w:r>
          </w:p>
        </w:tc>
        <w:tc>
          <w:tcPr>
            <w:tcW w:w="1792"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开展社会治安综合治理活动，确保全县社会政治稳定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128" w:type="dxa"/>
            <w:vAlign w:val="center"/>
          </w:tcPr>
          <w:p>
            <w:pPr>
              <w:pStyle w:val="8"/>
            </w:pPr>
            <w:r>
              <w:t>10月底</w:t>
            </w:r>
          </w:p>
        </w:tc>
        <w:tc>
          <w:tcPr>
            <w:tcW w:w="3967"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25%</w:t>
            </w:r>
          </w:p>
        </w:tc>
        <w:tc>
          <w:tcPr>
            <w:tcW w:w="2835" w:type="dxa"/>
            <w:vAlign w:val="center"/>
          </w:tcPr>
          <w:p>
            <w:pPr>
              <w:pStyle w:val="9"/>
            </w:pPr>
            <w:r>
              <w:t>50%</w:t>
            </w:r>
          </w:p>
        </w:tc>
        <w:tc>
          <w:tcPr>
            <w:tcW w:w="2128" w:type="dxa"/>
            <w:vAlign w:val="center"/>
          </w:tcPr>
          <w:p>
            <w:pPr>
              <w:pStyle w:val="9"/>
            </w:pPr>
            <w:r>
              <w:t>75%</w:t>
            </w:r>
          </w:p>
        </w:tc>
        <w:tc>
          <w:tcPr>
            <w:tcW w:w="3967"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1.开展社会治安综合治理活动，确保全县社会政治稳定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976"/>
        <w:gridCol w:w="2150"/>
        <w:gridCol w:w="180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4976" w:type="dxa"/>
            <w:vAlign w:val="center"/>
          </w:tcPr>
          <w:p>
            <w:pPr>
              <w:pStyle w:val="8"/>
            </w:pPr>
            <w:r>
              <w:t>绩效指标描述</w:t>
            </w:r>
          </w:p>
        </w:tc>
        <w:tc>
          <w:tcPr>
            <w:tcW w:w="2150" w:type="dxa"/>
            <w:vAlign w:val="center"/>
          </w:tcPr>
          <w:p>
            <w:pPr>
              <w:pStyle w:val="8"/>
            </w:pPr>
            <w:r>
              <w:t>指标值</w:t>
            </w:r>
          </w:p>
        </w:tc>
        <w:tc>
          <w:tcPr>
            <w:tcW w:w="1804"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培树治安防控工作先进典型县（市</w:t>
            </w:r>
          </w:p>
        </w:tc>
        <w:tc>
          <w:tcPr>
            <w:tcW w:w="4976" w:type="dxa"/>
            <w:vAlign w:val="center"/>
          </w:tcPr>
          <w:p>
            <w:pPr>
              <w:pStyle w:val="10"/>
            </w:pPr>
            <w:r>
              <w:t>培树治安防控工作先进典型村数量（个）</w:t>
            </w:r>
          </w:p>
        </w:tc>
        <w:tc>
          <w:tcPr>
            <w:tcW w:w="2150" w:type="dxa"/>
            <w:vAlign w:val="center"/>
          </w:tcPr>
          <w:p>
            <w:pPr>
              <w:pStyle w:val="10"/>
            </w:pPr>
            <w:r>
              <w:t>≥12个</w:t>
            </w:r>
          </w:p>
        </w:tc>
        <w:tc>
          <w:tcPr>
            <w:tcW w:w="1804" w:type="dxa"/>
            <w:vAlign w:val="center"/>
          </w:tcPr>
          <w:p>
            <w:pPr>
              <w:pStyle w:val="10"/>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其他各项综合实务工作完成率</w:t>
            </w:r>
          </w:p>
        </w:tc>
        <w:tc>
          <w:tcPr>
            <w:tcW w:w="4976" w:type="dxa"/>
            <w:vAlign w:val="center"/>
          </w:tcPr>
          <w:p>
            <w:pPr>
              <w:pStyle w:val="10"/>
            </w:pPr>
            <w:r>
              <w:t>其他各项综合实务工作完成率</w:t>
            </w:r>
          </w:p>
        </w:tc>
        <w:tc>
          <w:tcPr>
            <w:tcW w:w="2150" w:type="dxa"/>
            <w:vAlign w:val="center"/>
          </w:tcPr>
          <w:p>
            <w:pPr>
              <w:pStyle w:val="10"/>
            </w:pPr>
            <w:r>
              <w:t>≥95%</w:t>
            </w:r>
          </w:p>
        </w:tc>
        <w:tc>
          <w:tcPr>
            <w:tcW w:w="1804" w:type="dxa"/>
            <w:vAlign w:val="center"/>
          </w:tcPr>
          <w:p>
            <w:pPr>
              <w:pStyle w:val="10"/>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4976" w:type="dxa"/>
            <w:vAlign w:val="center"/>
          </w:tcPr>
          <w:p>
            <w:pPr>
              <w:pStyle w:val="10"/>
            </w:pPr>
            <w:r>
              <w:t>各项任务完成及时率（%）</w:t>
            </w:r>
          </w:p>
        </w:tc>
        <w:tc>
          <w:tcPr>
            <w:tcW w:w="2150" w:type="dxa"/>
            <w:vAlign w:val="center"/>
          </w:tcPr>
          <w:p>
            <w:pPr>
              <w:pStyle w:val="10"/>
            </w:pPr>
            <w:r>
              <w:t>≥95%</w:t>
            </w:r>
          </w:p>
        </w:tc>
        <w:tc>
          <w:tcPr>
            <w:tcW w:w="1804" w:type="dxa"/>
            <w:vAlign w:val="center"/>
          </w:tcPr>
          <w:p>
            <w:pPr>
              <w:pStyle w:val="10"/>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4976" w:type="dxa"/>
            <w:vAlign w:val="center"/>
          </w:tcPr>
          <w:p>
            <w:pPr>
              <w:pStyle w:val="10"/>
            </w:pPr>
            <w:r>
              <w:t>资金成本</w:t>
            </w:r>
          </w:p>
        </w:tc>
        <w:tc>
          <w:tcPr>
            <w:tcW w:w="2150" w:type="dxa"/>
            <w:vAlign w:val="center"/>
          </w:tcPr>
          <w:p>
            <w:pPr>
              <w:pStyle w:val="10"/>
            </w:pPr>
            <w:r>
              <w:t>合理安排</w:t>
            </w:r>
          </w:p>
        </w:tc>
        <w:tc>
          <w:tcPr>
            <w:tcW w:w="1804" w:type="dxa"/>
            <w:vAlign w:val="center"/>
          </w:tcPr>
          <w:p>
            <w:pPr>
              <w:pStyle w:val="10"/>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立体化社会治安防控体系覆盖率(</w:t>
            </w:r>
          </w:p>
        </w:tc>
        <w:tc>
          <w:tcPr>
            <w:tcW w:w="4976" w:type="dxa"/>
            <w:vAlign w:val="center"/>
          </w:tcPr>
          <w:p>
            <w:pPr>
              <w:pStyle w:val="10"/>
            </w:pPr>
            <w:r>
              <w:t>立体化社会治安防控体系覆盖率(%)</w:t>
            </w:r>
          </w:p>
        </w:tc>
        <w:tc>
          <w:tcPr>
            <w:tcW w:w="2150" w:type="dxa"/>
            <w:vAlign w:val="center"/>
          </w:tcPr>
          <w:p>
            <w:pPr>
              <w:pStyle w:val="10"/>
            </w:pPr>
            <w:r>
              <w:t>≥95%</w:t>
            </w:r>
          </w:p>
        </w:tc>
        <w:tc>
          <w:tcPr>
            <w:tcW w:w="1804" w:type="dxa"/>
            <w:vAlign w:val="center"/>
          </w:tcPr>
          <w:p>
            <w:pPr>
              <w:pStyle w:val="10"/>
            </w:pPr>
            <w:r>
              <w:t>冀综治办【2016】12号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4976" w:type="dxa"/>
            <w:vAlign w:val="center"/>
          </w:tcPr>
          <w:p>
            <w:pPr>
              <w:pStyle w:val="10"/>
            </w:pPr>
            <w:r>
              <w:t>通过问卷调查，满意和较满意的对象占所有调查对象的比例</w:t>
            </w:r>
          </w:p>
        </w:tc>
        <w:tc>
          <w:tcPr>
            <w:tcW w:w="2150" w:type="dxa"/>
            <w:vAlign w:val="center"/>
          </w:tcPr>
          <w:p>
            <w:pPr>
              <w:pStyle w:val="10"/>
            </w:pPr>
            <w:r>
              <w:t>≥95%</w:t>
            </w:r>
          </w:p>
        </w:tc>
        <w:tc>
          <w:tcPr>
            <w:tcW w:w="1804" w:type="dxa"/>
            <w:vAlign w:val="center"/>
          </w:tcPr>
          <w:p>
            <w:pPr>
              <w:pStyle w:val="10"/>
            </w:pPr>
            <w:r>
              <w:t>冀综治办【2016】12号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6、综治视联网经费绩效目标表</w:t>
      </w:r>
    </w:p>
    <w:tbl>
      <w:tblPr>
        <w:tblStyle w:val="3"/>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028"/>
        <w:gridCol w:w="2350"/>
        <w:gridCol w:w="1717"/>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13052525P00003310011F</w:t>
            </w:r>
          </w:p>
        </w:tc>
        <w:tc>
          <w:tcPr>
            <w:tcW w:w="2835" w:type="dxa"/>
            <w:vAlign w:val="center"/>
          </w:tcPr>
          <w:p>
            <w:pPr>
              <w:pStyle w:val="8"/>
            </w:pPr>
            <w:r>
              <w:t>项目名称</w:t>
            </w:r>
          </w:p>
        </w:tc>
        <w:tc>
          <w:tcPr>
            <w:tcW w:w="6095" w:type="dxa"/>
            <w:gridSpan w:val="3"/>
            <w:vAlign w:val="center"/>
          </w:tcPr>
          <w:p>
            <w:pPr>
              <w:pStyle w:val="10"/>
            </w:pPr>
            <w:r>
              <w:t>综治视联网经费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72.48</w:t>
            </w:r>
          </w:p>
        </w:tc>
        <w:tc>
          <w:tcPr>
            <w:tcW w:w="2835" w:type="dxa"/>
            <w:vAlign w:val="center"/>
          </w:tcPr>
          <w:p>
            <w:pPr>
              <w:pStyle w:val="8"/>
            </w:pPr>
            <w:r>
              <w:t>其中：财政    资金</w:t>
            </w:r>
          </w:p>
        </w:tc>
        <w:tc>
          <w:tcPr>
            <w:tcW w:w="2028" w:type="dxa"/>
            <w:vAlign w:val="center"/>
          </w:tcPr>
          <w:p>
            <w:pPr>
              <w:pStyle w:val="10"/>
            </w:pPr>
            <w:r>
              <w:t>72.48</w:t>
            </w:r>
          </w:p>
        </w:tc>
        <w:tc>
          <w:tcPr>
            <w:tcW w:w="2350" w:type="dxa"/>
            <w:vAlign w:val="center"/>
          </w:tcPr>
          <w:p>
            <w:pPr>
              <w:pStyle w:val="8"/>
            </w:pPr>
            <w:r>
              <w:t>其他资金</w:t>
            </w:r>
          </w:p>
        </w:tc>
        <w:tc>
          <w:tcPr>
            <w:tcW w:w="1717" w:type="dxa"/>
            <w:vAlign w:val="center"/>
          </w:tcPr>
          <w:p>
            <w:pPr>
              <w:pStyle w:val="1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确保综治视联网安全运行，促进市域社会治理现代化各项工作。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028" w:type="dxa"/>
            <w:vAlign w:val="center"/>
          </w:tcPr>
          <w:p>
            <w:pPr>
              <w:pStyle w:val="8"/>
            </w:pPr>
            <w:r>
              <w:t>10月底</w:t>
            </w:r>
          </w:p>
        </w:tc>
        <w:tc>
          <w:tcPr>
            <w:tcW w:w="4067" w:type="dxa"/>
            <w:gridSpan w:val="2"/>
            <w:vAlign w:val="center"/>
          </w:tcPr>
          <w:p>
            <w:pPr>
              <w:pStyle w:val="8"/>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9"/>
            </w:pPr>
            <w:r>
              <w:t>25%</w:t>
            </w:r>
          </w:p>
        </w:tc>
        <w:tc>
          <w:tcPr>
            <w:tcW w:w="2835" w:type="dxa"/>
            <w:vAlign w:val="center"/>
          </w:tcPr>
          <w:p>
            <w:pPr>
              <w:pStyle w:val="9"/>
            </w:pPr>
            <w:r>
              <w:t>50%</w:t>
            </w:r>
          </w:p>
        </w:tc>
        <w:tc>
          <w:tcPr>
            <w:tcW w:w="2028" w:type="dxa"/>
            <w:vAlign w:val="center"/>
          </w:tcPr>
          <w:p>
            <w:pPr>
              <w:pStyle w:val="9"/>
            </w:pPr>
            <w:r>
              <w:t>75%</w:t>
            </w:r>
          </w:p>
        </w:tc>
        <w:tc>
          <w:tcPr>
            <w:tcW w:w="4067"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1.确保综治视联网安全运行，促进市域社会治理现代化各项工作。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51"/>
        <w:gridCol w:w="2362"/>
        <w:gridCol w:w="171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4851" w:type="dxa"/>
            <w:vAlign w:val="center"/>
          </w:tcPr>
          <w:p>
            <w:pPr>
              <w:pStyle w:val="8"/>
            </w:pPr>
            <w:r>
              <w:t>绩效指标描述</w:t>
            </w:r>
          </w:p>
        </w:tc>
        <w:tc>
          <w:tcPr>
            <w:tcW w:w="2362" w:type="dxa"/>
            <w:vAlign w:val="center"/>
          </w:tcPr>
          <w:p>
            <w:pPr>
              <w:pStyle w:val="8"/>
            </w:pPr>
            <w:r>
              <w:t>指标值</w:t>
            </w:r>
          </w:p>
        </w:tc>
        <w:tc>
          <w:tcPr>
            <w:tcW w:w="1717" w:type="dxa"/>
            <w:vAlign w:val="center"/>
          </w:tcPr>
          <w:p>
            <w:pPr>
              <w:pStyle w:val="8"/>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10"/>
            </w:pPr>
            <w:r>
              <w:t>数量指标</w:t>
            </w:r>
          </w:p>
        </w:tc>
        <w:tc>
          <w:tcPr>
            <w:tcW w:w="2835" w:type="dxa"/>
            <w:vAlign w:val="center"/>
          </w:tcPr>
          <w:p>
            <w:pPr>
              <w:pStyle w:val="10"/>
            </w:pPr>
            <w:r>
              <w:t>系统故障率</w:t>
            </w:r>
          </w:p>
        </w:tc>
        <w:tc>
          <w:tcPr>
            <w:tcW w:w="4851" w:type="dxa"/>
            <w:vAlign w:val="center"/>
          </w:tcPr>
          <w:p>
            <w:pPr>
              <w:pStyle w:val="10"/>
            </w:pPr>
            <w:r>
              <w:t>系统出故障时间占总运行时间比</w:t>
            </w:r>
          </w:p>
        </w:tc>
        <w:tc>
          <w:tcPr>
            <w:tcW w:w="2362" w:type="dxa"/>
            <w:vAlign w:val="center"/>
          </w:tcPr>
          <w:p>
            <w:pPr>
              <w:pStyle w:val="10"/>
            </w:pPr>
            <w:r>
              <w:t>≥1%</w:t>
            </w:r>
          </w:p>
        </w:tc>
        <w:tc>
          <w:tcPr>
            <w:tcW w:w="1717" w:type="dxa"/>
            <w:vAlign w:val="center"/>
          </w:tcPr>
          <w:p>
            <w:pPr>
              <w:pStyle w:val="10"/>
            </w:pPr>
            <w:r>
              <w:t>冀综治办【2018】39号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系统故障修复响应时间</w:t>
            </w:r>
          </w:p>
        </w:tc>
        <w:tc>
          <w:tcPr>
            <w:tcW w:w="4851" w:type="dxa"/>
            <w:vAlign w:val="center"/>
          </w:tcPr>
          <w:p>
            <w:pPr>
              <w:pStyle w:val="10"/>
            </w:pPr>
            <w:r>
              <w:t>响应系统故障并修复的时间</w:t>
            </w:r>
          </w:p>
        </w:tc>
        <w:tc>
          <w:tcPr>
            <w:tcW w:w="2362" w:type="dxa"/>
            <w:vAlign w:val="center"/>
          </w:tcPr>
          <w:p>
            <w:pPr>
              <w:pStyle w:val="10"/>
            </w:pPr>
            <w:r>
              <w:t>≤24小时</w:t>
            </w:r>
          </w:p>
        </w:tc>
        <w:tc>
          <w:tcPr>
            <w:tcW w:w="1717" w:type="dxa"/>
            <w:vAlign w:val="center"/>
          </w:tcPr>
          <w:p>
            <w:pPr>
              <w:pStyle w:val="10"/>
            </w:pPr>
            <w:r>
              <w:t>冀综治办【2018】39号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设备检修维护次数</w:t>
            </w:r>
          </w:p>
        </w:tc>
        <w:tc>
          <w:tcPr>
            <w:tcW w:w="4851" w:type="dxa"/>
            <w:vAlign w:val="center"/>
          </w:tcPr>
          <w:p>
            <w:pPr>
              <w:pStyle w:val="10"/>
            </w:pPr>
            <w:r>
              <w:t>设备检修维护次数</w:t>
            </w:r>
          </w:p>
        </w:tc>
        <w:tc>
          <w:tcPr>
            <w:tcW w:w="2362" w:type="dxa"/>
            <w:vAlign w:val="center"/>
          </w:tcPr>
          <w:p>
            <w:pPr>
              <w:pStyle w:val="10"/>
            </w:pPr>
            <w:r>
              <w:t>&gt;12次</w:t>
            </w:r>
          </w:p>
        </w:tc>
        <w:tc>
          <w:tcPr>
            <w:tcW w:w="1717" w:type="dxa"/>
            <w:vAlign w:val="center"/>
          </w:tcPr>
          <w:p>
            <w:pPr>
              <w:pStyle w:val="10"/>
            </w:pPr>
            <w:r>
              <w:t>冀综治办【2018】39号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4851" w:type="dxa"/>
            <w:vAlign w:val="center"/>
          </w:tcPr>
          <w:p>
            <w:pPr>
              <w:pStyle w:val="10"/>
            </w:pPr>
            <w:r>
              <w:t>资金成本</w:t>
            </w:r>
          </w:p>
        </w:tc>
        <w:tc>
          <w:tcPr>
            <w:tcW w:w="2362" w:type="dxa"/>
            <w:vAlign w:val="center"/>
          </w:tcPr>
          <w:p>
            <w:pPr>
              <w:pStyle w:val="10"/>
            </w:pPr>
            <w:r>
              <w:t>72.48万元</w:t>
            </w:r>
          </w:p>
        </w:tc>
        <w:tc>
          <w:tcPr>
            <w:tcW w:w="1717" w:type="dxa"/>
            <w:vAlign w:val="center"/>
          </w:tcPr>
          <w:p>
            <w:pPr>
              <w:pStyle w:val="10"/>
            </w:pPr>
            <w:r>
              <w:t>冀综治办【2018】39号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10"/>
            </w:pPr>
            <w:r>
              <w:t>社会效益指标</w:t>
            </w:r>
          </w:p>
        </w:tc>
        <w:tc>
          <w:tcPr>
            <w:tcW w:w="2835" w:type="dxa"/>
            <w:vAlign w:val="center"/>
          </w:tcPr>
          <w:p>
            <w:pPr>
              <w:pStyle w:val="10"/>
            </w:pPr>
            <w:r>
              <w:t>非正常停机率</w:t>
            </w:r>
          </w:p>
        </w:tc>
        <w:tc>
          <w:tcPr>
            <w:tcW w:w="4851" w:type="dxa"/>
            <w:vAlign w:val="center"/>
          </w:tcPr>
          <w:p>
            <w:pPr>
              <w:pStyle w:val="10"/>
            </w:pPr>
            <w:r>
              <w:t>非正常停机次数占总停机次数</w:t>
            </w:r>
          </w:p>
        </w:tc>
        <w:tc>
          <w:tcPr>
            <w:tcW w:w="2362" w:type="dxa"/>
            <w:vAlign w:val="center"/>
          </w:tcPr>
          <w:p>
            <w:pPr>
              <w:pStyle w:val="10"/>
            </w:pPr>
            <w:r>
              <w:t>≥5%</w:t>
            </w:r>
          </w:p>
        </w:tc>
        <w:tc>
          <w:tcPr>
            <w:tcW w:w="1717" w:type="dxa"/>
            <w:vAlign w:val="center"/>
          </w:tcPr>
          <w:p>
            <w:pPr>
              <w:pStyle w:val="10"/>
            </w:pPr>
            <w:r>
              <w:t>冀综治办【2018】39号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10"/>
            </w:pPr>
            <w:r>
              <w:t>服务对象满意度指标</w:t>
            </w:r>
          </w:p>
        </w:tc>
        <w:tc>
          <w:tcPr>
            <w:tcW w:w="2835" w:type="dxa"/>
            <w:vAlign w:val="center"/>
          </w:tcPr>
          <w:p>
            <w:pPr>
              <w:pStyle w:val="10"/>
            </w:pPr>
            <w:r>
              <w:t>社会公众或服务对象满意度</w:t>
            </w:r>
          </w:p>
        </w:tc>
        <w:tc>
          <w:tcPr>
            <w:tcW w:w="4851" w:type="dxa"/>
            <w:vAlign w:val="center"/>
          </w:tcPr>
          <w:p>
            <w:pPr>
              <w:pStyle w:val="10"/>
            </w:pPr>
            <w:r>
              <w:t>服务对象的满意度</w:t>
            </w:r>
          </w:p>
        </w:tc>
        <w:tc>
          <w:tcPr>
            <w:tcW w:w="2362" w:type="dxa"/>
            <w:vAlign w:val="center"/>
          </w:tcPr>
          <w:p>
            <w:pPr>
              <w:pStyle w:val="10"/>
            </w:pPr>
            <w:r>
              <w:t>≥95%</w:t>
            </w:r>
          </w:p>
        </w:tc>
        <w:tc>
          <w:tcPr>
            <w:tcW w:w="1717" w:type="dxa"/>
            <w:vAlign w:val="center"/>
          </w:tcPr>
          <w:p>
            <w:pPr>
              <w:pStyle w:val="10"/>
            </w:pPr>
            <w:r>
              <w:t>冀综治办【2018】39号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7"/>
      <w:r>
        <w:rPr>
          <w:rFonts w:hint="eastAsia" w:ascii="黑体" w:hAnsi="黑体" w:eastAsia="黑体" w:cs="黑体"/>
          <w:color w:val="000000"/>
          <w:sz w:val="32"/>
          <w:lang w:eastAsia="zh-CN"/>
        </w:rPr>
        <w:t>六</w:t>
      </w:r>
      <w:r>
        <w:rPr>
          <w:rFonts w:ascii="黑体" w:hAnsi="黑体" w:eastAsia="黑体" w:cs="黑体"/>
          <w:color w:val="000000"/>
          <w:sz w:val="32"/>
        </w:rPr>
        <w:t>、政府采购预算情况</w:t>
      </w:r>
      <w:bookmarkEnd w:id="14"/>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3"/>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216中国共产党隆尧县委员会政法委员会</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8" w:type="dxa"/>
            <w:gridSpan w:val="7"/>
            <w:vAlign w:val="center"/>
          </w:tcPr>
          <w:p>
            <w:pPr>
              <w:pStyle w:val="8"/>
            </w:pPr>
            <w:r>
              <w:t>政府采购金额（当年</w:t>
            </w:r>
            <w:r>
              <w:rPr>
                <w:rFonts w:hint="eastAsia"/>
                <w:lang w:eastAsia="zh-CN"/>
              </w:rPr>
              <w:t>单位</w:t>
            </w:r>
            <w:r>
              <w:t>预算安排资金）</w:t>
            </w:r>
          </w:p>
        </w:tc>
        <w:tc>
          <w:tcPr>
            <w:tcW w:w="964" w:type="dxa"/>
            <w:vMerge w:val="restart"/>
            <w:vAlign w:val="center"/>
          </w:tcPr>
          <w:p>
            <w:pPr>
              <w:pStyle w:val="8"/>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0"/>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社情民意管理服务平台</w:t>
            </w:r>
          </w:p>
        </w:tc>
        <w:tc>
          <w:tcPr>
            <w:tcW w:w="964" w:type="dxa"/>
            <w:vAlign w:val="center"/>
          </w:tcPr>
          <w:p>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23</w:t>
            </w:r>
          </w:p>
        </w:tc>
        <w:tc>
          <w:tcPr>
            <w:tcW w:w="1134" w:type="dxa"/>
            <w:vAlign w:val="center"/>
          </w:tcPr>
          <w:p>
            <w:pPr>
              <w:pStyle w:val="10"/>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服务平台</w:t>
            </w:r>
          </w:p>
        </w:tc>
        <w:tc>
          <w:tcPr>
            <w:tcW w:w="1134" w:type="dxa"/>
            <w:vAlign w:val="center"/>
          </w:tcPr>
          <w:p>
            <w:pPr>
              <w:pStyle w:val="10"/>
              <w:ind w:firstLine="0" w:firstLineChars="0"/>
              <w:rPr>
                <w:rFonts w:ascii="方正书宋_GBK" w:hAnsi="方正书宋_GBK" w:eastAsia="方正书宋_GBK" w:cs="方正书宋_GBK"/>
                <w:sz w:val="21"/>
                <w:szCs w:val="24"/>
                <w:lang w:val="en-US" w:eastAsia="uk-UA" w:bidi="ar-SA"/>
              </w:rPr>
            </w:pPr>
            <w:bookmarkStart w:id="18" w:name="_GoBack"/>
            <w:bookmarkEnd w:id="18"/>
          </w:p>
        </w:tc>
        <w:tc>
          <w:tcPr>
            <w:tcW w:w="709" w:type="dxa"/>
            <w:vAlign w:val="center"/>
          </w:tcPr>
          <w:p>
            <w:pPr>
              <w:pStyle w:val="9"/>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850" w:type="dxa"/>
            <w:vAlign w:val="center"/>
          </w:tcPr>
          <w:p>
            <w:pPr>
              <w:pStyle w:val="11"/>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850" w:type="dxa"/>
            <w:vAlign w:val="center"/>
          </w:tcPr>
          <w:p>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23</w:t>
            </w:r>
          </w:p>
        </w:tc>
        <w:tc>
          <w:tcPr>
            <w:tcW w:w="964" w:type="dxa"/>
            <w:vAlign w:val="center"/>
          </w:tcPr>
          <w:p>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23</w:t>
            </w:r>
          </w:p>
        </w:tc>
        <w:tc>
          <w:tcPr>
            <w:tcW w:w="964" w:type="dxa"/>
            <w:vAlign w:val="center"/>
          </w:tcPr>
          <w:p>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23</w:t>
            </w:r>
          </w:p>
        </w:tc>
        <w:tc>
          <w:tcPr>
            <w:tcW w:w="964"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8"/>
      <w:r>
        <w:rPr>
          <w:rFonts w:hint="eastAsia" w:ascii="黑体" w:hAnsi="黑体" w:eastAsia="黑体" w:cs="黑体"/>
          <w:color w:val="000000"/>
          <w:sz w:val="32"/>
          <w:lang w:eastAsia="zh-CN"/>
        </w:rPr>
        <w:t>七</w:t>
      </w:r>
      <w:r>
        <w:rPr>
          <w:rFonts w:ascii="黑体" w:hAnsi="黑体" w:eastAsia="黑体" w:cs="黑体"/>
          <w:color w:val="000000"/>
          <w:sz w:val="32"/>
        </w:rPr>
        <w:t>、国有资产信息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中国共产党隆尧县委员会政法委员会（含所属单位）上年末固定资产金额为13.28万元（详见下表）。本年度拟购置固定资产总额为23.00万元，已按要求列入政府采购预算，详见政府采购预算表。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3"/>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5"/>
            </w:pPr>
            <w:r>
              <w:t>216中国共产党隆尧县委员会政法委员会</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0"/>
            </w:pPr>
            <w:r>
              <w:t>资产总额</w:t>
            </w:r>
          </w:p>
        </w:tc>
        <w:tc>
          <w:tcPr>
            <w:tcW w:w="2835" w:type="dxa"/>
            <w:vAlign w:val="center"/>
          </w:tcPr>
          <w:p>
            <w:pPr>
              <w:pStyle w:val="9"/>
            </w:pPr>
          </w:p>
        </w:tc>
        <w:tc>
          <w:tcPr>
            <w:tcW w:w="2835" w:type="dxa"/>
            <w:vAlign w:val="center"/>
          </w:tcPr>
          <w:p>
            <w:pPr>
              <w:pStyle w:val="11"/>
            </w:pPr>
            <w:r>
              <w:t>13.28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0"/>
            </w:pPr>
            <w:r>
              <w:t>1、房屋（平方米）</w:t>
            </w:r>
          </w:p>
        </w:tc>
        <w:tc>
          <w:tcPr>
            <w:tcW w:w="2835" w:type="dxa"/>
            <w:vAlign w:val="center"/>
          </w:tcPr>
          <w:p>
            <w:pPr>
              <w:pStyle w:val="9"/>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0"/>
            </w:pPr>
            <w:r>
              <w:t>　　其中：办公用房（平方米）</w:t>
            </w:r>
          </w:p>
        </w:tc>
        <w:tc>
          <w:tcPr>
            <w:tcW w:w="2835" w:type="dxa"/>
            <w:vAlign w:val="center"/>
          </w:tcPr>
          <w:p>
            <w:pPr>
              <w:pStyle w:val="9"/>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0"/>
            </w:pPr>
            <w:r>
              <w:t>2、车辆（台、辆）</w:t>
            </w:r>
          </w:p>
        </w:tc>
        <w:tc>
          <w:tcPr>
            <w:tcW w:w="2835" w:type="dxa"/>
            <w:vAlign w:val="center"/>
          </w:tcPr>
          <w:p>
            <w:pPr>
              <w:pStyle w:val="9"/>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0"/>
            </w:pPr>
            <w:r>
              <w:t>3、单价在20万元以上的设备</w:t>
            </w:r>
          </w:p>
        </w:tc>
        <w:tc>
          <w:tcPr>
            <w:tcW w:w="2835" w:type="dxa"/>
            <w:vAlign w:val="center"/>
          </w:tcPr>
          <w:p>
            <w:pPr>
              <w:pStyle w:val="9"/>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0"/>
            </w:pPr>
            <w:r>
              <w:t>4、其他固定资产</w:t>
            </w:r>
          </w:p>
        </w:tc>
        <w:tc>
          <w:tcPr>
            <w:tcW w:w="2835" w:type="dxa"/>
            <w:vAlign w:val="center"/>
          </w:tcPr>
          <w:p>
            <w:pPr>
              <w:pStyle w:val="9"/>
            </w:pPr>
            <w:r>
              <w:t>39</w:t>
            </w:r>
          </w:p>
        </w:tc>
        <w:tc>
          <w:tcPr>
            <w:tcW w:w="2835" w:type="dxa"/>
            <w:vAlign w:val="center"/>
          </w:tcPr>
          <w:p>
            <w:pPr>
              <w:pStyle w:val="11"/>
            </w:pPr>
            <w:r>
              <w:t>13.28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9"/>
      <w:r>
        <w:rPr>
          <w:rFonts w:hint="eastAsia" w:ascii="黑体" w:hAnsi="黑体" w:eastAsia="黑体" w:cs="黑体"/>
          <w:color w:val="000000"/>
          <w:sz w:val="32"/>
          <w:lang w:eastAsia="zh-CN"/>
        </w:rPr>
        <w:t>八</w:t>
      </w:r>
      <w:r>
        <w:rPr>
          <w:rFonts w:ascii="黑体" w:hAnsi="黑体" w:eastAsia="黑体" w:cs="黑体"/>
          <w:color w:val="000000"/>
          <w:sz w:val="32"/>
        </w:rPr>
        <w:t>、名词解释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7" w:name="_Toc_3_3_0000000020"/>
      <w:r>
        <w:rPr>
          <w:rFonts w:hint="eastAsia" w:ascii="黑体" w:hAnsi="黑体" w:eastAsia="黑体" w:cs="黑体"/>
          <w:color w:val="000000"/>
          <w:sz w:val="32"/>
          <w:lang w:eastAsia="zh-CN"/>
        </w:rPr>
        <w:t>九</w:t>
      </w:r>
      <w:r>
        <w:rPr>
          <w:rFonts w:ascii="黑体" w:hAnsi="黑体" w:eastAsia="黑体" w:cs="黑体"/>
          <w:color w:val="000000"/>
          <w:sz w:val="32"/>
        </w:rPr>
        <w:t>、其他需要说明的事项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RkM2Y4ZTdmZDQ4YzkyMmEzMDM2MWJiYjg1YmQxNmEifQ=="/>
  </w:docVars>
  <w:rsids>
    <w:rsidRoot w:val="0AC82438"/>
    <w:rsid w:val="0AC82438"/>
    <w:rsid w:val="0F737F41"/>
    <w:rsid w:val="50AB023E"/>
    <w:rsid w:val="5D5B0B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2025-03-01T09:07:00Z</dcterms:created>
  <dc:creator>Administrator</dc:creator>
  <cp:lastModifiedBy>Administrator</cp:lastModifiedBy>
  <dcterms:modified xsi:type="dcterms:W3CDTF">2025-03-03T01:07:22Z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83B3C7D7C5124C4482BB789C2137640F_11</vt:lpwstr>
  </property>
</Properties>
</file>