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10</w:t>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bookmarkStart w:id="20" w:name="_GoBack"/>
      <w:bookmarkEnd w:id="20"/>
      <w:r>
        <w:tab/>
      </w:r>
      <w:r>
        <w:fldChar w:fldCharType="begin"/>
      </w:r>
      <w:r>
        <w:instrText xml:space="preserve">PAGEREF _Toc_2_2_0000000009 \h</w:instrText>
      </w:r>
      <w:r>
        <w:fldChar w:fldCharType="separate"/>
      </w:r>
      <w:r>
        <w:t>1</w:t>
      </w:r>
      <w:r>
        <w:rPr>
          <w:rFonts w:hint="eastAsia"/>
          <w:lang w:val="en-US" w:eastAsia="zh-CN"/>
        </w:rPr>
        <w:t>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8</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5</w:t>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w:t>
      </w:r>
      <w:r>
        <w:rPr>
          <w:rFonts w:hint="eastAsia"/>
          <w:lang w:val="en-US" w:eastAsia="zh-CN"/>
        </w:rPr>
        <w:t>9</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4</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4</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3</w:t>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318隆尧县财政局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1031.20</w:t>
            </w:r>
          </w:p>
        </w:tc>
        <w:tc>
          <w:tcPr>
            <w:tcW w:w="4535" w:type="dxa"/>
            <w:vAlign w:val="center"/>
          </w:tcPr>
          <w:p>
            <w:pPr>
              <w:pStyle w:val="13"/>
            </w:pPr>
            <w:r>
              <w:t>一、一般公共服务支出</w:t>
            </w:r>
          </w:p>
        </w:tc>
        <w:tc>
          <w:tcPr>
            <w:tcW w:w="2126" w:type="dxa"/>
            <w:vAlign w:val="center"/>
          </w:tcPr>
          <w:p>
            <w:pPr>
              <w:pStyle w:val="12"/>
            </w:pPr>
            <w:r>
              <w:t>875.18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52.94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23.95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38.00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41.13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1031.20</w:t>
            </w:r>
          </w:p>
        </w:tc>
        <w:tc>
          <w:tcPr>
            <w:tcW w:w="4535" w:type="dxa"/>
            <w:vAlign w:val="center"/>
          </w:tcPr>
          <w:p>
            <w:pPr>
              <w:pStyle w:val="15"/>
            </w:pPr>
            <w:r>
              <w:t>本年支出合计</w:t>
            </w:r>
          </w:p>
        </w:tc>
        <w:tc>
          <w:tcPr>
            <w:tcW w:w="2126" w:type="dxa"/>
            <w:vAlign w:val="center"/>
          </w:tcPr>
          <w:p>
            <w:pPr>
              <w:pStyle w:val="16"/>
            </w:pPr>
            <w:r>
              <w:t>1031.20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1031.20</w:t>
            </w:r>
          </w:p>
        </w:tc>
        <w:tc>
          <w:tcPr>
            <w:tcW w:w="4535" w:type="dxa"/>
            <w:vAlign w:val="center"/>
          </w:tcPr>
          <w:p>
            <w:pPr>
              <w:pStyle w:val="15"/>
            </w:pPr>
            <w:r>
              <w:t>支出总计</w:t>
            </w:r>
          </w:p>
        </w:tc>
        <w:tc>
          <w:tcPr>
            <w:tcW w:w="2126" w:type="dxa"/>
            <w:vAlign w:val="center"/>
          </w:tcPr>
          <w:p>
            <w:pPr>
              <w:pStyle w:val="16"/>
            </w:pPr>
            <w:r>
              <w:t>1031.20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318隆尧县财政局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1031.20</w:t>
            </w:r>
          </w:p>
        </w:tc>
        <w:tc>
          <w:tcPr>
            <w:tcW w:w="1134" w:type="dxa"/>
            <w:vAlign w:val="center"/>
          </w:tcPr>
          <w:p>
            <w:pPr>
              <w:pStyle w:val="16"/>
            </w:pPr>
            <w:r>
              <w:t>1031.20</w:t>
            </w:r>
          </w:p>
        </w:tc>
        <w:tc>
          <w:tcPr>
            <w:tcW w:w="1134" w:type="dxa"/>
            <w:vAlign w:val="center"/>
          </w:tcPr>
          <w:p>
            <w:pPr>
              <w:pStyle w:val="16"/>
            </w:pPr>
            <w:r>
              <w:t>1031.20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875.18</w:t>
            </w:r>
          </w:p>
        </w:tc>
        <w:tc>
          <w:tcPr>
            <w:tcW w:w="1134" w:type="dxa"/>
            <w:vAlign w:val="center"/>
          </w:tcPr>
          <w:p>
            <w:pPr>
              <w:pStyle w:val="12"/>
            </w:pPr>
            <w:r>
              <w:t>875.18</w:t>
            </w:r>
          </w:p>
        </w:tc>
        <w:tc>
          <w:tcPr>
            <w:tcW w:w="1134" w:type="dxa"/>
            <w:vAlign w:val="center"/>
          </w:tcPr>
          <w:p>
            <w:pPr>
              <w:pStyle w:val="12"/>
            </w:pPr>
            <w:r>
              <w:t>875.18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20106</w:t>
            </w:r>
          </w:p>
        </w:tc>
        <w:tc>
          <w:tcPr>
            <w:tcW w:w="1559" w:type="dxa"/>
            <w:vAlign w:val="center"/>
          </w:tcPr>
          <w:p>
            <w:pPr>
              <w:pStyle w:val="13"/>
            </w:pPr>
            <w:r>
              <w:t>财政事务</w:t>
            </w:r>
          </w:p>
        </w:tc>
        <w:tc>
          <w:tcPr>
            <w:tcW w:w="1134" w:type="dxa"/>
            <w:vAlign w:val="center"/>
          </w:tcPr>
          <w:p>
            <w:pPr>
              <w:pStyle w:val="12"/>
            </w:pPr>
            <w:r>
              <w:t>875.18</w:t>
            </w:r>
          </w:p>
        </w:tc>
        <w:tc>
          <w:tcPr>
            <w:tcW w:w="1134" w:type="dxa"/>
            <w:vAlign w:val="center"/>
          </w:tcPr>
          <w:p>
            <w:pPr>
              <w:pStyle w:val="12"/>
            </w:pPr>
            <w:r>
              <w:t>875.18</w:t>
            </w:r>
          </w:p>
        </w:tc>
        <w:tc>
          <w:tcPr>
            <w:tcW w:w="1134" w:type="dxa"/>
            <w:vAlign w:val="center"/>
          </w:tcPr>
          <w:p>
            <w:pPr>
              <w:pStyle w:val="12"/>
            </w:pPr>
            <w:r>
              <w:t>875.18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2010601</w:t>
            </w:r>
          </w:p>
        </w:tc>
        <w:tc>
          <w:tcPr>
            <w:tcW w:w="1559" w:type="dxa"/>
            <w:vAlign w:val="center"/>
          </w:tcPr>
          <w:p>
            <w:pPr>
              <w:pStyle w:val="13"/>
            </w:pPr>
            <w:r>
              <w:t>行政运行</w:t>
            </w:r>
          </w:p>
        </w:tc>
        <w:tc>
          <w:tcPr>
            <w:tcW w:w="1134" w:type="dxa"/>
            <w:vAlign w:val="center"/>
          </w:tcPr>
          <w:p>
            <w:pPr>
              <w:pStyle w:val="12"/>
            </w:pPr>
            <w:r>
              <w:t>458.01</w:t>
            </w:r>
          </w:p>
        </w:tc>
        <w:tc>
          <w:tcPr>
            <w:tcW w:w="1134" w:type="dxa"/>
            <w:vAlign w:val="center"/>
          </w:tcPr>
          <w:p>
            <w:pPr>
              <w:pStyle w:val="12"/>
            </w:pPr>
            <w:r>
              <w:t>458.01</w:t>
            </w:r>
          </w:p>
        </w:tc>
        <w:tc>
          <w:tcPr>
            <w:tcW w:w="1134" w:type="dxa"/>
            <w:vAlign w:val="center"/>
          </w:tcPr>
          <w:p>
            <w:pPr>
              <w:pStyle w:val="12"/>
            </w:pPr>
            <w:r>
              <w:t>458.01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2010602</w:t>
            </w:r>
          </w:p>
        </w:tc>
        <w:tc>
          <w:tcPr>
            <w:tcW w:w="1559" w:type="dxa"/>
            <w:vAlign w:val="center"/>
          </w:tcPr>
          <w:p>
            <w:pPr>
              <w:pStyle w:val="13"/>
            </w:pPr>
            <w:r>
              <w:t>一般行政管理事务</w:t>
            </w:r>
          </w:p>
        </w:tc>
        <w:tc>
          <w:tcPr>
            <w:tcW w:w="1134" w:type="dxa"/>
            <w:vAlign w:val="center"/>
          </w:tcPr>
          <w:p>
            <w:pPr>
              <w:pStyle w:val="12"/>
            </w:pPr>
            <w:r>
              <w:t>138.55</w:t>
            </w:r>
          </w:p>
        </w:tc>
        <w:tc>
          <w:tcPr>
            <w:tcW w:w="1134" w:type="dxa"/>
            <w:vAlign w:val="center"/>
          </w:tcPr>
          <w:p>
            <w:pPr>
              <w:pStyle w:val="12"/>
            </w:pPr>
            <w:r>
              <w:t>138.55</w:t>
            </w:r>
          </w:p>
        </w:tc>
        <w:tc>
          <w:tcPr>
            <w:tcW w:w="1134" w:type="dxa"/>
            <w:vAlign w:val="center"/>
          </w:tcPr>
          <w:p>
            <w:pPr>
              <w:pStyle w:val="12"/>
            </w:pPr>
            <w:r>
              <w:t>138.55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2010607</w:t>
            </w:r>
          </w:p>
        </w:tc>
        <w:tc>
          <w:tcPr>
            <w:tcW w:w="1559" w:type="dxa"/>
            <w:vAlign w:val="center"/>
          </w:tcPr>
          <w:p>
            <w:pPr>
              <w:pStyle w:val="13"/>
            </w:pPr>
            <w:r>
              <w:t>信息化建设</w:t>
            </w:r>
          </w:p>
        </w:tc>
        <w:tc>
          <w:tcPr>
            <w:tcW w:w="1134" w:type="dxa"/>
            <w:vAlign w:val="center"/>
          </w:tcPr>
          <w:p>
            <w:pPr>
              <w:pStyle w:val="12"/>
            </w:pPr>
            <w:r>
              <w:t>79.62</w:t>
            </w:r>
          </w:p>
        </w:tc>
        <w:tc>
          <w:tcPr>
            <w:tcW w:w="1134" w:type="dxa"/>
            <w:vAlign w:val="center"/>
          </w:tcPr>
          <w:p>
            <w:pPr>
              <w:pStyle w:val="12"/>
            </w:pPr>
            <w:r>
              <w:t>79.62</w:t>
            </w:r>
          </w:p>
        </w:tc>
        <w:tc>
          <w:tcPr>
            <w:tcW w:w="1134" w:type="dxa"/>
            <w:vAlign w:val="center"/>
          </w:tcPr>
          <w:p>
            <w:pPr>
              <w:pStyle w:val="12"/>
            </w:pPr>
            <w:r>
              <w:t>79.62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2010608</w:t>
            </w:r>
          </w:p>
        </w:tc>
        <w:tc>
          <w:tcPr>
            <w:tcW w:w="1559" w:type="dxa"/>
            <w:vAlign w:val="center"/>
          </w:tcPr>
          <w:p>
            <w:pPr>
              <w:pStyle w:val="13"/>
            </w:pPr>
            <w:r>
              <w:t>财政委托业务支出</w:t>
            </w:r>
          </w:p>
        </w:tc>
        <w:tc>
          <w:tcPr>
            <w:tcW w:w="1134" w:type="dxa"/>
            <w:vAlign w:val="center"/>
          </w:tcPr>
          <w:p>
            <w:pPr>
              <w:pStyle w:val="12"/>
            </w:pPr>
            <w:r>
              <w:t>199.00</w:t>
            </w:r>
          </w:p>
        </w:tc>
        <w:tc>
          <w:tcPr>
            <w:tcW w:w="1134" w:type="dxa"/>
            <w:vAlign w:val="center"/>
          </w:tcPr>
          <w:p>
            <w:pPr>
              <w:pStyle w:val="12"/>
            </w:pPr>
            <w:r>
              <w:t>199.00</w:t>
            </w:r>
          </w:p>
        </w:tc>
        <w:tc>
          <w:tcPr>
            <w:tcW w:w="1134" w:type="dxa"/>
            <w:vAlign w:val="center"/>
          </w:tcPr>
          <w:p>
            <w:pPr>
              <w:pStyle w:val="12"/>
            </w:pPr>
            <w:r>
              <w:t>199.00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52.94</w:t>
            </w:r>
          </w:p>
        </w:tc>
        <w:tc>
          <w:tcPr>
            <w:tcW w:w="1134" w:type="dxa"/>
            <w:vAlign w:val="center"/>
          </w:tcPr>
          <w:p>
            <w:pPr>
              <w:pStyle w:val="12"/>
            </w:pPr>
            <w:r>
              <w:t>52.94</w:t>
            </w:r>
          </w:p>
        </w:tc>
        <w:tc>
          <w:tcPr>
            <w:tcW w:w="1134" w:type="dxa"/>
            <w:vAlign w:val="center"/>
          </w:tcPr>
          <w:p>
            <w:pPr>
              <w:pStyle w:val="12"/>
            </w:pPr>
            <w:r>
              <w:t>52.94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52.94</w:t>
            </w:r>
          </w:p>
        </w:tc>
        <w:tc>
          <w:tcPr>
            <w:tcW w:w="1134" w:type="dxa"/>
            <w:vAlign w:val="center"/>
          </w:tcPr>
          <w:p>
            <w:pPr>
              <w:pStyle w:val="12"/>
            </w:pPr>
            <w:r>
              <w:t>52.94</w:t>
            </w:r>
          </w:p>
        </w:tc>
        <w:tc>
          <w:tcPr>
            <w:tcW w:w="1134" w:type="dxa"/>
            <w:vAlign w:val="center"/>
          </w:tcPr>
          <w:p>
            <w:pPr>
              <w:pStyle w:val="12"/>
            </w:pPr>
            <w:r>
              <w:t>52.94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52.94</w:t>
            </w:r>
          </w:p>
        </w:tc>
        <w:tc>
          <w:tcPr>
            <w:tcW w:w="1134" w:type="dxa"/>
            <w:vAlign w:val="center"/>
          </w:tcPr>
          <w:p>
            <w:pPr>
              <w:pStyle w:val="12"/>
            </w:pPr>
            <w:r>
              <w:t>52.94</w:t>
            </w:r>
          </w:p>
        </w:tc>
        <w:tc>
          <w:tcPr>
            <w:tcW w:w="1134" w:type="dxa"/>
            <w:vAlign w:val="center"/>
          </w:tcPr>
          <w:p>
            <w:pPr>
              <w:pStyle w:val="12"/>
            </w:pPr>
            <w:r>
              <w:t>52.94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23.95</w:t>
            </w:r>
          </w:p>
        </w:tc>
        <w:tc>
          <w:tcPr>
            <w:tcW w:w="1134" w:type="dxa"/>
            <w:vAlign w:val="center"/>
          </w:tcPr>
          <w:p>
            <w:pPr>
              <w:pStyle w:val="12"/>
            </w:pPr>
            <w:r>
              <w:t>23.95</w:t>
            </w:r>
          </w:p>
        </w:tc>
        <w:tc>
          <w:tcPr>
            <w:tcW w:w="1134" w:type="dxa"/>
            <w:vAlign w:val="center"/>
          </w:tcPr>
          <w:p>
            <w:pPr>
              <w:pStyle w:val="12"/>
            </w:pPr>
            <w:r>
              <w:t>23.95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23.95</w:t>
            </w:r>
          </w:p>
        </w:tc>
        <w:tc>
          <w:tcPr>
            <w:tcW w:w="1134" w:type="dxa"/>
            <w:vAlign w:val="center"/>
          </w:tcPr>
          <w:p>
            <w:pPr>
              <w:pStyle w:val="12"/>
            </w:pPr>
            <w:r>
              <w:t>23.95</w:t>
            </w:r>
          </w:p>
        </w:tc>
        <w:tc>
          <w:tcPr>
            <w:tcW w:w="1134" w:type="dxa"/>
            <w:vAlign w:val="center"/>
          </w:tcPr>
          <w:p>
            <w:pPr>
              <w:pStyle w:val="12"/>
            </w:pPr>
            <w:r>
              <w:t>23.95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23.95</w:t>
            </w:r>
          </w:p>
        </w:tc>
        <w:tc>
          <w:tcPr>
            <w:tcW w:w="1134" w:type="dxa"/>
            <w:vAlign w:val="center"/>
          </w:tcPr>
          <w:p>
            <w:pPr>
              <w:pStyle w:val="12"/>
            </w:pPr>
            <w:r>
              <w:t>23.95</w:t>
            </w:r>
          </w:p>
        </w:tc>
        <w:tc>
          <w:tcPr>
            <w:tcW w:w="1134" w:type="dxa"/>
            <w:vAlign w:val="center"/>
          </w:tcPr>
          <w:p>
            <w:pPr>
              <w:pStyle w:val="12"/>
            </w:pPr>
            <w:r>
              <w:t>23.95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38.00</w:t>
            </w:r>
          </w:p>
        </w:tc>
        <w:tc>
          <w:tcPr>
            <w:tcW w:w="1134" w:type="dxa"/>
            <w:vAlign w:val="center"/>
          </w:tcPr>
          <w:p>
            <w:pPr>
              <w:pStyle w:val="12"/>
            </w:pPr>
            <w:r>
              <w:t>38.00</w:t>
            </w:r>
          </w:p>
        </w:tc>
        <w:tc>
          <w:tcPr>
            <w:tcW w:w="1134" w:type="dxa"/>
            <w:vAlign w:val="center"/>
          </w:tcPr>
          <w:p>
            <w:pPr>
              <w:pStyle w:val="12"/>
            </w:pPr>
            <w:r>
              <w:t>38.00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2130199</w:t>
            </w:r>
          </w:p>
        </w:tc>
        <w:tc>
          <w:tcPr>
            <w:tcW w:w="1559" w:type="dxa"/>
            <w:vAlign w:val="center"/>
          </w:tcPr>
          <w:p>
            <w:pPr>
              <w:pStyle w:val="13"/>
            </w:pPr>
            <w:r>
              <w:t>其他农业农村支出</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2130799</w:t>
            </w:r>
          </w:p>
        </w:tc>
        <w:tc>
          <w:tcPr>
            <w:tcW w:w="1559" w:type="dxa"/>
            <w:vAlign w:val="center"/>
          </w:tcPr>
          <w:p>
            <w:pPr>
              <w:pStyle w:val="13"/>
            </w:pPr>
            <w:r>
              <w:t>其他农村综合改革支出</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41.13</w:t>
            </w:r>
          </w:p>
        </w:tc>
        <w:tc>
          <w:tcPr>
            <w:tcW w:w="1134" w:type="dxa"/>
            <w:vAlign w:val="center"/>
          </w:tcPr>
          <w:p>
            <w:pPr>
              <w:pStyle w:val="12"/>
            </w:pPr>
            <w:r>
              <w:t>41.13</w:t>
            </w:r>
          </w:p>
        </w:tc>
        <w:tc>
          <w:tcPr>
            <w:tcW w:w="1134" w:type="dxa"/>
            <w:vAlign w:val="center"/>
          </w:tcPr>
          <w:p>
            <w:pPr>
              <w:pStyle w:val="12"/>
            </w:pPr>
            <w:r>
              <w:t>41.13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41.13</w:t>
            </w:r>
          </w:p>
        </w:tc>
        <w:tc>
          <w:tcPr>
            <w:tcW w:w="1134" w:type="dxa"/>
            <w:vAlign w:val="center"/>
          </w:tcPr>
          <w:p>
            <w:pPr>
              <w:pStyle w:val="12"/>
            </w:pPr>
            <w:r>
              <w:t>41.13</w:t>
            </w:r>
          </w:p>
        </w:tc>
        <w:tc>
          <w:tcPr>
            <w:tcW w:w="1134" w:type="dxa"/>
            <w:vAlign w:val="center"/>
          </w:tcPr>
          <w:p>
            <w:pPr>
              <w:pStyle w:val="12"/>
            </w:pPr>
            <w:r>
              <w:t>41.13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41.13</w:t>
            </w:r>
          </w:p>
        </w:tc>
        <w:tc>
          <w:tcPr>
            <w:tcW w:w="1134" w:type="dxa"/>
            <w:vAlign w:val="center"/>
          </w:tcPr>
          <w:p>
            <w:pPr>
              <w:pStyle w:val="12"/>
            </w:pPr>
            <w:r>
              <w:t>41.13</w:t>
            </w:r>
          </w:p>
        </w:tc>
        <w:tc>
          <w:tcPr>
            <w:tcW w:w="1134" w:type="dxa"/>
            <w:vAlign w:val="center"/>
          </w:tcPr>
          <w:p>
            <w:pPr>
              <w:pStyle w:val="12"/>
            </w:pPr>
            <w:r>
              <w:t>41.13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318隆尧县财政局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1031.20</w:t>
            </w:r>
          </w:p>
        </w:tc>
        <w:tc>
          <w:tcPr>
            <w:tcW w:w="1361" w:type="dxa"/>
            <w:vAlign w:val="center"/>
          </w:tcPr>
          <w:p>
            <w:pPr>
              <w:pStyle w:val="16"/>
            </w:pPr>
            <w:r>
              <w:t>576.03</w:t>
            </w:r>
          </w:p>
        </w:tc>
        <w:tc>
          <w:tcPr>
            <w:tcW w:w="1361" w:type="dxa"/>
            <w:vAlign w:val="center"/>
          </w:tcPr>
          <w:p>
            <w:pPr>
              <w:pStyle w:val="16"/>
            </w:pPr>
            <w:r>
              <w:t>455.17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875.18</w:t>
            </w:r>
          </w:p>
        </w:tc>
        <w:tc>
          <w:tcPr>
            <w:tcW w:w="1361" w:type="dxa"/>
            <w:vAlign w:val="center"/>
          </w:tcPr>
          <w:p>
            <w:pPr>
              <w:pStyle w:val="12"/>
            </w:pPr>
            <w:r>
              <w:t>458.01</w:t>
            </w:r>
          </w:p>
        </w:tc>
        <w:tc>
          <w:tcPr>
            <w:tcW w:w="1361" w:type="dxa"/>
            <w:vAlign w:val="center"/>
          </w:tcPr>
          <w:p>
            <w:pPr>
              <w:pStyle w:val="12"/>
            </w:pPr>
            <w:r>
              <w:t>417.17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20106</w:t>
            </w:r>
          </w:p>
        </w:tc>
        <w:tc>
          <w:tcPr>
            <w:tcW w:w="4535" w:type="dxa"/>
            <w:vAlign w:val="center"/>
          </w:tcPr>
          <w:p>
            <w:pPr>
              <w:pStyle w:val="13"/>
            </w:pPr>
            <w:r>
              <w:t>财政事务</w:t>
            </w:r>
          </w:p>
        </w:tc>
        <w:tc>
          <w:tcPr>
            <w:tcW w:w="1361" w:type="dxa"/>
            <w:vAlign w:val="center"/>
          </w:tcPr>
          <w:p>
            <w:pPr>
              <w:pStyle w:val="12"/>
            </w:pPr>
            <w:r>
              <w:t>875.18</w:t>
            </w:r>
          </w:p>
        </w:tc>
        <w:tc>
          <w:tcPr>
            <w:tcW w:w="1361" w:type="dxa"/>
            <w:vAlign w:val="center"/>
          </w:tcPr>
          <w:p>
            <w:pPr>
              <w:pStyle w:val="12"/>
            </w:pPr>
            <w:r>
              <w:t>458.01</w:t>
            </w:r>
          </w:p>
        </w:tc>
        <w:tc>
          <w:tcPr>
            <w:tcW w:w="1361" w:type="dxa"/>
            <w:vAlign w:val="center"/>
          </w:tcPr>
          <w:p>
            <w:pPr>
              <w:pStyle w:val="12"/>
            </w:pPr>
            <w:r>
              <w:t>417.17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2010601</w:t>
            </w:r>
          </w:p>
        </w:tc>
        <w:tc>
          <w:tcPr>
            <w:tcW w:w="4535" w:type="dxa"/>
            <w:vAlign w:val="center"/>
          </w:tcPr>
          <w:p>
            <w:pPr>
              <w:pStyle w:val="13"/>
            </w:pPr>
            <w:r>
              <w:t>行政运行</w:t>
            </w:r>
          </w:p>
        </w:tc>
        <w:tc>
          <w:tcPr>
            <w:tcW w:w="1361" w:type="dxa"/>
            <w:vAlign w:val="center"/>
          </w:tcPr>
          <w:p>
            <w:pPr>
              <w:pStyle w:val="12"/>
            </w:pPr>
            <w:r>
              <w:t>458.01</w:t>
            </w:r>
          </w:p>
        </w:tc>
        <w:tc>
          <w:tcPr>
            <w:tcW w:w="1361" w:type="dxa"/>
            <w:vAlign w:val="center"/>
          </w:tcPr>
          <w:p>
            <w:pPr>
              <w:pStyle w:val="12"/>
            </w:pPr>
            <w:r>
              <w:t>458.01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2010602</w:t>
            </w:r>
          </w:p>
        </w:tc>
        <w:tc>
          <w:tcPr>
            <w:tcW w:w="4535" w:type="dxa"/>
            <w:vAlign w:val="center"/>
          </w:tcPr>
          <w:p>
            <w:pPr>
              <w:pStyle w:val="13"/>
            </w:pPr>
            <w:r>
              <w:t>一般行政管理事务</w:t>
            </w:r>
          </w:p>
        </w:tc>
        <w:tc>
          <w:tcPr>
            <w:tcW w:w="1361" w:type="dxa"/>
            <w:vAlign w:val="center"/>
          </w:tcPr>
          <w:p>
            <w:pPr>
              <w:pStyle w:val="12"/>
            </w:pPr>
            <w:r>
              <w:t>138.55</w:t>
            </w:r>
          </w:p>
        </w:tc>
        <w:tc>
          <w:tcPr>
            <w:tcW w:w="1361" w:type="dxa"/>
            <w:vAlign w:val="center"/>
          </w:tcPr>
          <w:p>
            <w:pPr>
              <w:pStyle w:val="12"/>
            </w:pPr>
          </w:p>
        </w:tc>
        <w:tc>
          <w:tcPr>
            <w:tcW w:w="1361" w:type="dxa"/>
            <w:vAlign w:val="center"/>
          </w:tcPr>
          <w:p>
            <w:pPr>
              <w:pStyle w:val="12"/>
            </w:pPr>
            <w:r>
              <w:t>138.55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2010607</w:t>
            </w:r>
          </w:p>
        </w:tc>
        <w:tc>
          <w:tcPr>
            <w:tcW w:w="4535" w:type="dxa"/>
            <w:vAlign w:val="center"/>
          </w:tcPr>
          <w:p>
            <w:pPr>
              <w:pStyle w:val="13"/>
            </w:pPr>
            <w:r>
              <w:t>信息化建设</w:t>
            </w:r>
          </w:p>
        </w:tc>
        <w:tc>
          <w:tcPr>
            <w:tcW w:w="1361" w:type="dxa"/>
            <w:vAlign w:val="center"/>
          </w:tcPr>
          <w:p>
            <w:pPr>
              <w:pStyle w:val="12"/>
            </w:pPr>
            <w:r>
              <w:t>79.62</w:t>
            </w:r>
          </w:p>
        </w:tc>
        <w:tc>
          <w:tcPr>
            <w:tcW w:w="1361" w:type="dxa"/>
            <w:vAlign w:val="center"/>
          </w:tcPr>
          <w:p>
            <w:pPr>
              <w:pStyle w:val="12"/>
            </w:pPr>
          </w:p>
        </w:tc>
        <w:tc>
          <w:tcPr>
            <w:tcW w:w="1361" w:type="dxa"/>
            <w:vAlign w:val="center"/>
          </w:tcPr>
          <w:p>
            <w:pPr>
              <w:pStyle w:val="12"/>
            </w:pPr>
            <w:r>
              <w:t>79.62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2010608</w:t>
            </w:r>
          </w:p>
        </w:tc>
        <w:tc>
          <w:tcPr>
            <w:tcW w:w="4535" w:type="dxa"/>
            <w:vAlign w:val="center"/>
          </w:tcPr>
          <w:p>
            <w:pPr>
              <w:pStyle w:val="13"/>
            </w:pPr>
            <w:r>
              <w:t>财政委托业务支出</w:t>
            </w:r>
          </w:p>
        </w:tc>
        <w:tc>
          <w:tcPr>
            <w:tcW w:w="1361" w:type="dxa"/>
            <w:vAlign w:val="center"/>
          </w:tcPr>
          <w:p>
            <w:pPr>
              <w:pStyle w:val="12"/>
            </w:pPr>
            <w:r>
              <w:t>199.00</w:t>
            </w:r>
          </w:p>
        </w:tc>
        <w:tc>
          <w:tcPr>
            <w:tcW w:w="1361" w:type="dxa"/>
            <w:vAlign w:val="center"/>
          </w:tcPr>
          <w:p>
            <w:pPr>
              <w:pStyle w:val="12"/>
            </w:pPr>
          </w:p>
        </w:tc>
        <w:tc>
          <w:tcPr>
            <w:tcW w:w="1361" w:type="dxa"/>
            <w:vAlign w:val="center"/>
          </w:tcPr>
          <w:p>
            <w:pPr>
              <w:pStyle w:val="12"/>
            </w:pPr>
            <w:r>
              <w:t>199.00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52.94</w:t>
            </w:r>
          </w:p>
        </w:tc>
        <w:tc>
          <w:tcPr>
            <w:tcW w:w="1361" w:type="dxa"/>
            <w:vAlign w:val="center"/>
          </w:tcPr>
          <w:p>
            <w:pPr>
              <w:pStyle w:val="12"/>
            </w:pPr>
            <w:r>
              <w:t>52.94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52.94</w:t>
            </w:r>
          </w:p>
        </w:tc>
        <w:tc>
          <w:tcPr>
            <w:tcW w:w="1361" w:type="dxa"/>
            <w:vAlign w:val="center"/>
          </w:tcPr>
          <w:p>
            <w:pPr>
              <w:pStyle w:val="12"/>
            </w:pPr>
            <w:r>
              <w:t>52.94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52.94</w:t>
            </w:r>
          </w:p>
        </w:tc>
        <w:tc>
          <w:tcPr>
            <w:tcW w:w="1361" w:type="dxa"/>
            <w:vAlign w:val="center"/>
          </w:tcPr>
          <w:p>
            <w:pPr>
              <w:pStyle w:val="12"/>
            </w:pPr>
            <w:r>
              <w:t>52.94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23.95</w:t>
            </w:r>
          </w:p>
        </w:tc>
        <w:tc>
          <w:tcPr>
            <w:tcW w:w="1361" w:type="dxa"/>
            <w:vAlign w:val="center"/>
          </w:tcPr>
          <w:p>
            <w:pPr>
              <w:pStyle w:val="12"/>
            </w:pPr>
            <w:r>
              <w:t>23.95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23.95</w:t>
            </w:r>
          </w:p>
        </w:tc>
        <w:tc>
          <w:tcPr>
            <w:tcW w:w="1361" w:type="dxa"/>
            <w:vAlign w:val="center"/>
          </w:tcPr>
          <w:p>
            <w:pPr>
              <w:pStyle w:val="12"/>
            </w:pPr>
            <w:r>
              <w:t>23.95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23.95</w:t>
            </w:r>
          </w:p>
        </w:tc>
        <w:tc>
          <w:tcPr>
            <w:tcW w:w="1361" w:type="dxa"/>
            <w:vAlign w:val="center"/>
          </w:tcPr>
          <w:p>
            <w:pPr>
              <w:pStyle w:val="12"/>
            </w:pPr>
            <w:r>
              <w:t>23.95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38.00</w:t>
            </w:r>
          </w:p>
        </w:tc>
        <w:tc>
          <w:tcPr>
            <w:tcW w:w="1361" w:type="dxa"/>
            <w:vAlign w:val="center"/>
          </w:tcPr>
          <w:p>
            <w:pPr>
              <w:pStyle w:val="12"/>
            </w:pPr>
          </w:p>
        </w:tc>
        <w:tc>
          <w:tcPr>
            <w:tcW w:w="1361" w:type="dxa"/>
            <w:vAlign w:val="center"/>
          </w:tcPr>
          <w:p>
            <w:pPr>
              <w:pStyle w:val="12"/>
            </w:pPr>
            <w:r>
              <w:t>38.00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2130199</w:t>
            </w:r>
          </w:p>
        </w:tc>
        <w:tc>
          <w:tcPr>
            <w:tcW w:w="4535" w:type="dxa"/>
            <w:vAlign w:val="center"/>
          </w:tcPr>
          <w:p>
            <w:pPr>
              <w:pStyle w:val="13"/>
            </w:pPr>
            <w:r>
              <w:t>其他农业农村支出</w:t>
            </w: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2130799</w:t>
            </w:r>
          </w:p>
        </w:tc>
        <w:tc>
          <w:tcPr>
            <w:tcW w:w="4535" w:type="dxa"/>
            <w:vAlign w:val="center"/>
          </w:tcPr>
          <w:p>
            <w:pPr>
              <w:pStyle w:val="13"/>
            </w:pPr>
            <w:r>
              <w:t>其他农村综合改革支出</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41.13</w:t>
            </w:r>
          </w:p>
        </w:tc>
        <w:tc>
          <w:tcPr>
            <w:tcW w:w="1361" w:type="dxa"/>
            <w:vAlign w:val="center"/>
          </w:tcPr>
          <w:p>
            <w:pPr>
              <w:pStyle w:val="12"/>
            </w:pPr>
            <w:r>
              <w:t>41.13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41.13</w:t>
            </w:r>
          </w:p>
        </w:tc>
        <w:tc>
          <w:tcPr>
            <w:tcW w:w="1361" w:type="dxa"/>
            <w:vAlign w:val="center"/>
          </w:tcPr>
          <w:p>
            <w:pPr>
              <w:pStyle w:val="12"/>
            </w:pPr>
            <w:r>
              <w:t>41.13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41.13</w:t>
            </w:r>
          </w:p>
        </w:tc>
        <w:tc>
          <w:tcPr>
            <w:tcW w:w="1361" w:type="dxa"/>
            <w:vAlign w:val="center"/>
          </w:tcPr>
          <w:p>
            <w:pPr>
              <w:pStyle w:val="12"/>
            </w:pPr>
            <w:r>
              <w:t>41.13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318隆尧县财政局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1031.20</w:t>
            </w:r>
          </w:p>
        </w:tc>
        <w:tc>
          <w:tcPr>
            <w:tcW w:w="3402" w:type="dxa"/>
            <w:vAlign w:val="center"/>
          </w:tcPr>
          <w:p>
            <w:pPr>
              <w:pStyle w:val="13"/>
            </w:pPr>
            <w:r>
              <w:t>一、一般公共服务支出</w:t>
            </w:r>
          </w:p>
        </w:tc>
        <w:tc>
          <w:tcPr>
            <w:tcW w:w="1474" w:type="dxa"/>
            <w:vAlign w:val="center"/>
          </w:tcPr>
          <w:p>
            <w:pPr>
              <w:pStyle w:val="12"/>
            </w:pPr>
            <w:r>
              <w:t>875.18</w:t>
            </w:r>
          </w:p>
        </w:tc>
        <w:tc>
          <w:tcPr>
            <w:tcW w:w="1474" w:type="dxa"/>
            <w:vAlign w:val="center"/>
          </w:tcPr>
          <w:p>
            <w:pPr>
              <w:pStyle w:val="12"/>
            </w:pPr>
            <w:r>
              <w:t>875.18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52.94</w:t>
            </w:r>
          </w:p>
        </w:tc>
        <w:tc>
          <w:tcPr>
            <w:tcW w:w="1474" w:type="dxa"/>
            <w:vAlign w:val="center"/>
          </w:tcPr>
          <w:p>
            <w:pPr>
              <w:pStyle w:val="12"/>
            </w:pPr>
            <w:r>
              <w:t>52.94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23.95</w:t>
            </w:r>
          </w:p>
        </w:tc>
        <w:tc>
          <w:tcPr>
            <w:tcW w:w="1474" w:type="dxa"/>
            <w:vAlign w:val="center"/>
          </w:tcPr>
          <w:p>
            <w:pPr>
              <w:pStyle w:val="12"/>
            </w:pPr>
            <w:r>
              <w:t>23.95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38.00</w:t>
            </w:r>
          </w:p>
        </w:tc>
        <w:tc>
          <w:tcPr>
            <w:tcW w:w="1474" w:type="dxa"/>
            <w:vAlign w:val="center"/>
          </w:tcPr>
          <w:p>
            <w:pPr>
              <w:pStyle w:val="12"/>
            </w:pPr>
            <w:r>
              <w:t>38.00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41.13</w:t>
            </w:r>
          </w:p>
        </w:tc>
        <w:tc>
          <w:tcPr>
            <w:tcW w:w="1474" w:type="dxa"/>
            <w:vAlign w:val="center"/>
          </w:tcPr>
          <w:p>
            <w:pPr>
              <w:pStyle w:val="12"/>
            </w:pPr>
            <w:r>
              <w:t>41.13</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1031.20</w:t>
            </w:r>
          </w:p>
        </w:tc>
        <w:tc>
          <w:tcPr>
            <w:tcW w:w="3402" w:type="dxa"/>
            <w:vAlign w:val="center"/>
          </w:tcPr>
          <w:p>
            <w:pPr>
              <w:pStyle w:val="15"/>
            </w:pPr>
            <w:r>
              <w:t>本年支出合计</w:t>
            </w:r>
          </w:p>
        </w:tc>
        <w:tc>
          <w:tcPr>
            <w:tcW w:w="1474" w:type="dxa"/>
            <w:vAlign w:val="center"/>
          </w:tcPr>
          <w:p>
            <w:pPr>
              <w:pStyle w:val="16"/>
            </w:pPr>
            <w:r>
              <w:t>1031.20</w:t>
            </w:r>
          </w:p>
        </w:tc>
        <w:tc>
          <w:tcPr>
            <w:tcW w:w="1474" w:type="dxa"/>
            <w:vAlign w:val="center"/>
          </w:tcPr>
          <w:p>
            <w:pPr>
              <w:pStyle w:val="16"/>
            </w:pPr>
            <w:r>
              <w:t>1031.20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1031.20</w:t>
            </w:r>
          </w:p>
        </w:tc>
        <w:tc>
          <w:tcPr>
            <w:tcW w:w="3402" w:type="dxa"/>
            <w:vAlign w:val="center"/>
          </w:tcPr>
          <w:p>
            <w:pPr>
              <w:pStyle w:val="15"/>
            </w:pPr>
            <w:r>
              <w:t>支出总计</w:t>
            </w:r>
          </w:p>
        </w:tc>
        <w:tc>
          <w:tcPr>
            <w:tcW w:w="1474" w:type="dxa"/>
            <w:vAlign w:val="center"/>
          </w:tcPr>
          <w:p>
            <w:pPr>
              <w:pStyle w:val="16"/>
            </w:pPr>
            <w:r>
              <w:t>1031.20</w:t>
            </w:r>
          </w:p>
        </w:tc>
        <w:tc>
          <w:tcPr>
            <w:tcW w:w="1474" w:type="dxa"/>
            <w:vAlign w:val="center"/>
          </w:tcPr>
          <w:p>
            <w:pPr>
              <w:pStyle w:val="16"/>
            </w:pPr>
            <w:r>
              <w:t>1031.20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318隆尧县财政局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1031.20</w:t>
            </w:r>
          </w:p>
        </w:tc>
        <w:tc>
          <w:tcPr>
            <w:tcW w:w="2551" w:type="dxa"/>
            <w:vAlign w:val="center"/>
          </w:tcPr>
          <w:p>
            <w:pPr>
              <w:pStyle w:val="16"/>
            </w:pPr>
            <w:r>
              <w:t>576.03</w:t>
            </w:r>
          </w:p>
        </w:tc>
        <w:tc>
          <w:tcPr>
            <w:tcW w:w="2551" w:type="dxa"/>
            <w:vAlign w:val="center"/>
          </w:tcPr>
          <w:p>
            <w:pPr>
              <w:pStyle w:val="16"/>
            </w:pPr>
            <w:r>
              <w:t>455.17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875.18</w:t>
            </w:r>
          </w:p>
        </w:tc>
        <w:tc>
          <w:tcPr>
            <w:tcW w:w="2551" w:type="dxa"/>
            <w:vAlign w:val="center"/>
          </w:tcPr>
          <w:p>
            <w:pPr>
              <w:pStyle w:val="12"/>
            </w:pPr>
            <w:r>
              <w:t>458.01</w:t>
            </w:r>
          </w:p>
        </w:tc>
        <w:tc>
          <w:tcPr>
            <w:tcW w:w="2551" w:type="dxa"/>
            <w:vAlign w:val="center"/>
          </w:tcPr>
          <w:p>
            <w:pPr>
              <w:pStyle w:val="12"/>
            </w:pPr>
            <w:r>
              <w:t>417.17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20106</w:t>
            </w:r>
          </w:p>
        </w:tc>
        <w:tc>
          <w:tcPr>
            <w:tcW w:w="4535" w:type="dxa"/>
            <w:vAlign w:val="center"/>
          </w:tcPr>
          <w:p>
            <w:pPr>
              <w:pStyle w:val="13"/>
            </w:pPr>
            <w:r>
              <w:t>财政事务</w:t>
            </w:r>
          </w:p>
        </w:tc>
        <w:tc>
          <w:tcPr>
            <w:tcW w:w="2551" w:type="dxa"/>
            <w:vAlign w:val="center"/>
          </w:tcPr>
          <w:p>
            <w:pPr>
              <w:pStyle w:val="12"/>
            </w:pPr>
            <w:r>
              <w:t>875.18</w:t>
            </w:r>
          </w:p>
        </w:tc>
        <w:tc>
          <w:tcPr>
            <w:tcW w:w="2551" w:type="dxa"/>
            <w:vAlign w:val="center"/>
          </w:tcPr>
          <w:p>
            <w:pPr>
              <w:pStyle w:val="12"/>
            </w:pPr>
            <w:r>
              <w:t>458.01</w:t>
            </w:r>
          </w:p>
        </w:tc>
        <w:tc>
          <w:tcPr>
            <w:tcW w:w="2551" w:type="dxa"/>
            <w:vAlign w:val="center"/>
          </w:tcPr>
          <w:p>
            <w:pPr>
              <w:pStyle w:val="12"/>
            </w:pPr>
            <w:r>
              <w:t>417.17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2010601</w:t>
            </w:r>
          </w:p>
        </w:tc>
        <w:tc>
          <w:tcPr>
            <w:tcW w:w="4535" w:type="dxa"/>
            <w:vAlign w:val="center"/>
          </w:tcPr>
          <w:p>
            <w:pPr>
              <w:pStyle w:val="13"/>
            </w:pPr>
            <w:r>
              <w:t>行政运行</w:t>
            </w:r>
          </w:p>
        </w:tc>
        <w:tc>
          <w:tcPr>
            <w:tcW w:w="2551" w:type="dxa"/>
            <w:vAlign w:val="center"/>
          </w:tcPr>
          <w:p>
            <w:pPr>
              <w:pStyle w:val="12"/>
            </w:pPr>
            <w:r>
              <w:t>458.01</w:t>
            </w:r>
          </w:p>
        </w:tc>
        <w:tc>
          <w:tcPr>
            <w:tcW w:w="2551" w:type="dxa"/>
            <w:vAlign w:val="center"/>
          </w:tcPr>
          <w:p>
            <w:pPr>
              <w:pStyle w:val="12"/>
            </w:pPr>
            <w:r>
              <w:t>458.01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2010602</w:t>
            </w:r>
          </w:p>
        </w:tc>
        <w:tc>
          <w:tcPr>
            <w:tcW w:w="4535" w:type="dxa"/>
            <w:vAlign w:val="center"/>
          </w:tcPr>
          <w:p>
            <w:pPr>
              <w:pStyle w:val="13"/>
            </w:pPr>
            <w:r>
              <w:t>一般行政管理事务</w:t>
            </w:r>
          </w:p>
        </w:tc>
        <w:tc>
          <w:tcPr>
            <w:tcW w:w="2551" w:type="dxa"/>
            <w:vAlign w:val="center"/>
          </w:tcPr>
          <w:p>
            <w:pPr>
              <w:pStyle w:val="12"/>
            </w:pPr>
            <w:r>
              <w:t>138.55</w:t>
            </w:r>
          </w:p>
        </w:tc>
        <w:tc>
          <w:tcPr>
            <w:tcW w:w="2551" w:type="dxa"/>
            <w:vAlign w:val="center"/>
          </w:tcPr>
          <w:p>
            <w:pPr>
              <w:pStyle w:val="12"/>
            </w:pPr>
          </w:p>
        </w:tc>
        <w:tc>
          <w:tcPr>
            <w:tcW w:w="2551" w:type="dxa"/>
            <w:vAlign w:val="center"/>
          </w:tcPr>
          <w:p>
            <w:pPr>
              <w:pStyle w:val="12"/>
            </w:pPr>
            <w:r>
              <w:t>138.55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2010607</w:t>
            </w:r>
          </w:p>
        </w:tc>
        <w:tc>
          <w:tcPr>
            <w:tcW w:w="4535" w:type="dxa"/>
            <w:vAlign w:val="center"/>
          </w:tcPr>
          <w:p>
            <w:pPr>
              <w:pStyle w:val="13"/>
            </w:pPr>
            <w:r>
              <w:t>信息化建设</w:t>
            </w:r>
          </w:p>
        </w:tc>
        <w:tc>
          <w:tcPr>
            <w:tcW w:w="2551" w:type="dxa"/>
            <w:vAlign w:val="center"/>
          </w:tcPr>
          <w:p>
            <w:pPr>
              <w:pStyle w:val="12"/>
            </w:pPr>
            <w:r>
              <w:t>79.62</w:t>
            </w:r>
          </w:p>
        </w:tc>
        <w:tc>
          <w:tcPr>
            <w:tcW w:w="2551" w:type="dxa"/>
            <w:vAlign w:val="center"/>
          </w:tcPr>
          <w:p>
            <w:pPr>
              <w:pStyle w:val="12"/>
            </w:pPr>
          </w:p>
        </w:tc>
        <w:tc>
          <w:tcPr>
            <w:tcW w:w="2551" w:type="dxa"/>
            <w:vAlign w:val="center"/>
          </w:tcPr>
          <w:p>
            <w:pPr>
              <w:pStyle w:val="12"/>
            </w:pPr>
            <w:r>
              <w:t>79.62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2010608</w:t>
            </w:r>
          </w:p>
        </w:tc>
        <w:tc>
          <w:tcPr>
            <w:tcW w:w="4535" w:type="dxa"/>
            <w:vAlign w:val="center"/>
          </w:tcPr>
          <w:p>
            <w:pPr>
              <w:pStyle w:val="13"/>
            </w:pPr>
            <w:r>
              <w:t>财政委托业务支出</w:t>
            </w:r>
          </w:p>
        </w:tc>
        <w:tc>
          <w:tcPr>
            <w:tcW w:w="2551" w:type="dxa"/>
            <w:vAlign w:val="center"/>
          </w:tcPr>
          <w:p>
            <w:pPr>
              <w:pStyle w:val="12"/>
            </w:pPr>
            <w:r>
              <w:t>199.00</w:t>
            </w:r>
          </w:p>
        </w:tc>
        <w:tc>
          <w:tcPr>
            <w:tcW w:w="2551" w:type="dxa"/>
            <w:vAlign w:val="center"/>
          </w:tcPr>
          <w:p>
            <w:pPr>
              <w:pStyle w:val="12"/>
            </w:pPr>
          </w:p>
        </w:tc>
        <w:tc>
          <w:tcPr>
            <w:tcW w:w="2551" w:type="dxa"/>
            <w:vAlign w:val="center"/>
          </w:tcPr>
          <w:p>
            <w:pPr>
              <w:pStyle w:val="12"/>
            </w:pPr>
            <w:r>
              <w:t>199.00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52.94</w:t>
            </w:r>
          </w:p>
        </w:tc>
        <w:tc>
          <w:tcPr>
            <w:tcW w:w="2551" w:type="dxa"/>
            <w:vAlign w:val="center"/>
          </w:tcPr>
          <w:p>
            <w:pPr>
              <w:pStyle w:val="12"/>
            </w:pPr>
            <w:r>
              <w:t>52.94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52.94</w:t>
            </w:r>
          </w:p>
        </w:tc>
        <w:tc>
          <w:tcPr>
            <w:tcW w:w="2551" w:type="dxa"/>
            <w:vAlign w:val="center"/>
          </w:tcPr>
          <w:p>
            <w:pPr>
              <w:pStyle w:val="12"/>
            </w:pPr>
            <w:r>
              <w:t>52.94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52.94</w:t>
            </w:r>
          </w:p>
        </w:tc>
        <w:tc>
          <w:tcPr>
            <w:tcW w:w="2551" w:type="dxa"/>
            <w:vAlign w:val="center"/>
          </w:tcPr>
          <w:p>
            <w:pPr>
              <w:pStyle w:val="12"/>
            </w:pPr>
            <w:r>
              <w:t>52.94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23.95</w:t>
            </w:r>
          </w:p>
        </w:tc>
        <w:tc>
          <w:tcPr>
            <w:tcW w:w="2551" w:type="dxa"/>
            <w:vAlign w:val="center"/>
          </w:tcPr>
          <w:p>
            <w:pPr>
              <w:pStyle w:val="12"/>
            </w:pPr>
            <w:r>
              <w:t>23.95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23.95</w:t>
            </w:r>
          </w:p>
        </w:tc>
        <w:tc>
          <w:tcPr>
            <w:tcW w:w="2551" w:type="dxa"/>
            <w:vAlign w:val="center"/>
          </w:tcPr>
          <w:p>
            <w:pPr>
              <w:pStyle w:val="12"/>
            </w:pPr>
            <w:r>
              <w:t>23.95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23.95</w:t>
            </w:r>
          </w:p>
        </w:tc>
        <w:tc>
          <w:tcPr>
            <w:tcW w:w="2551" w:type="dxa"/>
            <w:vAlign w:val="center"/>
          </w:tcPr>
          <w:p>
            <w:pPr>
              <w:pStyle w:val="12"/>
            </w:pPr>
            <w:r>
              <w:t>23.95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38.00</w:t>
            </w:r>
          </w:p>
        </w:tc>
        <w:tc>
          <w:tcPr>
            <w:tcW w:w="2551" w:type="dxa"/>
            <w:vAlign w:val="center"/>
          </w:tcPr>
          <w:p>
            <w:pPr>
              <w:pStyle w:val="12"/>
            </w:pPr>
          </w:p>
        </w:tc>
        <w:tc>
          <w:tcPr>
            <w:tcW w:w="2551" w:type="dxa"/>
            <w:vAlign w:val="center"/>
          </w:tcPr>
          <w:p>
            <w:pPr>
              <w:pStyle w:val="12"/>
            </w:pPr>
            <w:r>
              <w:t>38.00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18.00</w:t>
            </w:r>
          </w:p>
        </w:tc>
        <w:tc>
          <w:tcPr>
            <w:tcW w:w="2551" w:type="dxa"/>
            <w:vAlign w:val="center"/>
          </w:tcPr>
          <w:p>
            <w:pPr>
              <w:pStyle w:val="12"/>
            </w:pPr>
          </w:p>
        </w:tc>
        <w:tc>
          <w:tcPr>
            <w:tcW w:w="2551" w:type="dxa"/>
            <w:vAlign w:val="center"/>
          </w:tcPr>
          <w:p>
            <w:pPr>
              <w:pStyle w:val="12"/>
            </w:pPr>
            <w:r>
              <w:t>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2130199</w:t>
            </w:r>
          </w:p>
        </w:tc>
        <w:tc>
          <w:tcPr>
            <w:tcW w:w="4535" w:type="dxa"/>
            <w:vAlign w:val="center"/>
          </w:tcPr>
          <w:p>
            <w:pPr>
              <w:pStyle w:val="13"/>
            </w:pPr>
            <w:r>
              <w:t>其他农业农村支出</w:t>
            </w:r>
          </w:p>
        </w:tc>
        <w:tc>
          <w:tcPr>
            <w:tcW w:w="2551" w:type="dxa"/>
            <w:vAlign w:val="center"/>
          </w:tcPr>
          <w:p>
            <w:pPr>
              <w:pStyle w:val="12"/>
            </w:pPr>
            <w:r>
              <w:t>18.00</w:t>
            </w:r>
          </w:p>
        </w:tc>
        <w:tc>
          <w:tcPr>
            <w:tcW w:w="2551" w:type="dxa"/>
            <w:vAlign w:val="center"/>
          </w:tcPr>
          <w:p>
            <w:pPr>
              <w:pStyle w:val="12"/>
            </w:pPr>
          </w:p>
        </w:tc>
        <w:tc>
          <w:tcPr>
            <w:tcW w:w="2551" w:type="dxa"/>
            <w:vAlign w:val="center"/>
          </w:tcPr>
          <w:p>
            <w:pPr>
              <w:pStyle w:val="12"/>
            </w:pPr>
            <w:r>
              <w:t>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2130799</w:t>
            </w:r>
          </w:p>
        </w:tc>
        <w:tc>
          <w:tcPr>
            <w:tcW w:w="4535" w:type="dxa"/>
            <w:vAlign w:val="center"/>
          </w:tcPr>
          <w:p>
            <w:pPr>
              <w:pStyle w:val="13"/>
            </w:pPr>
            <w:r>
              <w:t>其他农村综合改革支出</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41.13</w:t>
            </w:r>
          </w:p>
        </w:tc>
        <w:tc>
          <w:tcPr>
            <w:tcW w:w="2551" w:type="dxa"/>
            <w:vAlign w:val="center"/>
          </w:tcPr>
          <w:p>
            <w:pPr>
              <w:pStyle w:val="12"/>
            </w:pPr>
            <w:r>
              <w:t>41.13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41.13</w:t>
            </w:r>
          </w:p>
        </w:tc>
        <w:tc>
          <w:tcPr>
            <w:tcW w:w="2551" w:type="dxa"/>
            <w:vAlign w:val="center"/>
          </w:tcPr>
          <w:p>
            <w:pPr>
              <w:pStyle w:val="12"/>
            </w:pPr>
            <w:r>
              <w:t>41.13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41.13</w:t>
            </w:r>
          </w:p>
        </w:tc>
        <w:tc>
          <w:tcPr>
            <w:tcW w:w="2551" w:type="dxa"/>
            <w:vAlign w:val="center"/>
          </w:tcPr>
          <w:p>
            <w:pPr>
              <w:pStyle w:val="12"/>
            </w:pPr>
            <w:r>
              <w:t>41.13</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318隆尧县财政局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576.03</w:t>
            </w:r>
          </w:p>
        </w:tc>
        <w:tc>
          <w:tcPr>
            <w:tcW w:w="2551" w:type="dxa"/>
            <w:vAlign w:val="center"/>
          </w:tcPr>
          <w:p>
            <w:pPr>
              <w:pStyle w:val="16"/>
            </w:pPr>
            <w:r>
              <w:t>534.83</w:t>
            </w:r>
          </w:p>
        </w:tc>
        <w:tc>
          <w:tcPr>
            <w:tcW w:w="2551" w:type="dxa"/>
            <w:vAlign w:val="center"/>
          </w:tcPr>
          <w:p>
            <w:pPr>
              <w:pStyle w:val="16"/>
            </w:pPr>
            <w:r>
              <w:t>41.20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490.10</w:t>
            </w:r>
          </w:p>
        </w:tc>
        <w:tc>
          <w:tcPr>
            <w:tcW w:w="2551" w:type="dxa"/>
            <w:vAlign w:val="center"/>
          </w:tcPr>
          <w:p>
            <w:pPr>
              <w:pStyle w:val="12"/>
            </w:pPr>
            <w:r>
              <w:t>490.10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235.43</w:t>
            </w:r>
          </w:p>
        </w:tc>
        <w:tc>
          <w:tcPr>
            <w:tcW w:w="2551" w:type="dxa"/>
            <w:vAlign w:val="center"/>
          </w:tcPr>
          <w:p>
            <w:pPr>
              <w:pStyle w:val="12"/>
            </w:pPr>
            <w:r>
              <w:t>235.43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34.78</w:t>
            </w:r>
          </w:p>
        </w:tc>
        <w:tc>
          <w:tcPr>
            <w:tcW w:w="2551" w:type="dxa"/>
            <w:vAlign w:val="center"/>
          </w:tcPr>
          <w:p>
            <w:pPr>
              <w:pStyle w:val="12"/>
            </w:pPr>
            <w:r>
              <w:t>34.78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37.35</w:t>
            </w:r>
          </w:p>
        </w:tc>
        <w:tc>
          <w:tcPr>
            <w:tcW w:w="2551" w:type="dxa"/>
            <w:vAlign w:val="center"/>
          </w:tcPr>
          <w:p>
            <w:pPr>
              <w:pStyle w:val="12"/>
            </w:pPr>
            <w:r>
              <w:t>37.35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63.16</w:t>
            </w:r>
          </w:p>
        </w:tc>
        <w:tc>
          <w:tcPr>
            <w:tcW w:w="2551" w:type="dxa"/>
            <w:vAlign w:val="center"/>
          </w:tcPr>
          <w:p>
            <w:pPr>
              <w:pStyle w:val="12"/>
            </w:pPr>
            <w:r>
              <w:t>63.16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52.94</w:t>
            </w:r>
          </w:p>
        </w:tc>
        <w:tc>
          <w:tcPr>
            <w:tcW w:w="2551" w:type="dxa"/>
            <w:vAlign w:val="center"/>
          </w:tcPr>
          <w:p>
            <w:pPr>
              <w:pStyle w:val="12"/>
            </w:pPr>
            <w:r>
              <w:t>52.94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23.95</w:t>
            </w:r>
          </w:p>
        </w:tc>
        <w:tc>
          <w:tcPr>
            <w:tcW w:w="2551" w:type="dxa"/>
            <w:vAlign w:val="center"/>
          </w:tcPr>
          <w:p>
            <w:pPr>
              <w:pStyle w:val="12"/>
            </w:pPr>
            <w:r>
              <w:t>23.95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1.36</w:t>
            </w:r>
          </w:p>
        </w:tc>
        <w:tc>
          <w:tcPr>
            <w:tcW w:w="2551" w:type="dxa"/>
            <w:vAlign w:val="center"/>
          </w:tcPr>
          <w:p>
            <w:pPr>
              <w:pStyle w:val="12"/>
            </w:pPr>
            <w:r>
              <w:t>1.36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41.13</w:t>
            </w:r>
          </w:p>
        </w:tc>
        <w:tc>
          <w:tcPr>
            <w:tcW w:w="2551" w:type="dxa"/>
            <w:vAlign w:val="center"/>
          </w:tcPr>
          <w:p>
            <w:pPr>
              <w:pStyle w:val="12"/>
            </w:pPr>
            <w:r>
              <w:t>41.13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41.20</w:t>
            </w:r>
          </w:p>
        </w:tc>
        <w:tc>
          <w:tcPr>
            <w:tcW w:w="2551" w:type="dxa"/>
            <w:vAlign w:val="center"/>
          </w:tcPr>
          <w:p>
            <w:pPr>
              <w:pStyle w:val="12"/>
            </w:pPr>
          </w:p>
        </w:tc>
        <w:tc>
          <w:tcPr>
            <w:tcW w:w="2551" w:type="dxa"/>
            <w:vAlign w:val="center"/>
          </w:tcPr>
          <w:p>
            <w:pPr>
              <w:pStyle w:val="12"/>
            </w:pPr>
            <w:r>
              <w:t>41.20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0.42</w:t>
            </w:r>
          </w:p>
        </w:tc>
        <w:tc>
          <w:tcPr>
            <w:tcW w:w="2551" w:type="dxa"/>
            <w:vAlign w:val="center"/>
          </w:tcPr>
          <w:p>
            <w:pPr>
              <w:pStyle w:val="12"/>
            </w:pPr>
          </w:p>
        </w:tc>
        <w:tc>
          <w:tcPr>
            <w:tcW w:w="2551" w:type="dxa"/>
            <w:vAlign w:val="center"/>
          </w:tcPr>
          <w:p>
            <w:pPr>
              <w:pStyle w:val="12"/>
            </w:pPr>
            <w:r>
              <w:t>0.42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2.20</w:t>
            </w:r>
          </w:p>
        </w:tc>
        <w:tc>
          <w:tcPr>
            <w:tcW w:w="2551" w:type="dxa"/>
            <w:vAlign w:val="center"/>
          </w:tcPr>
          <w:p>
            <w:pPr>
              <w:pStyle w:val="12"/>
            </w:pPr>
          </w:p>
        </w:tc>
        <w:tc>
          <w:tcPr>
            <w:tcW w:w="2551" w:type="dxa"/>
            <w:vAlign w:val="center"/>
          </w:tcPr>
          <w:p>
            <w:pPr>
              <w:pStyle w:val="12"/>
            </w:pPr>
            <w:r>
              <w:t>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0.86</w:t>
            </w:r>
          </w:p>
        </w:tc>
        <w:tc>
          <w:tcPr>
            <w:tcW w:w="2551" w:type="dxa"/>
            <w:vAlign w:val="center"/>
          </w:tcPr>
          <w:p>
            <w:pPr>
              <w:pStyle w:val="12"/>
            </w:pPr>
          </w:p>
        </w:tc>
        <w:tc>
          <w:tcPr>
            <w:tcW w:w="2551" w:type="dxa"/>
            <w:vAlign w:val="center"/>
          </w:tcPr>
          <w:p>
            <w:pPr>
              <w:pStyle w:val="12"/>
            </w:pPr>
            <w:r>
              <w:t>0.86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8.86</w:t>
            </w:r>
          </w:p>
        </w:tc>
        <w:tc>
          <w:tcPr>
            <w:tcW w:w="2551" w:type="dxa"/>
            <w:vAlign w:val="center"/>
          </w:tcPr>
          <w:p>
            <w:pPr>
              <w:pStyle w:val="12"/>
            </w:pPr>
          </w:p>
        </w:tc>
        <w:tc>
          <w:tcPr>
            <w:tcW w:w="2551" w:type="dxa"/>
            <w:vAlign w:val="center"/>
          </w:tcPr>
          <w:p>
            <w:pPr>
              <w:pStyle w:val="12"/>
            </w:pPr>
            <w:r>
              <w:t>8.86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24.00</w:t>
            </w:r>
          </w:p>
        </w:tc>
        <w:tc>
          <w:tcPr>
            <w:tcW w:w="2551" w:type="dxa"/>
            <w:vAlign w:val="center"/>
          </w:tcPr>
          <w:p>
            <w:pPr>
              <w:pStyle w:val="12"/>
            </w:pPr>
          </w:p>
        </w:tc>
        <w:tc>
          <w:tcPr>
            <w:tcW w:w="2551" w:type="dxa"/>
            <w:vAlign w:val="center"/>
          </w:tcPr>
          <w:p>
            <w:pPr>
              <w:pStyle w:val="12"/>
            </w:pPr>
            <w:r>
              <w:t>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0.86</w:t>
            </w:r>
          </w:p>
        </w:tc>
        <w:tc>
          <w:tcPr>
            <w:tcW w:w="2551" w:type="dxa"/>
            <w:vAlign w:val="center"/>
          </w:tcPr>
          <w:p>
            <w:pPr>
              <w:pStyle w:val="12"/>
            </w:pPr>
          </w:p>
        </w:tc>
        <w:tc>
          <w:tcPr>
            <w:tcW w:w="2551" w:type="dxa"/>
            <w:vAlign w:val="center"/>
          </w:tcPr>
          <w:p>
            <w:pPr>
              <w:pStyle w:val="12"/>
            </w:pPr>
            <w:r>
              <w:t>0.86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44.73</w:t>
            </w:r>
          </w:p>
        </w:tc>
        <w:tc>
          <w:tcPr>
            <w:tcW w:w="2551" w:type="dxa"/>
            <w:vAlign w:val="center"/>
          </w:tcPr>
          <w:p>
            <w:pPr>
              <w:pStyle w:val="12"/>
            </w:pPr>
            <w:r>
              <w:t>44.73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44.37</w:t>
            </w:r>
          </w:p>
        </w:tc>
        <w:tc>
          <w:tcPr>
            <w:tcW w:w="2551" w:type="dxa"/>
            <w:vAlign w:val="center"/>
          </w:tcPr>
          <w:p>
            <w:pPr>
              <w:pStyle w:val="12"/>
            </w:pPr>
            <w:r>
              <w:t>44.37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0.36</w:t>
            </w:r>
          </w:p>
        </w:tc>
        <w:tc>
          <w:tcPr>
            <w:tcW w:w="2551" w:type="dxa"/>
            <w:vAlign w:val="center"/>
          </w:tcPr>
          <w:p>
            <w:pPr>
              <w:pStyle w:val="12"/>
            </w:pPr>
            <w:r>
              <w:t>0.36</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318隆尧县财政局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318隆尧县财政局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p>
    <w:tbl>
      <w:tblPr>
        <w:tblStyle w:val="6"/>
        <w:tblW w:w="13060" w:type="dxa"/>
        <w:jc w:val="center"/>
        <w:tblInd w:w="-252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0"/>
        <w:gridCol w:w="4417"/>
        <w:gridCol w:w="1643"/>
        <w:gridCol w:w="2085"/>
        <w:gridCol w:w="1590"/>
        <w:gridCol w:w="19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450" w:type="dxa"/>
            <w:gridSpan w:val="3"/>
            <w:tcBorders>
              <w:top w:val="single" w:color="FFFFFF" w:sz="6" w:space="0"/>
              <w:left w:val="single" w:color="FFFFFF" w:sz="6" w:space="0"/>
              <w:right w:val="single" w:color="FFFFFF" w:sz="6" w:space="0"/>
            </w:tcBorders>
            <w:vAlign w:val="center"/>
          </w:tcPr>
          <w:p>
            <w:pPr>
              <w:pStyle w:val="10"/>
            </w:pPr>
            <w:r>
              <w:t>318隆尧县财政局</w:t>
            </w:r>
          </w:p>
        </w:tc>
        <w:tc>
          <w:tcPr>
            <w:tcW w:w="2085" w:type="dxa"/>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t>预算年度：202</w:t>
            </w:r>
            <w:r>
              <w:rPr>
                <w:rFonts w:hint="eastAsia"/>
                <w:lang w:val="en-US" w:eastAsia="zh-CN"/>
              </w:rPr>
              <w:t>5</w:t>
            </w:r>
          </w:p>
        </w:tc>
        <w:tc>
          <w:tcPr>
            <w:tcW w:w="3525"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90" w:type="dxa"/>
            <w:vMerge w:val="restart"/>
            <w:vAlign w:val="center"/>
          </w:tcPr>
          <w:p>
            <w:pPr>
              <w:pStyle w:val="11"/>
            </w:pPr>
            <w:r>
              <w:t>序号</w:t>
            </w:r>
          </w:p>
        </w:tc>
        <w:tc>
          <w:tcPr>
            <w:tcW w:w="4417" w:type="dxa"/>
            <w:vMerge w:val="restart"/>
            <w:vAlign w:val="center"/>
          </w:tcPr>
          <w:p>
            <w:pPr>
              <w:pStyle w:val="11"/>
            </w:pPr>
            <w:r>
              <w:t>项  目</w:t>
            </w:r>
          </w:p>
        </w:tc>
        <w:tc>
          <w:tcPr>
            <w:tcW w:w="7253"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390" w:type="dxa"/>
            <w:vMerge w:val="continue"/>
          </w:tcPr>
          <w:p/>
        </w:tc>
        <w:tc>
          <w:tcPr>
            <w:tcW w:w="4417" w:type="dxa"/>
            <w:vMerge w:val="continue"/>
          </w:tcPr>
          <w:p/>
        </w:tc>
        <w:tc>
          <w:tcPr>
            <w:tcW w:w="1643" w:type="dxa"/>
            <w:vAlign w:val="center"/>
          </w:tcPr>
          <w:p>
            <w:pPr>
              <w:pStyle w:val="11"/>
            </w:pPr>
            <w:r>
              <w:t>合计</w:t>
            </w:r>
          </w:p>
        </w:tc>
        <w:tc>
          <w:tcPr>
            <w:tcW w:w="2085" w:type="dxa"/>
            <w:vAlign w:val="center"/>
          </w:tcPr>
          <w:p>
            <w:pPr>
              <w:pStyle w:val="11"/>
            </w:pPr>
            <w:r>
              <w:t>一般公共预算              财政拨款</w:t>
            </w:r>
          </w:p>
        </w:tc>
        <w:tc>
          <w:tcPr>
            <w:tcW w:w="1590" w:type="dxa"/>
            <w:vAlign w:val="center"/>
          </w:tcPr>
          <w:p>
            <w:pPr>
              <w:pStyle w:val="11"/>
            </w:pPr>
            <w:r>
              <w:t>政府性基金                  预算拨款</w:t>
            </w:r>
          </w:p>
        </w:tc>
        <w:tc>
          <w:tcPr>
            <w:tcW w:w="1935"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390" w:type="dxa"/>
            <w:vAlign w:val="center"/>
          </w:tcPr>
          <w:p>
            <w:pPr>
              <w:pStyle w:val="11"/>
            </w:pPr>
            <w:r>
              <w:t>栏次</w:t>
            </w:r>
          </w:p>
        </w:tc>
        <w:tc>
          <w:tcPr>
            <w:tcW w:w="4417" w:type="dxa"/>
            <w:vAlign w:val="center"/>
          </w:tcPr>
          <w:p>
            <w:pPr>
              <w:pStyle w:val="11"/>
            </w:pPr>
            <w:r>
              <w:t>1</w:t>
            </w:r>
          </w:p>
        </w:tc>
        <w:tc>
          <w:tcPr>
            <w:tcW w:w="1643" w:type="dxa"/>
            <w:vAlign w:val="center"/>
          </w:tcPr>
          <w:p>
            <w:pPr>
              <w:pStyle w:val="11"/>
            </w:pPr>
            <w:r>
              <w:t>2</w:t>
            </w:r>
          </w:p>
        </w:tc>
        <w:tc>
          <w:tcPr>
            <w:tcW w:w="2085" w:type="dxa"/>
            <w:vAlign w:val="center"/>
          </w:tcPr>
          <w:p>
            <w:pPr>
              <w:pStyle w:val="11"/>
            </w:pPr>
            <w:r>
              <w:t>3</w:t>
            </w:r>
          </w:p>
        </w:tc>
        <w:tc>
          <w:tcPr>
            <w:tcW w:w="1590" w:type="dxa"/>
            <w:vAlign w:val="center"/>
          </w:tcPr>
          <w:p>
            <w:pPr>
              <w:pStyle w:val="11"/>
            </w:pPr>
            <w:r>
              <w:t>4</w:t>
            </w:r>
          </w:p>
        </w:tc>
        <w:tc>
          <w:tcPr>
            <w:tcW w:w="1935"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90" w:type="dxa"/>
            <w:vAlign w:val="center"/>
          </w:tcPr>
          <w:p>
            <w:pPr>
              <w:pStyle w:val="14"/>
            </w:pPr>
            <w:r>
              <w:t>1</w:t>
            </w:r>
          </w:p>
        </w:tc>
        <w:tc>
          <w:tcPr>
            <w:tcW w:w="4417" w:type="dxa"/>
            <w:vAlign w:val="center"/>
          </w:tcPr>
          <w:p>
            <w:pPr>
              <w:pStyle w:val="15"/>
            </w:pPr>
            <w:r>
              <w:t>合计</w:t>
            </w:r>
          </w:p>
        </w:tc>
        <w:tc>
          <w:tcPr>
            <w:tcW w:w="1643" w:type="dxa"/>
            <w:vAlign w:val="center"/>
          </w:tcPr>
          <w:p>
            <w:pPr>
              <w:pStyle w:val="16"/>
            </w:pPr>
            <w:r>
              <w:t>20.</w:t>
            </w:r>
            <w:r>
              <w:rPr>
                <w:rFonts w:hint="eastAsia"/>
                <w:lang w:val="en-US" w:eastAsia="zh-CN"/>
              </w:rPr>
              <w:t>0</w:t>
            </w:r>
            <w:r>
              <w:t>0</w:t>
            </w:r>
          </w:p>
        </w:tc>
        <w:tc>
          <w:tcPr>
            <w:tcW w:w="2085" w:type="dxa"/>
            <w:vAlign w:val="center"/>
          </w:tcPr>
          <w:p>
            <w:pPr>
              <w:pStyle w:val="16"/>
            </w:pPr>
            <w:r>
              <w:t>20.</w:t>
            </w:r>
            <w:r>
              <w:rPr>
                <w:rFonts w:hint="eastAsia"/>
                <w:lang w:val="en-US" w:eastAsia="zh-CN"/>
              </w:rPr>
              <w:t>0</w:t>
            </w:r>
            <w:r>
              <w:t>0</w:t>
            </w:r>
          </w:p>
        </w:tc>
        <w:tc>
          <w:tcPr>
            <w:tcW w:w="1590" w:type="dxa"/>
            <w:vAlign w:val="center"/>
          </w:tcPr>
          <w:p>
            <w:pPr>
              <w:pStyle w:val="16"/>
            </w:pPr>
          </w:p>
        </w:tc>
        <w:tc>
          <w:tcPr>
            <w:tcW w:w="19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90" w:type="dxa"/>
            <w:vAlign w:val="center"/>
          </w:tcPr>
          <w:p>
            <w:pPr>
              <w:pStyle w:val="14"/>
            </w:pPr>
            <w:r>
              <w:t>2</w:t>
            </w:r>
          </w:p>
        </w:tc>
        <w:tc>
          <w:tcPr>
            <w:tcW w:w="4417" w:type="dxa"/>
            <w:vAlign w:val="center"/>
          </w:tcPr>
          <w:p>
            <w:pPr>
              <w:pStyle w:val="13"/>
            </w:pPr>
            <w:r>
              <w:t>“三公”经费小计</w:t>
            </w:r>
          </w:p>
        </w:tc>
        <w:tc>
          <w:tcPr>
            <w:tcW w:w="1643" w:type="dxa"/>
            <w:vAlign w:val="center"/>
          </w:tcPr>
          <w:p>
            <w:pPr>
              <w:pStyle w:val="12"/>
            </w:pPr>
            <w:r>
              <w:t>1.</w:t>
            </w:r>
            <w:r>
              <w:rPr>
                <w:rFonts w:hint="eastAsia"/>
                <w:lang w:val="en-US" w:eastAsia="zh-CN"/>
              </w:rPr>
              <w:t>0</w:t>
            </w:r>
            <w:r>
              <w:t>0</w:t>
            </w:r>
          </w:p>
        </w:tc>
        <w:tc>
          <w:tcPr>
            <w:tcW w:w="2085" w:type="dxa"/>
            <w:vAlign w:val="center"/>
          </w:tcPr>
          <w:p>
            <w:pPr>
              <w:pStyle w:val="12"/>
            </w:pPr>
            <w:r>
              <w:t>1.</w:t>
            </w:r>
            <w:r>
              <w:rPr>
                <w:rFonts w:hint="eastAsia"/>
                <w:lang w:val="en-US" w:eastAsia="zh-CN"/>
              </w:rPr>
              <w:t>0</w:t>
            </w:r>
            <w:r>
              <w:t>0</w:t>
            </w:r>
          </w:p>
        </w:tc>
        <w:tc>
          <w:tcPr>
            <w:tcW w:w="1590" w:type="dxa"/>
            <w:vAlign w:val="center"/>
          </w:tcPr>
          <w:p>
            <w:pPr>
              <w:pStyle w:val="12"/>
            </w:pPr>
          </w:p>
        </w:tc>
        <w:tc>
          <w:tcPr>
            <w:tcW w:w="19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90" w:type="dxa"/>
            <w:vAlign w:val="center"/>
          </w:tcPr>
          <w:p>
            <w:pPr>
              <w:pStyle w:val="14"/>
            </w:pPr>
            <w:r>
              <w:t>3</w:t>
            </w:r>
          </w:p>
        </w:tc>
        <w:tc>
          <w:tcPr>
            <w:tcW w:w="4417" w:type="dxa"/>
            <w:vAlign w:val="center"/>
          </w:tcPr>
          <w:p>
            <w:pPr>
              <w:pStyle w:val="13"/>
            </w:pPr>
            <w:r>
              <w:t>一、因公出国（境）费</w:t>
            </w:r>
          </w:p>
        </w:tc>
        <w:tc>
          <w:tcPr>
            <w:tcW w:w="1643" w:type="dxa"/>
            <w:vAlign w:val="center"/>
          </w:tcPr>
          <w:p>
            <w:pPr>
              <w:pStyle w:val="12"/>
            </w:pPr>
          </w:p>
        </w:tc>
        <w:tc>
          <w:tcPr>
            <w:tcW w:w="2085" w:type="dxa"/>
            <w:vAlign w:val="center"/>
          </w:tcPr>
          <w:p>
            <w:pPr>
              <w:pStyle w:val="12"/>
            </w:pPr>
          </w:p>
        </w:tc>
        <w:tc>
          <w:tcPr>
            <w:tcW w:w="1590" w:type="dxa"/>
            <w:vAlign w:val="center"/>
          </w:tcPr>
          <w:p>
            <w:pPr>
              <w:pStyle w:val="12"/>
            </w:pPr>
          </w:p>
        </w:tc>
        <w:tc>
          <w:tcPr>
            <w:tcW w:w="19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90" w:type="dxa"/>
            <w:vAlign w:val="center"/>
          </w:tcPr>
          <w:p>
            <w:pPr>
              <w:pStyle w:val="14"/>
            </w:pPr>
            <w:r>
              <w:t>4</w:t>
            </w:r>
          </w:p>
        </w:tc>
        <w:tc>
          <w:tcPr>
            <w:tcW w:w="4417" w:type="dxa"/>
            <w:vAlign w:val="center"/>
          </w:tcPr>
          <w:p>
            <w:pPr>
              <w:pStyle w:val="13"/>
            </w:pPr>
            <w:r>
              <w:t xml:space="preserve">    其中：教学科研人员因公出国（境）费</w:t>
            </w:r>
          </w:p>
        </w:tc>
        <w:tc>
          <w:tcPr>
            <w:tcW w:w="1643" w:type="dxa"/>
            <w:vAlign w:val="center"/>
          </w:tcPr>
          <w:p>
            <w:pPr>
              <w:pStyle w:val="12"/>
            </w:pPr>
          </w:p>
        </w:tc>
        <w:tc>
          <w:tcPr>
            <w:tcW w:w="2085" w:type="dxa"/>
            <w:vAlign w:val="center"/>
          </w:tcPr>
          <w:p>
            <w:pPr>
              <w:pStyle w:val="12"/>
            </w:pPr>
          </w:p>
        </w:tc>
        <w:tc>
          <w:tcPr>
            <w:tcW w:w="1590" w:type="dxa"/>
            <w:vAlign w:val="center"/>
          </w:tcPr>
          <w:p>
            <w:pPr>
              <w:pStyle w:val="12"/>
            </w:pPr>
          </w:p>
        </w:tc>
        <w:tc>
          <w:tcPr>
            <w:tcW w:w="19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90" w:type="dxa"/>
            <w:vAlign w:val="center"/>
          </w:tcPr>
          <w:p>
            <w:pPr>
              <w:pStyle w:val="14"/>
            </w:pPr>
            <w:r>
              <w:t>5</w:t>
            </w:r>
          </w:p>
        </w:tc>
        <w:tc>
          <w:tcPr>
            <w:tcW w:w="4417" w:type="dxa"/>
            <w:vAlign w:val="center"/>
          </w:tcPr>
          <w:p>
            <w:pPr>
              <w:pStyle w:val="13"/>
            </w:pPr>
            <w:r>
              <w:t xml:space="preserve">          其他因公出国（境）费</w:t>
            </w:r>
          </w:p>
        </w:tc>
        <w:tc>
          <w:tcPr>
            <w:tcW w:w="1643" w:type="dxa"/>
            <w:vAlign w:val="center"/>
          </w:tcPr>
          <w:p>
            <w:pPr>
              <w:pStyle w:val="12"/>
            </w:pPr>
          </w:p>
        </w:tc>
        <w:tc>
          <w:tcPr>
            <w:tcW w:w="2085" w:type="dxa"/>
            <w:vAlign w:val="center"/>
          </w:tcPr>
          <w:p>
            <w:pPr>
              <w:pStyle w:val="12"/>
            </w:pPr>
          </w:p>
        </w:tc>
        <w:tc>
          <w:tcPr>
            <w:tcW w:w="1590" w:type="dxa"/>
            <w:vAlign w:val="center"/>
          </w:tcPr>
          <w:p>
            <w:pPr>
              <w:pStyle w:val="12"/>
            </w:pPr>
          </w:p>
        </w:tc>
        <w:tc>
          <w:tcPr>
            <w:tcW w:w="19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90" w:type="dxa"/>
            <w:vAlign w:val="center"/>
          </w:tcPr>
          <w:p>
            <w:pPr>
              <w:pStyle w:val="14"/>
            </w:pPr>
            <w:r>
              <w:t>6</w:t>
            </w:r>
          </w:p>
        </w:tc>
        <w:tc>
          <w:tcPr>
            <w:tcW w:w="4417" w:type="dxa"/>
            <w:vAlign w:val="center"/>
          </w:tcPr>
          <w:p>
            <w:pPr>
              <w:pStyle w:val="13"/>
            </w:pPr>
            <w:r>
              <w:t>二、公务用车购置及运维费</w:t>
            </w:r>
          </w:p>
        </w:tc>
        <w:tc>
          <w:tcPr>
            <w:tcW w:w="1643" w:type="dxa"/>
            <w:vAlign w:val="center"/>
          </w:tcPr>
          <w:p>
            <w:pPr>
              <w:pStyle w:val="12"/>
            </w:pPr>
          </w:p>
        </w:tc>
        <w:tc>
          <w:tcPr>
            <w:tcW w:w="2085" w:type="dxa"/>
            <w:vAlign w:val="center"/>
          </w:tcPr>
          <w:p>
            <w:pPr>
              <w:pStyle w:val="12"/>
            </w:pPr>
          </w:p>
        </w:tc>
        <w:tc>
          <w:tcPr>
            <w:tcW w:w="1590" w:type="dxa"/>
            <w:vAlign w:val="center"/>
          </w:tcPr>
          <w:p>
            <w:pPr>
              <w:pStyle w:val="12"/>
            </w:pPr>
          </w:p>
        </w:tc>
        <w:tc>
          <w:tcPr>
            <w:tcW w:w="19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90" w:type="dxa"/>
            <w:vAlign w:val="center"/>
          </w:tcPr>
          <w:p>
            <w:pPr>
              <w:pStyle w:val="14"/>
            </w:pPr>
            <w:r>
              <w:t>7</w:t>
            </w:r>
          </w:p>
        </w:tc>
        <w:tc>
          <w:tcPr>
            <w:tcW w:w="4417" w:type="dxa"/>
            <w:vAlign w:val="center"/>
          </w:tcPr>
          <w:p>
            <w:pPr>
              <w:pStyle w:val="13"/>
            </w:pPr>
            <w:r>
              <w:t xml:space="preserve">    其中：公务用车购置费</w:t>
            </w:r>
          </w:p>
        </w:tc>
        <w:tc>
          <w:tcPr>
            <w:tcW w:w="1643" w:type="dxa"/>
            <w:vAlign w:val="center"/>
          </w:tcPr>
          <w:p>
            <w:pPr>
              <w:pStyle w:val="12"/>
            </w:pPr>
          </w:p>
        </w:tc>
        <w:tc>
          <w:tcPr>
            <w:tcW w:w="2085" w:type="dxa"/>
            <w:vAlign w:val="center"/>
          </w:tcPr>
          <w:p>
            <w:pPr>
              <w:pStyle w:val="12"/>
            </w:pPr>
          </w:p>
        </w:tc>
        <w:tc>
          <w:tcPr>
            <w:tcW w:w="1590" w:type="dxa"/>
            <w:vAlign w:val="center"/>
          </w:tcPr>
          <w:p>
            <w:pPr>
              <w:pStyle w:val="12"/>
            </w:pPr>
          </w:p>
        </w:tc>
        <w:tc>
          <w:tcPr>
            <w:tcW w:w="19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90" w:type="dxa"/>
            <w:vAlign w:val="center"/>
          </w:tcPr>
          <w:p>
            <w:pPr>
              <w:pStyle w:val="14"/>
            </w:pPr>
            <w:r>
              <w:t>8</w:t>
            </w:r>
          </w:p>
        </w:tc>
        <w:tc>
          <w:tcPr>
            <w:tcW w:w="4417" w:type="dxa"/>
            <w:vAlign w:val="center"/>
          </w:tcPr>
          <w:p>
            <w:pPr>
              <w:pStyle w:val="13"/>
            </w:pPr>
            <w:r>
              <w:t xml:space="preserve">          公务用车运行维护费</w:t>
            </w:r>
          </w:p>
        </w:tc>
        <w:tc>
          <w:tcPr>
            <w:tcW w:w="1643" w:type="dxa"/>
            <w:vAlign w:val="center"/>
          </w:tcPr>
          <w:p>
            <w:pPr>
              <w:pStyle w:val="12"/>
            </w:pPr>
          </w:p>
        </w:tc>
        <w:tc>
          <w:tcPr>
            <w:tcW w:w="2085" w:type="dxa"/>
            <w:vAlign w:val="center"/>
          </w:tcPr>
          <w:p>
            <w:pPr>
              <w:pStyle w:val="12"/>
            </w:pPr>
          </w:p>
        </w:tc>
        <w:tc>
          <w:tcPr>
            <w:tcW w:w="1590" w:type="dxa"/>
            <w:vAlign w:val="center"/>
          </w:tcPr>
          <w:p>
            <w:pPr>
              <w:pStyle w:val="12"/>
            </w:pPr>
          </w:p>
        </w:tc>
        <w:tc>
          <w:tcPr>
            <w:tcW w:w="19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90" w:type="dxa"/>
            <w:vAlign w:val="center"/>
          </w:tcPr>
          <w:p>
            <w:pPr>
              <w:pStyle w:val="14"/>
            </w:pPr>
            <w:r>
              <w:t>9</w:t>
            </w:r>
          </w:p>
        </w:tc>
        <w:tc>
          <w:tcPr>
            <w:tcW w:w="4417" w:type="dxa"/>
            <w:vAlign w:val="center"/>
          </w:tcPr>
          <w:p>
            <w:pPr>
              <w:pStyle w:val="13"/>
            </w:pPr>
            <w:r>
              <w:t>三、公务接待费</w:t>
            </w:r>
          </w:p>
        </w:tc>
        <w:tc>
          <w:tcPr>
            <w:tcW w:w="1643" w:type="dxa"/>
            <w:vAlign w:val="center"/>
          </w:tcPr>
          <w:p>
            <w:pPr>
              <w:pStyle w:val="12"/>
            </w:pPr>
            <w:r>
              <w:t>1.</w:t>
            </w:r>
            <w:r>
              <w:rPr>
                <w:rFonts w:hint="eastAsia"/>
                <w:lang w:val="en-US" w:eastAsia="zh-CN"/>
              </w:rPr>
              <w:t>0</w:t>
            </w:r>
            <w:r>
              <w:t>0</w:t>
            </w:r>
          </w:p>
        </w:tc>
        <w:tc>
          <w:tcPr>
            <w:tcW w:w="2085" w:type="dxa"/>
            <w:vAlign w:val="center"/>
          </w:tcPr>
          <w:p>
            <w:pPr>
              <w:pStyle w:val="12"/>
            </w:pPr>
            <w:r>
              <w:t>1.</w:t>
            </w:r>
            <w:r>
              <w:rPr>
                <w:rFonts w:hint="eastAsia"/>
                <w:lang w:val="en-US" w:eastAsia="zh-CN"/>
              </w:rPr>
              <w:t>0</w:t>
            </w:r>
            <w:r>
              <w:t>0</w:t>
            </w:r>
          </w:p>
        </w:tc>
        <w:tc>
          <w:tcPr>
            <w:tcW w:w="1590" w:type="dxa"/>
            <w:vAlign w:val="center"/>
          </w:tcPr>
          <w:p>
            <w:pPr>
              <w:pStyle w:val="12"/>
            </w:pPr>
          </w:p>
        </w:tc>
        <w:tc>
          <w:tcPr>
            <w:tcW w:w="19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90" w:type="dxa"/>
            <w:vAlign w:val="center"/>
          </w:tcPr>
          <w:p>
            <w:pPr>
              <w:pStyle w:val="14"/>
            </w:pPr>
            <w:r>
              <w:t>10</w:t>
            </w:r>
          </w:p>
        </w:tc>
        <w:tc>
          <w:tcPr>
            <w:tcW w:w="4417" w:type="dxa"/>
            <w:vAlign w:val="center"/>
          </w:tcPr>
          <w:p>
            <w:pPr>
              <w:pStyle w:val="13"/>
            </w:pPr>
            <w:r>
              <w:t>四、会议费</w:t>
            </w:r>
          </w:p>
        </w:tc>
        <w:tc>
          <w:tcPr>
            <w:tcW w:w="1643" w:type="dxa"/>
            <w:vAlign w:val="center"/>
          </w:tcPr>
          <w:p>
            <w:pPr>
              <w:pStyle w:val="12"/>
            </w:pPr>
          </w:p>
        </w:tc>
        <w:tc>
          <w:tcPr>
            <w:tcW w:w="2085" w:type="dxa"/>
            <w:vAlign w:val="center"/>
          </w:tcPr>
          <w:p>
            <w:pPr>
              <w:pStyle w:val="12"/>
            </w:pPr>
          </w:p>
        </w:tc>
        <w:tc>
          <w:tcPr>
            <w:tcW w:w="1590" w:type="dxa"/>
            <w:vAlign w:val="center"/>
          </w:tcPr>
          <w:p>
            <w:pPr>
              <w:pStyle w:val="12"/>
            </w:pPr>
          </w:p>
        </w:tc>
        <w:tc>
          <w:tcPr>
            <w:tcW w:w="19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90" w:type="dxa"/>
            <w:vAlign w:val="center"/>
          </w:tcPr>
          <w:p>
            <w:pPr>
              <w:pStyle w:val="14"/>
            </w:pPr>
            <w:r>
              <w:t>11</w:t>
            </w:r>
          </w:p>
        </w:tc>
        <w:tc>
          <w:tcPr>
            <w:tcW w:w="4417" w:type="dxa"/>
            <w:vAlign w:val="center"/>
          </w:tcPr>
          <w:p>
            <w:pPr>
              <w:pStyle w:val="13"/>
            </w:pPr>
            <w:r>
              <w:t xml:space="preserve">    其中：省属高校业务性会议费</w:t>
            </w:r>
          </w:p>
        </w:tc>
        <w:tc>
          <w:tcPr>
            <w:tcW w:w="1643" w:type="dxa"/>
            <w:vAlign w:val="center"/>
          </w:tcPr>
          <w:p>
            <w:pPr>
              <w:pStyle w:val="12"/>
            </w:pPr>
          </w:p>
        </w:tc>
        <w:tc>
          <w:tcPr>
            <w:tcW w:w="2085" w:type="dxa"/>
            <w:vAlign w:val="center"/>
          </w:tcPr>
          <w:p>
            <w:pPr>
              <w:pStyle w:val="12"/>
            </w:pPr>
          </w:p>
        </w:tc>
        <w:tc>
          <w:tcPr>
            <w:tcW w:w="1590" w:type="dxa"/>
            <w:vAlign w:val="center"/>
          </w:tcPr>
          <w:p>
            <w:pPr>
              <w:pStyle w:val="12"/>
            </w:pPr>
          </w:p>
        </w:tc>
        <w:tc>
          <w:tcPr>
            <w:tcW w:w="19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90" w:type="dxa"/>
            <w:vAlign w:val="center"/>
          </w:tcPr>
          <w:p>
            <w:pPr>
              <w:pStyle w:val="14"/>
            </w:pPr>
            <w:r>
              <w:t>12</w:t>
            </w:r>
          </w:p>
        </w:tc>
        <w:tc>
          <w:tcPr>
            <w:tcW w:w="4417" w:type="dxa"/>
            <w:vAlign w:val="center"/>
          </w:tcPr>
          <w:p>
            <w:pPr>
              <w:pStyle w:val="13"/>
            </w:pPr>
            <w:r>
              <w:t xml:space="preserve">          其他会议费</w:t>
            </w:r>
          </w:p>
        </w:tc>
        <w:tc>
          <w:tcPr>
            <w:tcW w:w="1643" w:type="dxa"/>
            <w:vAlign w:val="center"/>
          </w:tcPr>
          <w:p>
            <w:pPr>
              <w:pStyle w:val="12"/>
            </w:pPr>
          </w:p>
        </w:tc>
        <w:tc>
          <w:tcPr>
            <w:tcW w:w="2085" w:type="dxa"/>
            <w:vAlign w:val="center"/>
          </w:tcPr>
          <w:p>
            <w:pPr>
              <w:pStyle w:val="12"/>
            </w:pPr>
          </w:p>
        </w:tc>
        <w:tc>
          <w:tcPr>
            <w:tcW w:w="1590" w:type="dxa"/>
            <w:vAlign w:val="center"/>
          </w:tcPr>
          <w:p>
            <w:pPr>
              <w:pStyle w:val="12"/>
            </w:pPr>
          </w:p>
        </w:tc>
        <w:tc>
          <w:tcPr>
            <w:tcW w:w="19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90" w:type="dxa"/>
            <w:vAlign w:val="center"/>
          </w:tcPr>
          <w:p>
            <w:pPr>
              <w:pStyle w:val="14"/>
            </w:pPr>
            <w:r>
              <w:t>13</w:t>
            </w:r>
          </w:p>
        </w:tc>
        <w:tc>
          <w:tcPr>
            <w:tcW w:w="4417" w:type="dxa"/>
            <w:vAlign w:val="center"/>
          </w:tcPr>
          <w:p>
            <w:pPr>
              <w:pStyle w:val="13"/>
            </w:pPr>
            <w:r>
              <w:t>五、培训费</w:t>
            </w:r>
          </w:p>
        </w:tc>
        <w:tc>
          <w:tcPr>
            <w:tcW w:w="1643" w:type="dxa"/>
            <w:vAlign w:val="center"/>
          </w:tcPr>
          <w:p>
            <w:pPr>
              <w:pStyle w:val="12"/>
            </w:pPr>
            <w:r>
              <w:t>19.00</w:t>
            </w:r>
          </w:p>
        </w:tc>
        <w:tc>
          <w:tcPr>
            <w:tcW w:w="2085" w:type="dxa"/>
            <w:vAlign w:val="center"/>
          </w:tcPr>
          <w:p>
            <w:pPr>
              <w:pStyle w:val="12"/>
            </w:pPr>
            <w:r>
              <w:t>19.00</w:t>
            </w:r>
          </w:p>
        </w:tc>
        <w:tc>
          <w:tcPr>
            <w:tcW w:w="1590" w:type="dxa"/>
            <w:vAlign w:val="center"/>
          </w:tcPr>
          <w:p>
            <w:pPr>
              <w:pStyle w:val="12"/>
            </w:pPr>
          </w:p>
        </w:tc>
        <w:tc>
          <w:tcPr>
            <w:tcW w:w="1935" w:type="dxa"/>
            <w:vAlign w:val="center"/>
          </w:tcPr>
          <w:p>
            <w:pPr>
              <w:pStyle w:val="12"/>
            </w:pPr>
          </w:p>
        </w:tc>
      </w:tr>
      <w:bookmarkEnd w:id="8"/>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隆尧县财政局2025年部门预算信息公开情况说明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隆尧县财政局2025年部门预算信息公开情况说明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按照《中华人民共和国预算法》、《地方预决算公开操作规程》和《关于进一步推进预算公开工作的实施意见》规定，现将隆尧县财政局2025年部门预算公开如下：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6"/>
      </w:pPr>
      <w:r>
        <w:t>1、拟订财税发展战略、规划、政策和改革方案并组织实施。分析预测宏观经济形勢,参与制定各项宏观经济政策,提出运用财税政策实施宏观调控和综合平衡社会财力的建议。拟定县级与乡镇、政府与企业的分配政策,完善鼓励公益事业发展的财税政策。</w:t>
      </w:r>
    </w:p>
    <w:p>
      <w:pPr>
        <w:pStyle w:val="26"/>
      </w:pPr>
      <w:r>
        <w:t>2、贯彻执行财政、财务、会计管理的法律、行政法规、规章,在国家和省市授权范围内,起草相关的地方性法规、政府规章草案,并监督执行。</w:t>
      </w:r>
    </w:p>
    <w:p>
      <w:pPr>
        <w:pStyle w:val="26"/>
      </w:pPr>
      <w:r>
        <w:t>3、负责管理全县各项财政收支。编制年度县级预决算草案并组织执行,汇编全县年度预决算草案。组织制定经费开支标准、定额,审核批复部门(单位)年度预决算受县政府委托，向县人民代表大会及其常委会报告全县预算、执行和决算等情况。负责县级财政预决算公开。</w:t>
      </w:r>
    </w:p>
    <w:p>
      <w:pPr>
        <w:pStyle w:val="26"/>
      </w:pPr>
      <w:r>
        <w:t>4、承担财政体制管理的工作。负责拟订全县财政管理体制。</w:t>
      </w:r>
    </w:p>
    <w:p>
      <w:pPr>
        <w:pStyle w:val="26"/>
      </w:pPr>
      <w:r>
        <w:t>5、负责执行省制定的税收地方性法规、政府规章及实施细则和税收调整方案。提出省、市授权税目税率调整、减免和地方税收政策等重大事项的建议，对地方承担出口退税事务实施监管，监督检查税收政策的执行情况。组织推进税收制度改革。</w:t>
      </w:r>
    </w:p>
    <w:p>
      <w:pPr>
        <w:pStyle w:val="26"/>
      </w:pPr>
      <w:r>
        <w:t>6、按分工负责政府非税收入管理。负责政府性基金管理, 按规定管理行政事业性收费。管理财政票据。制定彩票管理政策和有关办法，按规定管理彩票资金。</w:t>
      </w:r>
    </w:p>
    <w:p>
      <w:pPr>
        <w:pStyle w:val="26"/>
      </w:pPr>
      <w:r>
        <w:t>7、承担财政国库管理的工作。研究制定国库管理制度、国库集中收付制度并组织实施。指导和监督全县国库业务，按规定开展国库现金管理。制定政府财务报告编制办法并组织实施。</w:t>
      </w:r>
    </w:p>
    <w:p>
      <w:pPr>
        <w:pStyle w:val="26"/>
      </w:pPr>
      <w:r>
        <w:t>8、负责执行政府债务管理制度和政策。编制县级政府债务预算，统筹债务资金安排使用，安排调度偿债资金。做好政府债务管理等工作。执行国家外债管理的政策，拟订具体实施办法,管理县政府的国内外债权、债务。开展对外财经交流。</w:t>
      </w:r>
    </w:p>
    <w:p>
      <w:pPr>
        <w:pStyle w:val="26"/>
      </w:pPr>
      <w:r>
        <w:t>9、负责制定政府采购政策、制度并组织实施。监督检查政府釆购活动。</w:t>
      </w:r>
    </w:p>
    <w:p>
      <w:pPr>
        <w:pStyle w:val="26"/>
      </w:pPr>
      <w:r>
        <w:t>10、负责制定行政事业单位国有资产管理规章制度，以及县委、县政府直属企事业单位和县直部门所属企事业单位的国有资产监督管理，制定需要全县统一规定的开支标准和支出政策。</w:t>
      </w:r>
    </w:p>
    <w:p>
      <w:pPr>
        <w:pStyle w:val="26"/>
      </w:pPr>
      <w:r>
        <w:t>11、负责审核并汇总编制全县国有资本经营预决算草案，组织实施国有资本经营预算的制度，制定具体办法，收取全县企业国有资本收益。组织实施企业财务制度及企业财务会计报告编制等工作。</w:t>
      </w:r>
    </w:p>
    <w:p>
      <w:pPr>
        <w:pStyle w:val="26"/>
      </w:pPr>
      <w:r>
        <w:t>12、负责审核并汇总编制全县社会保险基金预决算草案，会同有关部门拟订社会保障资金（基金〉的财务管理制度并组织实施。承担社会保险基金财政监管工作。</w:t>
      </w:r>
    </w:p>
    <w:p>
      <w:pPr>
        <w:pStyle w:val="26"/>
      </w:pPr>
      <w:r>
        <w:t>13、负责办理和监督全县财政的经济社会发展支出、全县投资项目的财政拨款，参与拟订全县建设投资的有关政策，制定基建财务管理制度。负责财政预算评审管理。</w:t>
      </w:r>
    </w:p>
    <w:p>
      <w:pPr>
        <w:pStyle w:val="26"/>
      </w:pPr>
      <w:r>
        <w:t>14、负责管理全县会计工作，监督和规范会计行为，组织实施国家统一的会计制度，指导和监督注册会计师和会计事务所的业务，指导和管理社会审计。依法管理资产评估有关工作。</w:t>
      </w:r>
    </w:p>
    <w:p>
      <w:pPr>
        <w:pStyle w:val="26"/>
      </w:pPr>
      <w:r>
        <w:t>15、监督检查财税法规、政策的执行情况，反映财政收支管理中的重大问题。</w:t>
      </w:r>
    </w:p>
    <w:p>
      <w:pPr>
        <w:pStyle w:val="26"/>
      </w:pPr>
      <w:r>
        <w:t>16、组织财务人员培训，负责财政信息和财政宣传工作。</w:t>
      </w:r>
    </w:p>
    <w:p>
      <w:pPr>
        <w:pStyle w:val="26"/>
      </w:pPr>
      <w:r>
        <w:t>17、完成县委、县政府交办的其他事项。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隆尧县财政局本级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pStyle w:val="19"/>
      </w:pPr>
      <w:r>
        <w:t>1、收入说明</w:t>
      </w:r>
    </w:p>
    <w:p>
      <w:pPr>
        <w:pStyle w:val="19"/>
      </w:pPr>
      <w:r>
        <w:t>反映本部门当年全部收入。2025年预算收入1031.2万元，其中：一般公共预算收入1031.2万元，基金预算收入0万元，国有资本经营预算收入0万元，财政专户核拨收入0万元，单位资金收入0万元，上年结转结余0万元。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隆尧县财政局年度部门预算中支出预算的总体情况。2025年支出预算1031.2万元，其中基本支出576.03万元，包括人员经费534.83万元和日常公用经费41.2万元；项目支出455.17万元，主要为一般公共服务支出417.17万元，农林水支出38万元。</w:t>
      </w:r>
    </w:p>
    <w:p>
      <w:pPr>
        <w:pStyle w:val="19"/>
      </w:pPr>
      <w:r>
        <w:t>3、比上年增减情况</w:t>
      </w:r>
    </w:p>
    <w:p>
      <w:pPr>
        <w:pStyle w:val="19"/>
      </w:pPr>
      <w:r>
        <w:t>2025年预算收支安排1031.2万元，较2024年预算减少37.7万元，其中：基本支出减少4.71万元，主要为减少人员经费支出；项目支出减少32.99万元，主要为压减财政投资项目评审费40万元。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2025年，我部门运行经费共计安排41.2万元，主要用于保证机关正常运转的水费、电费、邮电费、福利费、公务交通补贴、工会经费、党组织活动经费、培训费、公务接待费等日常运行支出。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1万元，其中因公出国（境）费0万元；公务用车购置及运维费0万元（其中：公务用车购置费为0万元，公务用车运行维护费0万元)；公务接待费1万元。与2024年相比减少0.1万元，减少的主要原因是压减了公务接待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1、保障财政预算按计划执行。</w:t>
      </w:r>
    </w:p>
    <w:p>
      <w:pPr>
        <w:pStyle w:val="22"/>
      </w:pPr>
      <w:r>
        <w:t>2、保障财政各项重点工作按期完成。</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1、保障机关日常运转、信息安全，做好财政系统人才队伍建设，规范业务流程，提升财政政策管理水平，确保国家、省市和县委县政府各项重大决策部署贯彻落实。</w:t>
      </w:r>
    </w:p>
    <w:p>
      <w:pPr>
        <w:pStyle w:val="23"/>
      </w:pPr>
      <w:r>
        <w:t>2、加强财政资金预算监管，对部门预算调整事项进行审核，做好财政收支分析管理。强化政府债务管理，做好风险预警。规范预算公开程序，扩大预算公开范围，细化公开内容。</w:t>
      </w:r>
    </w:p>
    <w:p>
      <w:pPr>
        <w:pStyle w:val="23"/>
      </w:pPr>
      <w:r>
        <w:t>3、提高全县预算绩效管理工作整体水平，实现预算绩效挂钩办法，落实资金使用必问效，无效必问责的机制。</w:t>
      </w:r>
    </w:p>
    <w:p>
      <w:pPr>
        <w:pStyle w:val="23"/>
      </w:pPr>
      <w:r>
        <w:t>4、提升基本财力保障程度，调度全县预算支出进度，盘活财政存量资金。</w:t>
      </w:r>
    </w:p>
    <w:p>
      <w:pPr>
        <w:pStyle w:val="23"/>
      </w:pPr>
      <w:r>
        <w:t>5、做好全县总决算和部门决算编报工作，及时做好专项资金的拨付核对工作，加强暂存暂付款管理，完善财政专户管理各项规章制度。</w:t>
      </w:r>
    </w:p>
    <w:p>
      <w:pPr>
        <w:pStyle w:val="23"/>
      </w:pPr>
      <w:r>
        <w:t>6、规范非税收入票据管理，提高收入质量。</w:t>
      </w:r>
    </w:p>
    <w:p>
      <w:pPr>
        <w:pStyle w:val="23"/>
      </w:pPr>
      <w:r>
        <w:t>7、做好行政事业单位国有资产管理，国有企业改制和整合工作，优化营商环境。</w:t>
      </w:r>
    </w:p>
    <w:p>
      <w:pPr>
        <w:pStyle w:val="23"/>
      </w:pPr>
      <w:r>
        <w:t>8、履行财政监管职能，对财政投资项目进行评审，降低财政投资风险，提高财政资金使用效率。</w:t>
      </w:r>
    </w:p>
    <w:p>
      <w:pPr>
        <w:pStyle w:val="23"/>
      </w:pPr>
      <w:r>
        <w:t>9、管理县级财政社会保障和就业及医疗卫生支出，拟订社会保障资金（基金）的财务管理制度，编制县级社会保障预决算草案。</w:t>
      </w:r>
    </w:p>
    <w:p>
      <w:pPr>
        <w:pStyle w:val="23"/>
      </w:pPr>
      <w:r>
        <w:t>10、支持实施乡村振兴战略，统筹安排财政扶贫资金，管理农村综合改革资金。</w:t>
      </w:r>
    </w:p>
    <w:p>
      <w:pPr>
        <w:pStyle w:val="23"/>
      </w:pPr>
      <w:r>
        <w:t>11、提升会计人员专业素质和会计培训工作质量，提高农村财会人员专业素质，提升培训的层次和效果。</w:t>
      </w:r>
    </w:p>
    <w:p>
      <w:pPr>
        <w:pStyle w:val="23"/>
      </w:pPr>
      <w:r>
        <w:t>12、按省级预算管理规定及相关资金管理办法申报、审核和拨付专项资金，按时保质保量完成发放工作。</w:t>
      </w:r>
    </w:p>
    <w:p>
      <w:pPr>
        <w:pStyle w:val="23"/>
      </w:pPr>
      <w:r>
        <w:t>13、加强对财政部门内部财经制度执行情况的监督检查。</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1、以更大力度培财源</w:t>
      </w:r>
    </w:p>
    <w:p>
      <w:pPr>
        <w:pStyle w:val="24"/>
      </w:pPr>
      <w:r>
        <w:t>一是紧紧围绕加快建设现代化产业体系聚焦发力，强化财政、金融、产业等政策协同，培育更多更稳固的财源增长点。二是抢抓新一轮财税体制改革重大机遇，大力向上争取转移支付、专项债券、增发国债等政策资金支持，增强地方可用财力。三是坚持依法征收、实事求是的收入组织原则，持续优化税费征管服务，切实提高财政收入质量。</w:t>
      </w:r>
    </w:p>
    <w:p>
      <w:pPr>
        <w:pStyle w:val="24"/>
      </w:pPr>
      <w:r>
        <w:t>2、以更优机制推改革</w:t>
      </w:r>
    </w:p>
    <w:p>
      <w:pPr>
        <w:pStyle w:val="24"/>
      </w:pPr>
      <w:r>
        <w:t>一是全面深化零基预算改革，坚持以零为基、以事定钱、以效促用，构建有保有压、突出重点、统筹有力、讲求绩效的预算安排机制。二是全面清理评估现行政策和项目，建立健全大事要事保障机制，实施重大项目预算评审，加强专项资金、跨部门资金、单位资金等统筹，集中财力办大事。三是落实全方位、全过程、全覆盖预算绩效管理体系要求，强化绩效结果应用机制，加强对财政专项资金、重大投资项目等重点领域绩效管理，探索成本预算绩效管理，坚决压减或取消低效无效资金。</w:t>
      </w:r>
    </w:p>
    <w:p>
      <w:pPr>
        <w:pStyle w:val="24"/>
      </w:pPr>
      <w:r>
        <w:t>3、以更实举措惠民生</w:t>
      </w:r>
    </w:p>
    <w:p>
      <w:pPr>
        <w:pStyle w:val="24"/>
      </w:pPr>
      <w:r>
        <w:t>一是坚持尽力而为、量力而行，全面梳理规范民生政策制度，合理确定民生政策标准，确保民生改善与经济发展相协调、与财力状况相匹配。二是大力优化支出结构，始终把“三保”摆在支出安排的优先位置，稳步提高教育、医疗、养老、托幼等民生服务水平，做好乡村振兴、污染防治、防灾减灾等重点领域民生保障。三是强化财政对稳就业的支持，助力帮扶重点群体就业创业。加强民生资金监管，广泛接受群众监督。</w:t>
      </w:r>
    </w:p>
    <w:p>
      <w:pPr>
        <w:pStyle w:val="24"/>
      </w:pPr>
      <w:r>
        <w:t>4、以更高站位防风险</w:t>
      </w:r>
    </w:p>
    <w:p>
      <w:pPr>
        <w:pStyle w:val="24"/>
        <w:sectPr>
          <w:pgSz w:w="16840" w:h="11900" w:orient="landscape"/>
          <w:pgMar w:top="1361" w:right="1020" w:bottom="1361" w:left="1020" w:header="720" w:footer="720" w:gutter="0"/>
        </w:sectPr>
      </w:pPr>
      <w:r>
        <w:t>一是认真落实中共中央办公厅《关于建立健全政府债务管理情况报告制度的意见》等文件要求，积极主动向人大常委会报告政府债务管理情况。二是强化债券资金“借用管还”全过程管理，落实穿透式监测和绩效评价，努力提高债券配置效率和使用效益。进一步规范政府投资项目决策和立项，坚决遏制新增隐性债务。三是健全完善全口径政府债务风险监管体系和排查机制，稳妥化解存量隐性债务，加快融资平台改革转型，牢牢守住不发生区域性系统性风险的底线。</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560" w:firstLineChars="200"/>
        <w:jc w:val="left"/>
        <w:textAlignment w:val="auto"/>
        <w:outlineLvl w:val="2"/>
        <w:rPr>
          <w:rFonts w:ascii="Times New Roman" w:hAnsi="Times New Roman" w:eastAsia="方正仿宋_GBK" w:cs="Times New Roman"/>
          <w:sz w:val="28"/>
          <w:szCs w:val="24"/>
          <w:lang w:val="en-US" w:eastAsia="uk-UA" w:bidi="ar-SA"/>
        </w:rPr>
        <w:sectPr>
          <w:pgSz w:w="16840" w:h="11900" w:orient="landscape"/>
          <w:pgMar w:top="1361" w:right="1020" w:bottom="1134" w:left="1020" w:header="720" w:footer="720" w:gutter="0"/>
        </w:sectPr>
      </w:pPr>
      <w:r>
        <w:rPr>
          <w:rFonts w:hint="eastAsia" w:eastAsia="方正仿宋_GBK" w:cs="Times New Roman"/>
          <w:sz w:val="28"/>
          <w:szCs w:val="24"/>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1、办公楼维修绩效目标表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13052525P000039101061</w:t>
            </w:r>
          </w:p>
        </w:tc>
        <w:tc>
          <w:tcPr>
            <w:tcW w:w="2835" w:type="dxa"/>
            <w:vAlign w:val="center"/>
          </w:tcPr>
          <w:p>
            <w:pPr>
              <w:pStyle w:val="11"/>
            </w:pPr>
            <w:r>
              <w:t>项目名称</w:t>
            </w:r>
          </w:p>
        </w:tc>
        <w:tc>
          <w:tcPr>
            <w:tcW w:w="6095" w:type="dxa"/>
            <w:gridSpan w:val="3"/>
            <w:vAlign w:val="center"/>
          </w:tcPr>
          <w:p>
            <w:pPr>
              <w:pStyle w:val="13"/>
            </w:pPr>
            <w:r>
              <w:t>办公楼维修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用于办公楼日常维修和电力、水暖、电梯、消防、院落等维修费。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1.对各项设施进行定期检修，保障全年故障率低于10％。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检修面积</w:t>
            </w:r>
          </w:p>
        </w:tc>
        <w:tc>
          <w:tcPr>
            <w:tcW w:w="5386" w:type="dxa"/>
            <w:vAlign w:val="center"/>
          </w:tcPr>
          <w:p>
            <w:pPr>
              <w:pStyle w:val="13"/>
            </w:pPr>
            <w:r>
              <w:t>检修办公楼面积</w:t>
            </w:r>
          </w:p>
        </w:tc>
        <w:tc>
          <w:tcPr>
            <w:tcW w:w="2268" w:type="dxa"/>
            <w:vAlign w:val="center"/>
          </w:tcPr>
          <w:p>
            <w:pPr>
              <w:pStyle w:val="13"/>
            </w:pPr>
            <w:r>
              <w:t>3000平方米</w:t>
            </w:r>
          </w:p>
        </w:tc>
        <w:tc>
          <w:tcPr>
            <w:tcW w:w="1276" w:type="dxa"/>
            <w:vAlign w:val="center"/>
          </w:tcPr>
          <w:p>
            <w:pPr>
              <w:pStyle w:val="13"/>
            </w:pPr>
            <w:r>
              <w:t>实际测算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设施故障率</w:t>
            </w:r>
          </w:p>
        </w:tc>
        <w:tc>
          <w:tcPr>
            <w:tcW w:w="5386" w:type="dxa"/>
            <w:vAlign w:val="center"/>
          </w:tcPr>
          <w:p>
            <w:pPr>
              <w:pStyle w:val="13"/>
            </w:pPr>
            <w:r>
              <w:t>故障设备/正常使用设备*100%</w:t>
            </w:r>
          </w:p>
        </w:tc>
        <w:tc>
          <w:tcPr>
            <w:tcW w:w="2268" w:type="dxa"/>
            <w:vAlign w:val="center"/>
          </w:tcPr>
          <w:p>
            <w:pPr>
              <w:pStyle w:val="13"/>
            </w:pPr>
            <w:r>
              <w:t>≤10%</w:t>
            </w:r>
          </w:p>
        </w:tc>
        <w:tc>
          <w:tcPr>
            <w:tcW w:w="1276" w:type="dxa"/>
            <w:vAlign w:val="center"/>
          </w:tcPr>
          <w:p>
            <w:pPr>
              <w:pStyle w:val="13"/>
            </w:pPr>
            <w:r>
              <w:t>上年数据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定期检修率</w:t>
            </w:r>
          </w:p>
        </w:tc>
        <w:tc>
          <w:tcPr>
            <w:tcW w:w="5386" w:type="dxa"/>
            <w:vAlign w:val="center"/>
          </w:tcPr>
          <w:p>
            <w:pPr>
              <w:pStyle w:val="13"/>
            </w:pPr>
            <w:r>
              <w:t>按期检修设备数/全部需要定期检修设备*100%</w:t>
            </w:r>
          </w:p>
        </w:tc>
        <w:tc>
          <w:tcPr>
            <w:tcW w:w="2268" w:type="dxa"/>
            <w:vAlign w:val="center"/>
          </w:tcPr>
          <w:p>
            <w:pPr>
              <w:pStyle w:val="13"/>
            </w:pPr>
            <w:r>
              <w:t>≥80%</w:t>
            </w:r>
          </w:p>
        </w:tc>
        <w:tc>
          <w:tcPr>
            <w:tcW w:w="1276" w:type="dxa"/>
            <w:vAlign w:val="center"/>
          </w:tcPr>
          <w:p>
            <w:pPr>
              <w:pStyle w:val="13"/>
            </w:pPr>
            <w:r>
              <w:t>上年数据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全年支出</w:t>
            </w:r>
          </w:p>
        </w:tc>
        <w:tc>
          <w:tcPr>
            <w:tcW w:w="5386" w:type="dxa"/>
            <w:vAlign w:val="center"/>
          </w:tcPr>
          <w:p>
            <w:pPr>
              <w:pStyle w:val="13"/>
            </w:pPr>
            <w:r>
              <w:t>全年经费支出</w:t>
            </w:r>
          </w:p>
        </w:tc>
        <w:tc>
          <w:tcPr>
            <w:tcW w:w="2268" w:type="dxa"/>
            <w:vAlign w:val="center"/>
          </w:tcPr>
          <w:p>
            <w:pPr>
              <w:pStyle w:val="13"/>
            </w:pPr>
            <w:r>
              <w:t>≤20万元</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工作正常开展率</w:t>
            </w:r>
          </w:p>
        </w:tc>
        <w:tc>
          <w:tcPr>
            <w:tcW w:w="5386" w:type="dxa"/>
            <w:vAlign w:val="center"/>
          </w:tcPr>
          <w:p>
            <w:pPr>
              <w:pStyle w:val="13"/>
            </w:pPr>
            <w:r>
              <w:t>工作正常开展天数/360*100%</w:t>
            </w:r>
          </w:p>
        </w:tc>
        <w:tc>
          <w:tcPr>
            <w:tcW w:w="2268" w:type="dxa"/>
            <w:vAlign w:val="center"/>
          </w:tcPr>
          <w:p>
            <w:pPr>
              <w:pStyle w:val="13"/>
            </w:pPr>
            <w:r>
              <w:t>100%</w:t>
            </w:r>
          </w:p>
        </w:tc>
        <w:tc>
          <w:tcPr>
            <w:tcW w:w="1276" w:type="dxa"/>
            <w:vAlign w:val="center"/>
          </w:tcPr>
          <w:p>
            <w:pPr>
              <w:pStyle w:val="13"/>
            </w:pPr>
            <w:r>
              <w:t>上年数据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反映满意的人数/调查人数*100%</w:t>
            </w:r>
          </w:p>
        </w:tc>
        <w:tc>
          <w:tcPr>
            <w:tcW w:w="2268" w:type="dxa"/>
            <w:vAlign w:val="center"/>
          </w:tcPr>
          <w:p>
            <w:pPr>
              <w:pStyle w:val="13"/>
            </w:pPr>
            <w:r>
              <w:t>≥85%</w:t>
            </w:r>
          </w:p>
        </w:tc>
        <w:tc>
          <w:tcPr>
            <w:tcW w:w="1276" w:type="dxa"/>
            <w:vAlign w:val="center"/>
          </w:tcPr>
          <w:p>
            <w:pPr>
              <w:pStyle w:val="13"/>
            </w:pPr>
            <w:r>
              <w:t>群众反馈</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2、财政监督检查绩效目标表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13052525P000039101107</w:t>
            </w:r>
          </w:p>
        </w:tc>
        <w:tc>
          <w:tcPr>
            <w:tcW w:w="2835" w:type="dxa"/>
            <w:vAlign w:val="center"/>
          </w:tcPr>
          <w:p>
            <w:pPr>
              <w:pStyle w:val="11"/>
            </w:pPr>
            <w:r>
              <w:t>项目名称</w:t>
            </w:r>
          </w:p>
        </w:tc>
        <w:tc>
          <w:tcPr>
            <w:tcW w:w="6095" w:type="dxa"/>
            <w:gridSpan w:val="3"/>
            <w:vAlign w:val="center"/>
          </w:tcPr>
          <w:p>
            <w:pPr>
              <w:pStyle w:val="13"/>
            </w:pPr>
            <w:r>
              <w:t>财政监督检查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用于财政监督检查评价等第三方服务费。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1.按期开展财政专项检查，降低各项工作违规率。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财政专项检查次数</w:t>
            </w:r>
          </w:p>
        </w:tc>
        <w:tc>
          <w:tcPr>
            <w:tcW w:w="5386" w:type="dxa"/>
            <w:vAlign w:val="center"/>
          </w:tcPr>
          <w:p>
            <w:pPr>
              <w:pStyle w:val="13"/>
            </w:pPr>
            <w:r>
              <w:t>开展财政专项检查次数</w:t>
            </w:r>
          </w:p>
        </w:tc>
        <w:tc>
          <w:tcPr>
            <w:tcW w:w="2268" w:type="dxa"/>
            <w:vAlign w:val="center"/>
          </w:tcPr>
          <w:p>
            <w:pPr>
              <w:pStyle w:val="13"/>
            </w:pPr>
            <w:r>
              <w:t>≥2次</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检查完成度</w:t>
            </w:r>
          </w:p>
        </w:tc>
        <w:tc>
          <w:tcPr>
            <w:tcW w:w="5386" w:type="dxa"/>
            <w:vAlign w:val="center"/>
          </w:tcPr>
          <w:p>
            <w:pPr>
              <w:pStyle w:val="13"/>
            </w:pPr>
            <w:r>
              <w:t>检查结果完整程度</w:t>
            </w:r>
          </w:p>
        </w:tc>
        <w:tc>
          <w:tcPr>
            <w:tcW w:w="2268" w:type="dxa"/>
            <w:vAlign w:val="center"/>
          </w:tcPr>
          <w:p>
            <w:pPr>
              <w:pStyle w:val="13"/>
            </w:pPr>
            <w:r>
              <w:t>≥90%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各项工作年底完成进度</w:t>
            </w:r>
          </w:p>
        </w:tc>
        <w:tc>
          <w:tcPr>
            <w:tcW w:w="2268" w:type="dxa"/>
            <w:vAlign w:val="center"/>
          </w:tcPr>
          <w:p>
            <w:pPr>
              <w:pStyle w:val="13"/>
            </w:pPr>
            <w:r>
              <w:t>≥95%</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全年支出</w:t>
            </w:r>
          </w:p>
        </w:tc>
        <w:tc>
          <w:tcPr>
            <w:tcW w:w="5386" w:type="dxa"/>
            <w:vAlign w:val="center"/>
          </w:tcPr>
          <w:p>
            <w:pPr>
              <w:pStyle w:val="13"/>
            </w:pPr>
            <w:r>
              <w:t>全年经费支出</w:t>
            </w:r>
          </w:p>
        </w:tc>
        <w:tc>
          <w:tcPr>
            <w:tcW w:w="2268" w:type="dxa"/>
            <w:vAlign w:val="center"/>
          </w:tcPr>
          <w:p>
            <w:pPr>
              <w:pStyle w:val="13"/>
            </w:pPr>
            <w:r>
              <w:t>≤12万元</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降低违规率</w:t>
            </w:r>
          </w:p>
        </w:tc>
        <w:tc>
          <w:tcPr>
            <w:tcW w:w="5386" w:type="dxa"/>
            <w:vAlign w:val="center"/>
          </w:tcPr>
          <w:p>
            <w:pPr>
              <w:pStyle w:val="13"/>
            </w:pPr>
            <w:r>
              <w:t>年初违规率-年底违规率</w:t>
            </w:r>
          </w:p>
        </w:tc>
        <w:tc>
          <w:tcPr>
            <w:tcW w:w="2268" w:type="dxa"/>
            <w:vAlign w:val="center"/>
          </w:tcPr>
          <w:p>
            <w:pPr>
              <w:pStyle w:val="13"/>
            </w:pPr>
            <w:r>
              <w:t>≥1%</w:t>
            </w:r>
          </w:p>
        </w:tc>
        <w:tc>
          <w:tcPr>
            <w:tcW w:w="1276" w:type="dxa"/>
            <w:vAlign w:val="center"/>
          </w:tcPr>
          <w:p>
            <w:pPr>
              <w:pStyle w:val="13"/>
            </w:pPr>
            <w:r>
              <w:t>往年数据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反映满意的人数/调查人数*100%</w:t>
            </w:r>
          </w:p>
        </w:tc>
        <w:tc>
          <w:tcPr>
            <w:tcW w:w="2268" w:type="dxa"/>
            <w:vAlign w:val="center"/>
          </w:tcPr>
          <w:p>
            <w:pPr>
              <w:pStyle w:val="13"/>
            </w:pPr>
            <w:r>
              <w:t>≥85%</w:t>
            </w:r>
          </w:p>
        </w:tc>
        <w:tc>
          <w:tcPr>
            <w:tcW w:w="1276" w:type="dxa"/>
            <w:vAlign w:val="center"/>
          </w:tcPr>
          <w:p>
            <w:pPr>
              <w:pStyle w:val="13"/>
            </w:pPr>
            <w:r>
              <w:t>对象反馈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3、财政投资项目评审费绩效目标表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13052525P000016100963</w:t>
            </w:r>
          </w:p>
        </w:tc>
        <w:tc>
          <w:tcPr>
            <w:tcW w:w="2835" w:type="dxa"/>
            <w:vAlign w:val="center"/>
          </w:tcPr>
          <w:p>
            <w:pPr>
              <w:pStyle w:val="11"/>
            </w:pPr>
            <w:r>
              <w:t>项目名称</w:t>
            </w:r>
          </w:p>
        </w:tc>
        <w:tc>
          <w:tcPr>
            <w:tcW w:w="6095" w:type="dxa"/>
            <w:gridSpan w:val="3"/>
            <w:vAlign w:val="center"/>
          </w:tcPr>
          <w:p>
            <w:pPr>
              <w:pStyle w:val="13"/>
            </w:pPr>
            <w:r>
              <w:t>财政投资项目评审费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用于支付财政投资项目预算评审费。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1.完成本年度财政投资项目评审，按时支付评审费用。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评审项目数量</w:t>
            </w:r>
          </w:p>
        </w:tc>
        <w:tc>
          <w:tcPr>
            <w:tcW w:w="5386" w:type="dxa"/>
            <w:vAlign w:val="center"/>
          </w:tcPr>
          <w:p>
            <w:pPr>
              <w:pStyle w:val="13"/>
            </w:pPr>
            <w:r>
              <w:t>完成评审项目数量</w:t>
            </w:r>
          </w:p>
        </w:tc>
        <w:tc>
          <w:tcPr>
            <w:tcW w:w="2268" w:type="dxa"/>
            <w:vAlign w:val="center"/>
          </w:tcPr>
          <w:p>
            <w:pPr>
              <w:pStyle w:val="13"/>
            </w:pPr>
            <w:r>
              <w:t>≥30个</w:t>
            </w:r>
          </w:p>
        </w:tc>
        <w:tc>
          <w:tcPr>
            <w:tcW w:w="1276" w:type="dxa"/>
            <w:vAlign w:val="center"/>
          </w:tcPr>
          <w:p>
            <w:pPr>
              <w:pStyle w:val="13"/>
            </w:pPr>
            <w:r>
              <w:t>年初测算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评审报告合格率</w:t>
            </w:r>
          </w:p>
        </w:tc>
        <w:tc>
          <w:tcPr>
            <w:tcW w:w="5386" w:type="dxa"/>
            <w:vAlign w:val="center"/>
          </w:tcPr>
          <w:p>
            <w:pPr>
              <w:pStyle w:val="13"/>
            </w:pPr>
            <w:r>
              <w:t>合格评审报告数量/出具的评审报告总数*100%</w:t>
            </w:r>
          </w:p>
        </w:tc>
        <w:tc>
          <w:tcPr>
            <w:tcW w:w="2268" w:type="dxa"/>
            <w:vAlign w:val="center"/>
          </w:tcPr>
          <w:p>
            <w:pPr>
              <w:pStyle w:val="13"/>
            </w:pPr>
            <w:r>
              <w:t>≥90%</w:t>
            </w:r>
          </w:p>
        </w:tc>
        <w:tc>
          <w:tcPr>
            <w:tcW w:w="1276" w:type="dxa"/>
            <w:vAlign w:val="center"/>
          </w:tcPr>
          <w:p>
            <w:pPr>
              <w:pStyle w:val="13"/>
            </w:pPr>
            <w:r>
              <w:t>上年评审结果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费用支付率</w:t>
            </w:r>
          </w:p>
        </w:tc>
        <w:tc>
          <w:tcPr>
            <w:tcW w:w="5386" w:type="dxa"/>
            <w:vAlign w:val="center"/>
          </w:tcPr>
          <w:p>
            <w:pPr>
              <w:pStyle w:val="13"/>
            </w:pPr>
            <w:r>
              <w:t>及时付费项目/应付费项目*100%</w:t>
            </w:r>
          </w:p>
        </w:tc>
        <w:tc>
          <w:tcPr>
            <w:tcW w:w="2268" w:type="dxa"/>
            <w:vAlign w:val="center"/>
          </w:tcPr>
          <w:p>
            <w:pPr>
              <w:pStyle w:val="13"/>
            </w:pPr>
            <w:r>
              <w:t>≥90%</w:t>
            </w:r>
          </w:p>
        </w:tc>
        <w:tc>
          <w:tcPr>
            <w:tcW w:w="1276" w:type="dxa"/>
            <w:vAlign w:val="center"/>
          </w:tcPr>
          <w:p>
            <w:pPr>
              <w:pStyle w:val="13"/>
            </w:pPr>
            <w:r>
              <w:t>上年支付情况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经费支出</w:t>
            </w:r>
          </w:p>
        </w:tc>
        <w:tc>
          <w:tcPr>
            <w:tcW w:w="5386" w:type="dxa"/>
            <w:vAlign w:val="center"/>
          </w:tcPr>
          <w:p>
            <w:pPr>
              <w:pStyle w:val="13"/>
            </w:pPr>
            <w:r>
              <w:t>全年经费支出</w:t>
            </w:r>
          </w:p>
        </w:tc>
        <w:tc>
          <w:tcPr>
            <w:tcW w:w="2268" w:type="dxa"/>
            <w:vAlign w:val="center"/>
          </w:tcPr>
          <w:p>
            <w:pPr>
              <w:pStyle w:val="13"/>
            </w:pPr>
            <w:r>
              <w:t>≤120万元</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项目预算审减率</w:t>
            </w:r>
          </w:p>
        </w:tc>
        <w:tc>
          <w:tcPr>
            <w:tcW w:w="5386" w:type="dxa"/>
            <w:vAlign w:val="center"/>
          </w:tcPr>
          <w:p>
            <w:pPr>
              <w:pStyle w:val="13"/>
            </w:pPr>
            <w:r>
              <w:t>对财政投资项目预算审减比例平均值</w:t>
            </w:r>
          </w:p>
        </w:tc>
        <w:tc>
          <w:tcPr>
            <w:tcW w:w="2268" w:type="dxa"/>
            <w:vAlign w:val="center"/>
          </w:tcPr>
          <w:p>
            <w:pPr>
              <w:pStyle w:val="13"/>
            </w:pPr>
            <w:r>
              <w:t>≥4%</w:t>
            </w:r>
          </w:p>
        </w:tc>
        <w:tc>
          <w:tcPr>
            <w:tcW w:w="1276" w:type="dxa"/>
            <w:vAlign w:val="center"/>
          </w:tcPr>
          <w:p>
            <w:pPr>
              <w:pStyle w:val="13"/>
            </w:pPr>
            <w:r>
              <w:t>上年评审结果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反映满意的人数/调查人数*100%</w:t>
            </w:r>
          </w:p>
        </w:tc>
        <w:tc>
          <w:tcPr>
            <w:tcW w:w="2268" w:type="dxa"/>
            <w:vAlign w:val="center"/>
          </w:tcPr>
          <w:p>
            <w:pPr>
              <w:pStyle w:val="13"/>
            </w:pPr>
            <w:r>
              <w:t>≥85%</w:t>
            </w:r>
          </w:p>
        </w:tc>
        <w:tc>
          <w:tcPr>
            <w:tcW w:w="1276" w:type="dxa"/>
            <w:vAlign w:val="center"/>
          </w:tcPr>
          <w:p>
            <w:pPr>
              <w:pStyle w:val="13"/>
            </w:pPr>
            <w:r>
              <w:t>对象反馈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4、冀财农[2024]108号/省级/2025年农村财会人员培训资金绩效目标表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13052525P00002410002M</w:t>
            </w:r>
          </w:p>
        </w:tc>
        <w:tc>
          <w:tcPr>
            <w:tcW w:w="2835" w:type="dxa"/>
            <w:vAlign w:val="center"/>
          </w:tcPr>
          <w:p>
            <w:pPr>
              <w:pStyle w:val="11"/>
            </w:pPr>
            <w:r>
              <w:t>项目名称</w:t>
            </w:r>
          </w:p>
        </w:tc>
        <w:tc>
          <w:tcPr>
            <w:tcW w:w="6095" w:type="dxa"/>
            <w:gridSpan w:val="3"/>
            <w:vAlign w:val="center"/>
          </w:tcPr>
          <w:p>
            <w:pPr>
              <w:pStyle w:val="13"/>
            </w:pPr>
            <w:r>
              <w:t>冀财农[2024]108号/省级/2025年农村财会人员培训资金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用于开展农村财会人员支农惠农政策培训支出。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1.确保基层财会人员全面掌握支农惠农政策精神，提高财务人员业务水平。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培训人员人次</w:t>
            </w:r>
          </w:p>
        </w:tc>
        <w:tc>
          <w:tcPr>
            <w:tcW w:w="5386" w:type="dxa"/>
            <w:vAlign w:val="center"/>
          </w:tcPr>
          <w:p>
            <w:pPr>
              <w:pStyle w:val="13"/>
            </w:pPr>
            <w:r>
              <w:t>培训人员人次</w:t>
            </w:r>
          </w:p>
        </w:tc>
        <w:tc>
          <w:tcPr>
            <w:tcW w:w="2268" w:type="dxa"/>
            <w:vAlign w:val="center"/>
          </w:tcPr>
          <w:p>
            <w:pPr>
              <w:pStyle w:val="13"/>
            </w:pPr>
            <w:r>
              <w:t>≥1000人次</w:t>
            </w:r>
          </w:p>
        </w:tc>
        <w:tc>
          <w:tcPr>
            <w:tcW w:w="1276" w:type="dxa"/>
            <w:vAlign w:val="center"/>
          </w:tcPr>
          <w:p>
            <w:pPr>
              <w:pStyle w:val="13"/>
            </w:pPr>
            <w:r>
              <w:t>年度培训计划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培训出勤率</w:t>
            </w:r>
          </w:p>
        </w:tc>
        <w:tc>
          <w:tcPr>
            <w:tcW w:w="5386" w:type="dxa"/>
            <w:vAlign w:val="center"/>
          </w:tcPr>
          <w:p>
            <w:pPr>
              <w:pStyle w:val="13"/>
            </w:pPr>
            <w:r>
              <w:t>培训出勤人数/应出勤人数*100%</w:t>
            </w:r>
          </w:p>
          <w:p>
            <w:pPr>
              <w:pStyle w:val="13"/>
            </w:pPr>
          </w:p>
        </w:tc>
        <w:tc>
          <w:tcPr>
            <w:tcW w:w="2268" w:type="dxa"/>
            <w:vAlign w:val="center"/>
          </w:tcPr>
          <w:p>
            <w:pPr>
              <w:pStyle w:val="13"/>
            </w:pPr>
            <w:r>
              <w:t>≥80%</w:t>
            </w:r>
          </w:p>
        </w:tc>
        <w:tc>
          <w:tcPr>
            <w:tcW w:w="1276" w:type="dxa"/>
            <w:vAlign w:val="center"/>
          </w:tcPr>
          <w:p>
            <w:pPr>
              <w:pStyle w:val="13"/>
            </w:pPr>
            <w:r>
              <w:t>年度培训计划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培训完成时间</w:t>
            </w:r>
          </w:p>
        </w:tc>
        <w:tc>
          <w:tcPr>
            <w:tcW w:w="5386" w:type="dxa"/>
            <w:vAlign w:val="center"/>
          </w:tcPr>
          <w:p>
            <w:pPr>
              <w:pStyle w:val="13"/>
            </w:pPr>
            <w:r>
              <w:t>培训是否按计划时间开展</w:t>
            </w:r>
          </w:p>
        </w:tc>
        <w:tc>
          <w:tcPr>
            <w:tcW w:w="2268" w:type="dxa"/>
            <w:vAlign w:val="center"/>
          </w:tcPr>
          <w:p>
            <w:pPr>
              <w:pStyle w:val="13"/>
            </w:pPr>
            <w:r>
              <w:t>年底</w:t>
            </w:r>
          </w:p>
        </w:tc>
        <w:tc>
          <w:tcPr>
            <w:tcW w:w="1276" w:type="dxa"/>
            <w:vAlign w:val="center"/>
          </w:tcPr>
          <w:p>
            <w:pPr>
              <w:pStyle w:val="13"/>
            </w:pPr>
            <w:r>
              <w:t>年度培训计划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培训费用</w:t>
            </w:r>
          </w:p>
        </w:tc>
        <w:tc>
          <w:tcPr>
            <w:tcW w:w="5386" w:type="dxa"/>
            <w:vAlign w:val="center"/>
          </w:tcPr>
          <w:p>
            <w:pPr>
              <w:pStyle w:val="13"/>
            </w:pPr>
            <w:r>
              <w:t>培训费用</w:t>
            </w:r>
          </w:p>
        </w:tc>
        <w:tc>
          <w:tcPr>
            <w:tcW w:w="2268" w:type="dxa"/>
            <w:vAlign w:val="center"/>
          </w:tcPr>
          <w:p>
            <w:pPr>
              <w:pStyle w:val="13"/>
            </w:pPr>
            <w:r>
              <w:t>≤18万元</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培训合格率</w:t>
            </w:r>
          </w:p>
        </w:tc>
        <w:tc>
          <w:tcPr>
            <w:tcW w:w="5386" w:type="dxa"/>
            <w:vAlign w:val="center"/>
          </w:tcPr>
          <w:p>
            <w:pPr>
              <w:pStyle w:val="13"/>
            </w:pPr>
            <w:r>
              <w:t>合格参训人员/全部参训人员*100%</w:t>
            </w:r>
          </w:p>
        </w:tc>
        <w:tc>
          <w:tcPr>
            <w:tcW w:w="2268" w:type="dxa"/>
            <w:vAlign w:val="center"/>
          </w:tcPr>
          <w:p>
            <w:pPr>
              <w:pStyle w:val="13"/>
            </w:pPr>
            <w:r>
              <w:t>≥80%</w:t>
            </w:r>
          </w:p>
        </w:tc>
        <w:tc>
          <w:tcPr>
            <w:tcW w:w="1276" w:type="dxa"/>
            <w:vAlign w:val="center"/>
          </w:tcPr>
          <w:p>
            <w:pPr>
              <w:pStyle w:val="13"/>
            </w:pPr>
            <w:r>
              <w:t>年度培训计划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学员满意度</w:t>
            </w:r>
          </w:p>
        </w:tc>
        <w:tc>
          <w:tcPr>
            <w:tcW w:w="5386" w:type="dxa"/>
            <w:vAlign w:val="center"/>
          </w:tcPr>
          <w:p>
            <w:pPr>
              <w:pStyle w:val="13"/>
            </w:pPr>
            <w:r>
              <w:t>反映满意的人数/调查人数*100%</w:t>
            </w:r>
          </w:p>
        </w:tc>
        <w:tc>
          <w:tcPr>
            <w:tcW w:w="2268" w:type="dxa"/>
            <w:vAlign w:val="center"/>
          </w:tcPr>
          <w:p>
            <w:pPr>
              <w:pStyle w:val="13"/>
            </w:pPr>
            <w:r>
              <w:t>≥80%</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5、隆尧县财政专网和预算一体化系统运维绩效目标表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13052525P00003910107L</w:t>
            </w:r>
          </w:p>
        </w:tc>
        <w:tc>
          <w:tcPr>
            <w:tcW w:w="2835" w:type="dxa"/>
            <w:vAlign w:val="center"/>
          </w:tcPr>
          <w:p>
            <w:pPr>
              <w:pStyle w:val="11"/>
            </w:pPr>
            <w:r>
              <w:t>项目名称</w:t>
            </w:r>
          </w:p>
        </w:tc>
        <w:tc>
          <w:tcPr>
            <w:tcW w:w="6095" w:type="dxa"/>
            <w:gridSpan w:val="3"/>
            <w:vAlign w:val="center"/>
          </w:tcPr>
          <w:p>
            <w:pPr>
              <w:pStyle w:val="13"/>
            </w:pPr>
            <w:r>
              <w:t>隆尧县财政专网和预算一体化系统运维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42.47</w:t>
            </w:r>
          </w:p>
        </w:tc>
        <w:tc>
          <w:tcPr>
            <w:tcW w:w="2835" w:type="dxa"/>
            <w:vAlign w:val="center"/>
          </w:tcPr>
          <w:p>
            <w:pPr>
              <w:pStyle w:val="11"/>
            </w:pPr>
            <w:r>
              <w:t>其中：财政    资金</w:t>
            </w:r>
          </w:p>
        </w:tc>
        <w:tc>
          <w:tcPr>
            <w:tcW w:w="2551" w:type="dxa"/>
            <w:vAlign w:val="center"/>
          </w:tcPr>
          <w:p>
            <w:pPr>
              <w:pStyle w:val="13"/>
            </w:pPr>
            <w:r>
              <w:t>42.47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用于全县财政专网和预算一体化系统运维支出。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1.确保财政专网、财政系统软件正常运转。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财政专网覆盖面</w:t>
            </w:r>
          </w:p>
        </w:tc>
        <w:tc>
          <w:tcPr>
            <w:tcW w:w="5386" w:type="dxa"/>
            <w:vAlign w:val="center"/>
          </w:tcPr>
          <w:p>
            <w:pPr>
              <w:pStyle w:val="13"/>
            </w:pPr>
            <w:r>
              <w:t>各预算单位财政专网数量</w:t>
            </w:r>
          </w:p>
        </w:tc>
        <w:tc>
          <w:tcPr>
            <w:tcW w:w="2268" w:type="dxa"/>
            <w:vAlign w:val="center"/>
          </w:tcPr>
          <w:p>
            <w:pPr>
              <w:pStyle w:val="13"/>
            </w:pPr>
            <w:r>
              <w:t>100条</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系统正常运转率</w:t>
            </w:r>
          </w:p>
        </w:tc>
        <w:tc>
          <w:tcPr>
            <w:tcW w:w="5386" w:type="dxa"/>
            <w:vAlign w:val="center"/>
          </w:tcPr>
          <w:p>
            <w:pPr>
              <w:pStyle w:val="13"/>
            </w:pPr>
            <w:r>
              <w:t>系统正常运转时间/系统总运行时间*100%</w:t>
            </w:r>
          </w:p>
        </w:tc>
        <w:tc>
          <w:tcPr>
            <w:tcW w:w="2268" w:type="dxa"/>
            <w:vAlign w:val="center"/>
          </w:tcPr>
          <w:p>
            <w:pPr>
              <w:pStyle w:val="13"/>
            </w:pPr>
            <w:r>
              <w:t>≥90%</w:t>
            </w:r>
          </w:p>
        </w:tc>
        <w:tc>
          <w:tcPr>
            <w:tcW w:w="1276" w:type="dxa"/>
            <w:vAlign w:val="center"/>
          </w:tcPr>
          <w:p>
            <w:pPr>
              <w:pStyle w:val="13"/>
            </w:pPr>
            <w:r>
              <w:t>技术支持承诺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故障处理及时率</w:t>
            </w:r>
          </w:p>
        </w:tc>
        <w:tc>
          <w:tcPr>
            <w:tcW w:w="5386" w:type="dxa"/>
            <w:vAlign w:val="center"/>
          </w:tcPr>
          <w:p>
            <w:pPr>
              <w:pStyle w:val="13"/>
            </w:pPr>
            <w:r>
              <w:t>故障发生后技术人员到场处理时间</w:t>
            </w:r>
          </w:p>
        </w:tc>
        <w:tc>
          <w:tcPr>
            <w:tcW w:w="2268" w:type="dxa"/>
            <w:vAlign w:val="center"/>
          </w:tcPr>
          <w:p>
            <w:pPr>
              <w:pStyle w:val="13"/>
            </w:pPr>
            <w:r>
              <w:t>≤24小时</w:t>
            </w:r>
          </w:p>
        </w:tc>
        <w:tc>
          <w:tcPr>
            <w:tcW w:w="1276" w:type="dxa"/>
            <w:vAlign w:val="center"/>
          </w:tcPr>
          <w:p>
            <w:pPr>
              <w:pStyle w:val="13"/>
            </w:pPr>
            <w:r>
              <w:t>技术支持承诺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经费支出</w:t>
            </w:r>
          </w:p>
        </w:tc>
        <w:tc>
          <w:tcPr>
            <w:tcW w:w="5386" w:type="dxa"/>
            <w:vAlign w:val="center"/>
          </w:tcPr>
          <w:p>
            <w:pPr>
              <w:pStyle w:val="13"/>
            </w:pPr>
            <w:r>
              <w:t>全年经费支出</w:t>
            </w:r>
          </w:p>
        </w:tc>
        <w:tc>
          <w:tcPr>
            <w:tcW w:w="2268" w:type="dxa"/>
            <w:vAlign w:val="center"/>
          </w:tcPr>
          <w:p>
            <w:pPr>
              <w:pStyle w:val="13"/>
            </w:pPr>
            <w:r>
              <w:t>≤42.47万元</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信息化覆盖率</w:t>
            </w:r>
          </w:p>
        </w:tc>
        <w:tc>
          <w:tcPr>
            <w:tcW w:w="5386" w:type="dxa"/>
            <w:vAlign w:val="center"/>
          </w:tcPr>
          <w:p>
            <w:pPr>
              <w:pStyle w:val="13"/>
            </w:pPr>
            <w:r>
              <w:t>信息化覆盖范围/信息化应覆盖范围*100%</w:t>
            </w:r>
          </w:p>
        </w:tc>
        <w:tc>
          <w:tcPr>
            <w:tcW w:w="2268" w:type="dxa"/>
            <w:vAlign w:val="center"/>
          </w:tcPr>
          <w:p>
            <w:pPr>
              <w:pStyle w:val="13"/>
            </w:pPr>
            <w:r>
              <w:t>≥85%</w:t>
            </w:r>
          </w:p>
        </w:tc>
        <w:tc>
          <w:tcPr>
            <w:tcW w:w="1276" w:type="dxa"/>
            <w:vAlign w:val="center"/>
          </w:tcPr>
          <w:p>
            <w:pPr>
              <w:pStyle w:val="13"/>
            </w:pPr>
            <w:r>
              <w:t>实际测算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反映满意的人数/调查人数*100%</w:t>
            </w:r>
          </w:p>
        </w:tc>
        <w:tc>
          <w:tcPr>
            <w:tcW w:w="2268" w:type="dxa"/>
            <w:vAlign w:val="center"/>
          </w:tcPr>
          <w:p>
            <w:pPr>
              <w:pStyle w:val="13"/>
            </w:pPr>
            <w:r>
              <w:t>≥85%</w:t>
            </w:r>
          </w:p>
        </w:tc>
        <w:tc>
          <w:tcPr>
            <w:tcW w:w="1276" w:type="dxa"/>
            <w:vAlign w:val="center"/>
          </w:tcPr>
          <w:p>
            <w:pPr>
              <w:pStyle w:val="13"/>
            </w:pPr>
            <w:r>
              <w:t>网络反馈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6、农村综合改革管理绩效目标表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13052525P00003910112E</w:t>
            </w:r>
          </w:p>
        </w:tc>
        <w:tc>
          <w:tcPr>
            <w:tcW w:w="2835" w:type="dxa"/>
            <w:vAlign w:val="center"/>
          </w:tcPr>
          <w:p>
            <w:pPr>
              <w:pStyle w:val="11"/>
            </w:pPr>
            <w:r>
              <w:t>项目名称</w:t>
            </w:r>
          </w:p>
        </w:tc>
        <w:tc>
          <w:tcPr>
            <w:tcW w:w="6095" w:type="dxa"/>
            <w:gridSpan w:val="3"/>
            <w:vAlign w:val="center"/>
          </w:tcPr>
          <w:p>
            <w:pPr>
              <w:pStyle w:val="13"/>
            </w:pPr>
            <w:r>
              <w:t>农村综合改革管理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用于农村综改项目第三方评估、设计、验收费和业务管理支出。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1.完成农村综合改革项目验收工作，按时支付费用。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实地查看项目次数</w:t>
            </w:r>
          </w:p>
        </w:tc>
        <w:tc>
          <w:tcPr>
            <w:tcW w:w="5386" w:type="dxa"/>
            <w:vAlign w:val="center"/>
          </w:tcPr>
          <w:p>
            <w:pPr>
              <w:pStyle w:val="13"/>
            </w:pPr>
            <w:r>
              <w:t>实地查看项目次数</w:t>
            </w:r>
          </w:p>
        </w:tc>
        <w:tc>
          <w:tcPr>
            <w:tcW w:w="2268" w:type="dxa"/>
            <w:vAlign w:val="center"/>
          </w:tcPr>
          <w:p>
            <w:pPr>
              <w:pStyle w:val="13"/>
            </w:pPr>
            <w:r>
              <w:t>≥6次</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验收项目合格率</w:t>
            </w:r>
          </w:p>
        </w:tc>
        <w:tc>
          <w:tcPr>
            <w:tcW w:w="5386" w:type="dxa"/>
            <w:vAlign w:val="center"/>
          </w:tcPr>
          <w:p>
            <w:pPr>
              <w:pStyle w:val="13"/>
            </w:pPr>
            <w:r>
              <w:t>验收合格项目/全部验收项目*100%</w:t>
            </w:r>
          </w:p>
        </w:tc>
        <w:tc>
          <w:tcPr>
            <w:tcW w:w="2268" w:type="dxa"/>
            <w:vAlign w:val="center"/>
          </w:tcPr>
          <w:p>
            <w:pPr>
              <w:pStyle w:val="13"/>
            </w:pPr>
            <w:r>
              <w:t>≥90%</w:t>
            </w:r>
          </w:p>
        </w:tc>
        <w:tc>
          <w:tcPr>
            <w:tcW w:w="1276" w:type="dxa"/>
            <w:vAlign w:val="center"/>
          </w:tcPr>
          <w:p>
            <w:pPr>
              <w:pStyle w:val="13"/>
            </w:pPr>
            <w:r>
              <w:t>往年数据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验收完成率</w:t>
            </w:r>
          </w:p>
        </w:tc>
        <w:tc>
          <w:tcPr>
            <w:tcW w:w="5386" w:type="dxa"/>
            <w:vAlign w:val="center"/>
          </w:tcPr>
          <w:p>
            <w:pPr>
              <w:pStyle w:val="13"/>
            </w:pPr>
            <w:r>
              <w:t>完成验收项目/应验收项目*100%</w:t>
            </w:r>
          </w:p>
        </w:tc>
        <w:tc>
          <w:tcPr>
            <w:tcW w:w="2268" w:type="dxa"/>
            <w:vAlign w:val="center"/>
          </w:tcPr>
          <w:p>
            <w:pPr>
              <w:pStyle w:val="13"/>
            </w:pPr>
            <w:r>
              <w:t>≥90%</w:t>
            </w:r>
          </w:p>
        </w:tc>
        <w:tc>
          <w:tcPr>
            <w:tcW w:w="1276" w:type="dxa"/>
            <w:vAlign w:val="center"/>
          </w:tcPr>
          <w:p>
            <w:pPr>
              <w:pStyle w:val="13"/>
            </w:pPr>
            <w:r>
              <w:t>往年数据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经费支出</w:t>
            </w:r>
          </w:p>
        </w:tc>
        <w:tc>
          <w:tcPr>
            <w:tcW w:w="5386" w:type="dxa"/>
            <w:vAlign w:val="center"/>
          </w:tcPr>
          <w:p>
            <w:pPr>
              <w:pStyle w:val="13"/>
            </w:pPr>
            <w:r>
              <w:t>全年经费支出</w:t>
            </w:r>
          </w:p>
        </w:tc>
        <w:tc>
          <w:tcPr>
            <w:tcW w:w="2268" w:type="dxa"/>
            <w:vAlign w:val="center"/>
          </w:tcPr>
          <w:p>
            <w:pPr>
              <w:pStyle w:val="13"/>
            </w:pPr>
            <w:r>
              <w:t>≤24万元</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项目整改合格率</w:t>
            </w:r>
          </w:p>
        </w:tc>
        <w:tc>
          <w:tcPr>
            <w:tcW w:w="5386" w:type="dxa"/>
            <w:vAlign w:val="center"/>
          </w:tcPr>
          <w:p>
            <w:pPr>
              <w:pStyle w:val="13"/>
            </w:pPr>
            <w:r>
              <w:t>整改合格项目/全部整改项目*100%</w:t>
            </w:r>
          </w:p>
        </w:tc>
        <w:tc>
          <w:tcPr>
            <w:tcW w:w="2268" w:type="dxa"/>
            <w:vAlign w:val="center"/>
          </w:tcPr>
          <w:p>
            <w:pPr>
              <w:pStyle w:val="13"/>
            </w:pPr>
            <w:r>
              <w:t>100%</w:t>
            </w:r>
          </w:p>
        </w:tc>
        <w:tc>
          <w:tcPr>
            <w:tcW w:w="1276" w:type="dxa"/>
            <w:vAlign w:val="center"/>
          </w:tcPr>
          <w:p>
            <w:pPr>
              <w:pStyle w:val="13"/>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反映满意的人数/调查人数*100%</w:t>
            </w:r>
          </w:p>
        </w:tc>
        <w:tc>
          <w:tcPr>
            <w:tcW w:w="2268" w:type="dxa"/>
            <w:vAlign w:val="center"/>
          </w:tcPr>
          <w:p>
            <w:pPr>
              <w:pStyle w:val="13"/>
            </w:pPr>
            <w:r>
              <w:t>≥85%</w:t>
            </w:r>
          </w:p>
        </w:tc>
        <w:tc>
          <w:tcPr>
            <w:tcW w:w="1276" w:type="dxa"/>
            <w:vAlign w:val="center"/>
          </w:tcPr>
          <w:p>
            <w:pPr>
              <w:pStyle w:val="13"/>
            </w:pPr>
            <w:r>
              <w:t>对象反馈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7、扫黑除恶斗争工作经费绩效目标表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13052525P000039101132</w:t>
            </w:r>
          </w:p>
        </w:tc>
        <w:tc>
          <w:tcPr>
            <w:tcW w:w="2835" w:type="dxa"/>
            <w:vAlign w:val="center"/>
          </w:tcPr>
          <w:p>
            <w:pPr>
              <w:pStyle w:val="11"/>
            </w:pPr>
            <w:r>
              <w:t>项目名称</w:t>
            </w:r>
          </w:p>
        </w:tc>
        <w:tc>
          <w:tcPr>
            <w:tcW w:w="6095" w:type="dxa"/>
            <w:gridSpan w:val="3"/>
            <w:vAlign w:val="center"/>
          </w:tcPr>
          <w:p>
            <w:pPr>
              <w:pStyle w:val="13"/>
            </w:pPr>
            <w:r>
              <w:t>扫黑除恶斗争工作经费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用于扫黑除恶斗争工作办公经费。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1.增强扫黑除恶宣传力度，确保开展扫黑除恶工作资金支持。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宣传次数</w:t>
            </w:r>
          </w:p>
        </w:tc>
        <w:tc>
          <w:tcPr>
            <w:tcW w:w="5386" w:type="dxa"/>
            <w:vAlign w:val="center"/>
          </w:tcPr>
          <w:p>
            <w:pPr>
              <w:pStyle w:val="13"/>
            </w:pPr>
            <w:r>
              <w:t>开展扫黑除恶宣传次数</w:t>
            </w:r>
          </w:p>
        </w:tc>
        <w:tc>
          <w:tcPr>
            <w:tcW w:w="2268" w:type="dxa"/>
            <w:vAlign w:val="center"/>
          </w:tcPr>
          <w:p>
            <w:pPr>
              <w:pStyle w:val="13"/>
            </w:pPr>
            <w:r>
              <w:t>≥1次</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保障工作运转率</w:t>
            </w:r>
          </w:p>
        </w:tc>
        <w:tc>
          <w:tcPr>
            <w:tcW w:w="5386" w:type="dxa"/>
            <w:vAlign w:val="center"/>
          </w:tcPr>
          <w:p>
            <w:pPr>
              <w:pStyle w:val="13"/>
            </w:pPr>
            <w:r>
              <w:t>保证工作正常运转</w:t>
            </w:r>
          </w:p>
        </w:tc>
        <w:tc>
          <w:tcPr>
            <w:tcW w:w="2268" w:type="dxa"/>
            <w:vAlign w:val="center"/>
          </w:tcPr>
          <w:p>
            <w:pPr>
              <w:pStyle w:val="13"/>
            </w:pPr>
            <w:r>
              <w:t>≥95%</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宣传完成时间</w:t>
            </w:r>
          </w:p>
        </w:tc>
        <w:tc>
          <w:tcPr>
            <w:tcW w:w="5386" w:type="dxa"/>
            <w:vAlign w:val="center"/>
          </w:tcPr>
          <w:p>
            <w:pPr>
              <w:pStyle w:val="13"/>
            </w:pPr>
            <w:r>
              <w:t>扫黑除恶宣传开展时间</w:t>
            </w:r>
          </w:p>
        </w:tc>
        <w:tc>
          <w:tcPr>
            <w:tcW w:w="2268" w:type="dxa"/>
            <w:vAlign w:val="center"/>
          </w:tcPr>
          <w:p>
            <w:pPr>
              <w:pStyle w:val="13"/>
            </w:pPr>
            <w:r>
              <w:t>10月底前</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资金使用合规率</w:t>
            </w:r>
          </w:p>
        </w:tc>
        <w:tc>
          <w:tcPr>
            <w:tcW w:w="5386" w:type="dxa"/>
            <w:vAlign w:val="center"/>
          </w:tcPr>
          <w:p>
            <w:pPr>
              <w:pStyle w:val="13"/>
            </w:pPr>
            <w:r>
              <w:t>支出符合部门批复预算用途</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扫黑除恶宣传普及率</w:t>
            </w:r>
          </w:p>
        </w:tc>
        <w:tc>
          <w:tcPr>
            <w:tcW w:w="5386" w:type="dxa"/>
            <w:vAlign w:val="center"/>
          </w:tcPr>
          <w:p>
            <w:pPr>
              <w:pStyle w:val="13"/>
            </w:pPr>
            <w:r>
              <w:t>群众对扫黑除恶政策知晓程度</w:t>
            </w:r>
          </w:p>
        </w:tc>
        <w:tc>
          <w:tcPr>
            <w:tcW w:w="2268" w:type="dxa"/>
            <w:vAlign w:val="center"/>
          </w:tcPr>
          <w:p>
            <w:pPr>
              <w:pStyle w:val="13"/>
            </w:pPr>
            <w:r>
              <w:t>≥70%</w:t>
            </w:r>
          </w:p>
        </w:tc>
        <w:tc>
          <w:tcPr>
            <w:tcW w:w="1276" w:type="dxa"/>
            <w:vAlign w:val="center"/>
          </w:tcPr>
          <w:p>
            <w:pPr>
              <w:pStyle w:val="13"/>
            </w:pPr>
            <w:r>
              <w:t>问卷调查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反映满意的人数/调查人数*100%</w:t>
            </w:r>
          </w:p>
        </w:tc>
        <w:tc>
          <w:tcPr>
            <w:tcW w:w="2268" w:type="dxa"/>
            <w:vAlign w:val="center"/>
          </w:tcPr>
          <w:p>
            <w:pPr>
              <w:pStyle w:val="13"/>
            </w:pPr>
            <w:r>
              <w:t>≥80%</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8、网络舆情监测绩效目标表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13052525P00003910109U</w:t>
            </w:r>
          </w:p>
        </w:tc>
        <w:tc>
          <w:tcPr>
            <w:tcW w:w="2835" w:type="dxa"/>
            <w:vAlign w:val="center"/>
          </w:tcPr>
          <w:p>
            <w:pPr>
              <w:pStyle w:val="11"/>
            </w:pPr>
            <w:r>
              <w:t>项目名称</w:t>
            </w:r>
          </w:p>
        </w:tc>
        <w:tc>
          <w:tcPr>
            <w:tcW w:w="6095" w:type="dxa"/>
            <w:gridSpan w:val="3"/>
            <w:vAlign w:val="center"/>
          </w:tcPr>
          <w:p>
            <w:pPr>
              <w:pStyle w:val="13"/>
            </w:pPr>
            <w:r>
              <w:t>网络舆情监测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7.61</w:t>
            </w:r>
          </w:p>
        </w:tc>
        <w:tc>
          <w:tcPr>
            <w:tcW w:w="2835" w:type="dxa"/>
            <w:vAlign w:val="center"/>
          </w:tcPr>
          <w:p>
            <w:pPr>
              <w:pStyle w:val="11"/>
            </w:pPr>
            <w:r>
              <w:t>其中：财政    资金</w:t>
            </w:r>
          </w:p>
        </w:tc>
        <w:tc>
          <w:tcPr>
            <w:tcW w:w="2551" w:type="dxa"/>
            <w:vAlign w:val="center"/>
          </w:tcPr>
          <w:p>
            <w:pPr>
              <w:pStyle w:val="13"/>
            </w:pPr>
            <w:r>
              <w:t>7.61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用于智慧舆情监测系统运维服务费。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1.掌握网络舆情，做好舆情及时应对和处置。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网络舆情监测率</w:t>
            </w:r>
          </w:p>
        </w:tc>
        <w:tc>
          <w:tcPr>
            <w:tcW w:w="5386" w:type="dxa"/>
            <w:vAlign w:val="center"/>
          </w:tcPr>
          <w:p>
            <w:pPr>
              <w:pStyle w:val="13"/>
            </w:pPr>
            <w:r>
              <w:t>监测到网络舆情数/发生网络舆情数*100%</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网络舆情处置率</w:t>
            </w:r>
          </w:p>
        </w:tc>
        <w:tc>
          <w:tcPr>
            <w:tcW w:w="5386" w:type="dxa"/>
            <w:vAlign w:val="center"/>
          </w:tcPr>
          <w:p>
            <w:pPr>
              <w:pStyle w:val="13"/>
            </w:pPr>
            <w:r>
              <w:t>处置网络舆情数/发生网络舆情数*100%</w:t>
            </w:r>
          </w:p>
        </w:tc>
        <w:tc>
          <w:tcPr>
            <w:tcW w:w="2268" w:type="dxa"/>
            <w:vAlign w:val="center"/>
          </w:tcPr>
          <w:p>
            <w:pPr>
              <w:pStyle w:val="13"/>
            </w:pPr>
            <w:r>
              <w:t>≥95%</w:t>
            </w:r>
          </w:p>
        </w:tc>
        <w:tc>
          <w:tcPr>
            <w:tcW w:w="1276" w:type="dxa"/>
            <w:vAlign w:val="center"/>
          </w:tcPr>
          <w:p>
            <w:pPr>
              <w:pStyle w:val="13"/>
            </w:pPr>
            <w:r>
              <w:t>往年数据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网络舆情处置及时性</w:t>
            </w:r>
          </w:p>
        </w:tc>
        <w:tc>
          <w:tcPr>
            <w:tcW w:w="5386" w:type="dxa"/>
            <w:vAlign w:val="center"/>
          </w:tcPr>
          <w:p>
            <w:pPr>
              <w:pStyle w:val="13"/>
            </w:pPr>
            <w:r>
              <w:t>网络舆情处置及时性</w:t>
            </w:r>
          </w:p>
        </w:tc>
        <w:tc>
          <w:tcPr>
            <w:tcW w:w="2268" w:type="dxa"/>
            <w:vAlign w:val="center"/>
          </w:tcPr>
          <w:p>
            <w:pPr>
              <w:pStyle w:val="13"/>
            </w:pPr>
            <w:r>
              <w:t>≤24小时</w:t>
            </w:r>
          </w:p>
        </w:tc>
        <w:tc>
          <w:tcPr>
            <w:tcW w:w="1276" w:type="dxa"/>
            <w:vAlign w:val="center"/>
          </w:tcPr>
          <w:p>
            <w:pPr>
              <w:pStyle w:val="13"/>
            </w:pPr>
            <w:r>
              <w:t>处置情况数据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经费支出</w:t>
            </w:r>
          </w:p>
        </w:tc>
        <w:tc>
          <w:tcPr>
            <w:tcW w:w="5386" w:type="dxa"/>
            <w:vAlign w:val="center"/>
          </w:tcPr>
          <w:p>
            <w:pPr>
              <w:pStyle w:val="13"/>
            </w:pPr>
            <w:r>
              <w:t>经费支出</w:t>
            </w:r>
          </w:p>
        </w:tc>
        <w:tc>
          <w:tcPr>
            <w:tcW w:w="2268" w:type="dxa"/>
            <w:vAlign w:val="center"/>
          </w:tcPr>
          <w:p>
            <w:pPr>
              <w:pStyle w:val="13"/>
            </w:pPr>
            <w:r>
              <w:t>≤7.61万元</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通过实施网络舆情监测促进社会稳定水平逐步提高</w:t>
            </w:r>
          </w:p>
        </w:tc>
        <w:tc>
          <w:tcPr>
            <w:tcW w:w="2268" w:type="dxa"/>
            <w:vAlign w:val="center"/>
          </w:tcPr>
          <w:p>
            <w:pPr>
              <w:pStyle w:val="13"/>
            </w:pPr>
            <w:r>
              <w:t>≥10%</w:t>
            </w:r>
          </w:p>
        </w:tc>
        <w:tc>
          <w:tcPr>
            <w:tcW w:w="1276" w:type="dxa"/>
            <w:vAlign w:val="center"/>
          </w:tcPr>
          <w:p>
            <w:pPr>
              <w:pStyle w:val="13"/>
            </w:pPr>
            <w:r>
              <w:t>网络调查结果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反映满意的人数/调查人数*100%</w:t>
            </w:r>
          </w:p>
        </w:tc>
        <w:tc>
          <w:tcPr>
            <w:tcW w:w="2268" w:type="dxa"/>
            <w:vAlign w:val="center"/>
          </w:tcPr>
          <w:p>
            <w:pPr>
              <w:pStyle w:val="13"/>
            </w:pPr>
            <w:r>
              <w:t>≥85%</w:t>
            </w:r>
          </w:p>
        </w:tc>
        <w:tc>
          <w:tcPr>
            <w:tcW w:w="1276" w:type="dxa"/>
            <w:vAlign w:val="center"/>
          </w:tcPr>
          <w:p>
            <w:pPr>
              <w:pStyle w:val="13"/>
            </w:pPr>
            <w:r>
              <w:t>网络反馈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9、信息一体化建设绩效目标表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13052525P000039101088</w:t>
            </w:r>
          </w:p>
        </w:tc>
        <w:tc>
          <w:tcPr>
            <w:tcW w:w="2835" w:type="dxa"/>
            <w:vAlign w:val="center"/>
          </w:tcPr>
          <w:p>
            <w:pPr>
              <w:pStyle w:val="11"/>
            </w:pPr>
            <w:r>
              <w:t>项目名称</w:t>
            </w:r>
          </w:p>
        </w:tc>
        <w:tc>
          <w:tcPr>
            <w:tcW w:w="6095" w:type="dxa"/>
            <w:gridSpan w:val="3"/>
            <w:vAlign w:val="center"/>
          </w:tcPr>
          <w:p>
            <w:pPr>
              <w:pStyle w:val="13"/>
            </w:pPr>
            <w:r>
              <w:t>信息一体化建设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37.15</w:t>
            </w:r>
          </w:p>
        </w:tc>
        <w:tc>
          <w:tcPr>
            <w:tcW w:w="2835" w:type="dxa"/>
            <w:vAlign w:val="center"/>
          </w:tcPr>
          <w:p>
            <w:pPr>
              <w:pStyle w:val="11"/>
            </w:pPr>
            <w:r>
              <w:t>其中：财政    资金</w:t>
            </w:r>
          </w:p>
        </w:tc>
        <w:tc>
          <w:tcPr>
            <w:tcW w:w="2551" w:type="dxa"/>
            <w:vAlign w:val="center"/>
          </w:tcPr>
          <w:p>
            <w:pPr>
              <w:pStyle w:val="13"/>
            </w:pPr>
            <w:r>
              <w:t>37.15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用于局机关信息一体化建设支出。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1.推进信息一体化基础建设，保障信息化系统高效稳定运行。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机房故障次数</w:t>
            </w:r>
          </w:p>
        </w:tc>
        <w:tc>
          <w:tcPr>
            <w:tcW w:w="5386" w:type="dxa"/>
            <w:vAlign w:val="center"/>
          </w:tcPr>
          <w:p>
            <w:pPr>
              <w:pStyle w:val="13"/>
            </w:pPr>
            <w:r>
              <w:t>机房故障次数</w:t>
            </w:r>
          </w:p>
        </w:tc>
        <w:tc>
          <w:tcPr>
            <w:tcW w:w="2268" w:type="dxa"/>
            <w:vAlign w:val="center"/>
          </w:tcPr>
          <w:p>
            <w:pPr>
              <w:pStyle w:val="13"/>
            </w:pPr>
            <w:r>
              <w:t>≤4次</w:t>
            </w:r>
          </w:p>
        </w:tc>
        <w:tc>
          <w:tcPr>
            <w:tcW w:w="1276" w:type="dxa"/>
            <w:vAlign w:val="center"/>
          </w:tcPr>
          <w:p>
            <w:pPr>
              <w:pStyle w:val="13"/>
            </w:pPr>
            <w:r>
              <w:t>上年数据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正常运转率</w:t>
            </w:r>
          </w:p>
        </w:tc>
        <w:tc>
          <w:tcPr>
            <w:tcW w:w="5386" w:type="dxa"/>
            <w:vAlign w:val="center"/>
          </w:tcPr>
          <w:p>
            <w:pPr>
              <w:pStyle w:val="13"/>
            </w:pPr>
            <w:r>
              <w:t>系统正常运转时间/系统总运行时间*100%</w:t>
            </w:r>
          </w:p>
        </w:tc>
        <w:tc>
          <w:tcPr>
            <w:tcW w:w="2268" w:type="dxa"/>
            <w:vAlign w:val="center"/>
          </w:tcPr>
          <w:p>
            <w:pPr>
              <w:pStyle w:val="13"/>
            </w:pPr>
            <w:r>
              <w:t>≥90%</w:t>
            </w:r>
          </w:p>
        </w:tc>
        <w:tc>
          <w:tcPr>
            <w:tcW w:w="1276" w:type="dxa"/>
            <w:vAlign w:val="center"/>
          </w:tcPr>
          <w:p>
            <w:pPr>
              <w:pStyle w:val="13"/>
            </w:pPr>
            <w:r>
              <w:t>上年数据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故障处理及时性</w:t>
            </w:r>
          </w:p>
        </w:tc>
        <w:tc>
          <w:tcPr>
            <w:tcW w:w="5386" w:type="dxa"/>
            <w:vAlign w:val="center"/>
          </w:tcPr>
          <w:p>
            <w:pPr>
              <w:pStyle w:val="13"/>
            </w:pPr>
            <w:r>
              <w:t>故障发生后技术人员到场处理时间</w:t>
            </w:r>
          </w:p>
        </w:tc>
        <w:tc>
          <w:tcPr>
            <w:tcW w:w="2268" w:type="dxa"/>
            <w:vAlign w:val="center"/>
          </w:tcPr>
          <w:p>
            <w:pPr>
              <w:pStyle w:val="13"/>
            </w:pPr>
            <w:r>
              <w:t>≤24小时</w:t>
            </w:r>
          </w:p>
        </w:tc>
        <w:tc>
          <w:tcPr>
            <w:tcW w:w="1276" w:type="dxa"/>
            <w:vAlign w:val="center"/>
          </w:tcPr>
          <w:p>
            <w:pPr>
              <w:pStyle w:val="13"/>
            </w:pPr>
            <w:r>
              <w:t>技术支持承诺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经费支出</w:t>
            </w:r>
          </w:p>
        </w:tc>
        <w:tc>
          <w:tcPr>
            <w:tcW w:w="5386" w:type="dxa"/>
            <w:vAlign w:val="center"/>
          </w:tcPr>
          <w:p>
            <w:pPr>
              <w:pStyle w:val="13"/>
            </w:pPr>
            <w:r>
              <w:t>全年经费支出</w:t>
            </w:r>
          </w:p>
        </w:tc>
        <w:tc>
          <w:tcPr>
            <w:tcW w:w="2268" w:type="dxa"/>
            <w:vAlign w:val="center"/>
          </w:tcPr>
          <w:p>
            <w:pPr>
              <w:pStyle w:val="13"/>
            </w:pPr>
            <w:r>
              <w:t>≤37.15万元</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信息化覆盖率</w:t>
            </w:r>
          </w:p>
        </w:tc>
        <w:tc>
          <w:tcPr>
            <w:tcW w:w="5386" w:type="dxa"/>
            <w:vAlign w:val="center"/>
          </w:tcPr>
          <w:p>
            <w:pPr>
              <w:pStyle w:val="13"/>
            </w:pPr>
            <w:r>
              <w:t>信息化覆盖范围/信息化应覆盖范围*100%</w:t>
            </w:r>
          </w:p>
        </w:tc>
        <w:tc>
          <w:tcPr>
            <w:tcW w:w="2268" w:type="dxa"/>
            <w:vAlign w:val="center"/>
          </w:tcPr>
          <w:p>
            <w:pPr>
              <w:pStyle w:val="13"/>
            </w:pPr>
            <w:r>
              <w:t>100%</w:t>
            </w:r>
          </w:p>
        </w:tc>
        <w:tc>
          <w:tcPr>
            <w:tcW w:w="1276" w:type="dxa"/>
            <w:vAlign w:val="center"/>
          </w:tcPr>
          <w:p>
            <w:pPr>
              <w:pStyle w:val="13"/>
            </w:pPr>
            <w:r>
              <w:t>实际测算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反映满意的人数/调查人数*100%</w:t>
            </w:r>
          </w:p>
        </w:tc>
        <w:tc>
          <w:tcPr>
            <w:tcW w:w="2268" w:type="dxa"/>
            <w:vAlign w:val="center"/>
          </w:tcPr>
          <w:p>
            <w:pPr>
              <w:pStyle w:val="13"/>
            </w:pPr>
            <w:r>
              <w:t>≥85%</w:t>
            </w:r>
          </w:p>
        </w:tc>
        <w:tc>
          <w:tcPr>
            <w:tcW w:w="1276" w:type="dxa"/>
            <w:vAlign w:val="center"/>
          </w:tcPr>
          <w:p>
            <w:pPr>
              <w:pStyle w:val="13"/>
            </w:pPr>
            <w:r>
              <w:t>对象反馈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10、行政服务办公楼运转费绩效目标表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13052525P00003910105D</w:t>
            </w:r>
          </w:p>
        </w:tc>
        <w:tc>
          <w:tcPr>
            <w:tcW w:w="2835" w:type="dxa"/>
            <w:vAlign w:val="center"/>
          </w:tcPr>
          <w:p>
            <w:pPr>
              <w:pStyle w:val="11"/>
            </w:pPr>
            <w:r>
              <w:t>项目名称</w:t>
            </w:r>
          </w:p>
        </w:tc>
        <w:tc>
          <w:tcPr>
            <w:tcW w:w="6095" w:type="dxa"/>
            <w:gridSpan w:val="3"/>
            <w:vAlign w:val="center"/>
          </w:tcPr>
          <w:p>
            <w:pPr>
              <w:pStyle w:val="13"/>
            </w:pPr>
            <w:r>
              <w:t>行政服务办公楼运转费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99.14</w:t>
            </w:r>
          </w:p>
        </w:tc>
        <w:tc>
          <w:tcPr>
            <w:tcW w:w="2835" w:type="dxa"/>
            <w:vAlign w:val="center"/>
          </w:tcPr>
          <w:p>
            <w:pPr>
              <w:pStyle w:val="11"/>
            </w:pPr>
            <w:r>
              <w:t>其中：财政    资金</w:t>
            </w:r>
          </w:p>
        </w:tc>
        <w:tc>
          <w:tcPr>
            <w:tcW w:w="2551" w:type="dxa"/>
            <w:vAlign w:val="center"/>
          </w:tcPr>
          <w:p>
            <w:pPr>
              <w:pStyle w:val="13"/>
            </w:pPr>
            <w:r>
              <w:t>99.14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主要用于行政服务办公楼运转水电暖，保安、保洁、维修、厨师等人员工资，办公设备更新，档案室建设，差旅费等支出。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1.提高办公楼整体管理水平，改善办公环境。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资金支持办公场所数量</w:t>
            </w:r>
          </w:p>
        </w:tc>
        <w:tc>
          <w:tcPr>
            <w:tcW w:w="5386" w:type="dxa"/>
            <w:vAlign w:val="center"/>
          </w:tcPr>
          <w:p>
            <w:pPr>
              <w:pStyle w:val="13"/>
            </w:pPr>
            <w:r>
              <w:t>资金支持办公场所数量</w:t>
            </w:r>
          </w:p>
        </w:tc>
        <w:tc>
          <w:tcPr>
            <w:tcW w:w="2268" w:type="dxa"/>
            <w:vAlign w:val="center"/>
          </w:tcPr>
          <w:p>
            <w:pPr>
              <w:pStyle w:val="13"/>
            </w:pPr>
            <w:r>
              <w:t>≥3000平方米</w:t>
            </w:r>
          </w:p>
        </w:tc>
        <w:tc>
          <w:tcPr>
            <w:tcW w:w="1276" w:type="dxa"/>
            <w:vAlign w:val="center"/>
          </w:tcPr>
          <w:p>
            <w:pPr>
              <w:pStyle w:val="13"/>
            </w:pPr>
            <w:r>
              <w:t>实际测算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投诉率</w:t>
            </w:r>
          </w:p>
        </w:tc>
        <w:tc>
          <w:tcPr>
            <w:tcW w:w="5386" w:type="dxa"/>
            <w:vAlign w:val="center"/>
          </w:tcPr>
          <w:p>
            <w:pPr>
              <w:pStyle w:val="13"/>
            </w:pPr>
            <w:r>
              <w:t>日常工作中接到的投诉数量</w:t>
            </w:r>
          </w:p>
        </w:tc>
        <w:tc>
          <w:tcPr>
            <w:tcW w:w="2268" w:type="dxa"/>
            <w:vAlign w:val="center"/>
          </w:tcPr>
          <w:p>
            <w:pPr>
              <w:pStyle w:val="13"/>
            </w:pPr>
            <w:r>
              <w:t>≤12次</w:t>
            </w:r>
          </w:p>
        </w:tc>
        <w:tc>
          <w:tcPr>
            <w:tcW w:w="1276" w:type="dxa"/>
            <w:vAlign w:val="center"/>
          </w:tcPr>
          <w:p>
            <w:pPr>
              <w:pStyle w:val="13"/>
            </w:pPr>
            <w:r>
              <w:t>往年数据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资金到位率</w:t>
            </w:r>
          </w:p>
        </w:tc>
        <w:tc>
          <w:tcPr>
            <w:tcW w:w="5386" w:type="dxa"/>
            <w:vAlign w:val="center"/>
          </w:tcPr>
          <w:p>
            <w:pPr>
              <w:pStyle w:val="13"/>
            </w:pPr>
            <w:r>
              <w:t>及时缴纳各项费用占全部应缴纳费用比例</w:t>
            </w:r>
          </w:p>
        </w:tc>
        <w:tc>
          <w:tcPr>
            <w:tcW w:w="2268" w:type="dxa"/>
            <w:vAlign w:val="center"/>
          </w:tcPr>
          <w:p>
            <w:pPr>
              <w:pStyle w:val="13"/>
            </w:pPr>
            <w:r>
              <w:t>≥90百分比</w:t>
            </w:r>
          </w:p>
        </w:tc>
        <w:tc>
          <w:tcPr>
            <w:tcW w:w="1276" w:type="dxa"/>
            <w:vAlign w:val="center"/>
          </w:tcPr>
          <w:p>
            <w:pPr>
              <w:pStyle w:val="13"/>
            </w:pPr>
            <w:r>
              <w:t>往年数据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经费支出</w:t>
            </w:r>
          </w:p>
        </w:tc>
        <w:tc>
          <w:tcPr>
            <w:tcW w:w="5386" w:type="dxa"/>
            <w:vAlign w:val="center"/>
          </w:tcPr>
          <w:p>
            <w:pPr>
              <w:pStyle w:val="13"/>
            </w:pPr>
            <w:r>
              <w:t>全年经费支出</w:t>
            </w:r>
          </w:p>
        </w:tc>
        <w:tc>
          <w:tcPr>
            <w:tcW w:w="2268" w:type="dxa"/>
            <w:vAlign w:val="center"/>
          </w:tcPr>
          <w:p>
            <w:pPr>
              <w:pStyle w:val="13"/>
            </w:pPr>
            <w:r>
              <w:t>≤99.14万元</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工作正常运转率</w:t>
            </w:r>
          </w:p>
        </w:tc>
        <w:tc>
          <w:tcPr>
            <w:tcW w:w="5386" w:type="dxa"/>
            <w:vAlign w:val="center"/>
          </w:tcPr>
          <w:p>
            <w:pPr>
              <w:pStyle w:val="13"/>
            </w:pPr>
            <w:r>
              <w:t>工作正常运转天数/360*100%</w:t>
            </w:r>
          </w:p>
        </w:tc>
        <w:tc>
          <w:tcPr>
            <w:tcW w:w="2268" w:type="dxa"/>
            <w:vAlign w:val="center"/>
          </w:tcPr>
          <w:p>
            <w:pPr>
              <w:pStyle w:val="13"/>
            </w:pPr>
            <w:r>
              <w:t>≥90百分比</w:t>
            </w:r>
          </w:p>
        </w:tc>
        <w:tc>
          <w:tcPr>
            <w:tcW w:w="1276" w:type="dxa"/>
            <w:vAlign w:val="center"/>
          </w:tcPr>
          <w:p>
            <w:pPr>
              <w:pStyle w:val="13"/>
            </w:pPr>
            <w:r>
              <w:t>往年数据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反映满意的人数/调查人数*100%</w:t>
            </w:r>
          </w:p>
        </w:tc>
        <w:tc>
          <w:tcPr>
            <w:tcW w:w="2268" w:type="dxa"/>
            <w:vAlign w:val="center"/>
          </w:tcPr>
          <w:p>
            <w:pPr>
              <w:pStyle w:val="13"/>
            </w:pPr>
            <w:r>
              <w:t>≥90百分比</w:t>
            </w:r>
          </w:p>
        </w:tc>
        <w:tc>
          <w:tcPr>
            <w:tcW w:w="1276" w:type="dxa"/>
            <w:vAlign w:val="center"/>
          </w:tcPr>
          <w:p>
            <w:pPr>
              <w:pStyle w:val="13"/>
            </w:pPr>
            <w:r>
              <w:t>对象反馈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11、英才入冀人员房租补贴绩效目标表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13052525P00003910016K</w:t>
            </w:r>
          </w:p>
        </w:tc>
        <w:tc>
          <w:tcPr>
            <w:tcW w:w="2835" w:type="dxa"/>
            <w:vAlign w:val="center"/>
          </w:tcPr>
          <w:p>
            <w:pPr>
              <w:pStyle w:val="11"/>
            </w:pPr>
            <w:r>
              <w:t>项目名称</w:t>
            </w:r>
          </w:p>
        </w:tc>
        <w:tc>
          <w:tcPr>
            <w:tcW w:w="6095" w:type="dxa"/>
            <w:gridSpan w:val="3"/>
            <w:vAlign w:val="center"/>
          </w:tcPr>
          <w:p>
            <w:pPr>
              <w:pStyle w:val="13"/>
            </w:pPr>
            <w:r>
              <w:t>英才入冀人员房租补贴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0.80</w:t>
            </w:r>
          </w:p>
        </w:tc>
        <w:tc>
          <w:tcPr>
            <w:tcW w:w="2835" w:type="dxa"/>
            <w:vAlign w:val="center"/>
          </w:tcPr>
          <w:p>
            <w:pPr>
              <w:pStyle w:val="11"/>
            </w:pPr>
            <w:r>
              <w:t>其中：财政    资金</w:t>
            </w:r>
          </w:p>
        </w:tc>
        <w:tc>
          <w:tcPr>
            <w:tcW w:w="2551" w:type="dxa"/>
            <w:vAlign w:val="center"/>
          </w:tcPr>
          <w:p>
            <w:pPr>
              <w:pStyle w:val="13"/>
            </w:pPr>
            <w:r>
              <w:t>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用于发放定向选调生1-8月份房租补助。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70%</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1.保证定向选调生房租补助及时足额发放，提高生活质量。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租房补贴发放人次</w:t>
            </w:r>
          </w:p>
        </w:tc>
        <w:tc>
          <w:tcPr>
            <w:tcW w:w="5386" w:type="dxa"/>
            <w:vAlign w:val="center"/>
          </w:tcPr>
          <w:p>
            <w:pPr>
              <w:pStyle w:val="13"/>
            </w:pPr>
            <w:r>
              <w:t>应享受租房补贴的人数</w:t>
            </w:r>
          </w:p>
        </w:tc>
        <w:tc>
          <w:tcPr>
            <w:tcW w:w="2268" w:type="dxa"/>
            <w:vAlign w:val="center"/>
          </w:tcPr>
          <w:p>
            <w:pPr>
              <w:pStyle w:val="13"/>
            </w:pPr>
            <w:r>
              <w:t>1人</w:t>
            </w:r>
          </w:p>
        </w:tc>
        <w:tc>
          <w:tcPr>
            <w:tcW w:w="1276" w:type="dxa"/>
            <w:vAlign w:val="center"/>
          </w:tcPr>
          <w:p>
            <w:pPr>
              <w:pStyle w:val="13"/>
            </w:pPr>
            <w:r>
              <w:t>发放认定表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租房补贴发放率</w:t>
            </w:r>
          </w:p>
        </w:tc>
        <w:tc>
          <w:tcPr>
            <w:tcW w:w="5386" w:type="dxa"/>
            <w:vAlign w:val="center"/>
          </w:tcPr>
          <w:p>
            <w:pPr>
              <w:pStyle w:val="13"/>
            </w:pPr>
            <w:r>
              <w:t>符合发放补贴人员是否全部发放到位</w:t>
            </w:r>
          </w:p>
        </w:tc>
        <w:tc>
          <w:tcPr>
            <w:tcW w:w="2268" w:type="dxa"/>
            <w:vAlign w:val="center"/>
          </w:tcPr>
          <w:p>
            <w:pPr>
              <w:pStyle w:val="13"/>
            </w:pPr>
            <w:r>
              <w:t>100%</w:t>
            </w:r>
          </w:p>
        </w:tc>
        <w:tc>
          <w:tcPr>
            <w:tcW w:w="1276" w:type="dxa"/>
            <w:vAlign w:val="center"/>
          </w:tcPr>
          <w:p>
            <w:pPr>
              <w:pStyle w:val="13"/>
            </w:pPr>
            <w:r>
              <w:t>发放认定表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补贴发放及时率</w:t>
            </w:r>
          </w:p>
        </w:tc>
        <w:tc>
          <w:tcPr>
            <w:tcW w:w="5386" w:type="dxa"/>
            <w:vAlign w:val="center"/>
          </w:tcPr>
          <w:p>
            <w:pPr>
              <w:pStyle w:val="13"/>
            </w:pPr>
            <w:r>
              <w:t>租房补贴及时发放金额占总应发金额比率</w:t>
            </w:r>
          </w:p>
        </w:tc>
        <w:tc>
          <w:tcPr>
            <w:tcW w:w="2268" w:type="dxa"/>
            <w:vAlign w:val="center"/>
          </w:tcPr>
          <w:p>
            <w:pPr>
              <w:pStyle w:val="13"/>
            </w:pPr>
            <w:r>
              <w:t>≥95%</w:t>
            </w:r>
          </w:p>
        </w:tc>
        <w:tc>
          <w:tcPr>
            <w:tcW w:w="1276" w:type="dxa"/>
            <w:vAlign w:val="center"/>
          </w:tcPr>
          <w:p>
            <w:pPr>
              <w:pStyle w:val="13"/>
            </w:pPr>
            <w:r>
              <w:t>上年数据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租房补贴发放全额</w:t>
            </w:r>
          </w:p>
        </w:tc>
        <w:tc>
          <w:tcPr>
            <w:tcW w:w="5386" w:type="dxa"/>
            <w:vAlign w:val="center"/>
          </w:tcPr>
          <w:p>
            <w:pPr>
              <w:pStyle w:val="13"/>
            </w:pPr>
            <w:r>
              <w:t>一人一年共计发放金额</w:t>
            </w:r>
          </w:p>
        </w:tc>
        <w:tc>
          <w:tcPr>
            <w:tcW w:w="2268" w:type="dxa"/>
            <w:vAlign w:val="center"/>
          </w:tcPr>
          <w:p>
            <w:pPr>
              <w:pStyle w:val="13"/>
            </w:pPr>
            <w:r>
              <w:t>0.8万元</w:t>
            </w:r>
          </w:p>
        </w:tc>
        <w:tc>
          <w:tcPr>
            <w:tcW w:w="1276" w:type="dxa"/>
            <w:vAlign w:val="center"/>
          </w:tcPr>
          <w:p>
            <w:pPr>
              <w:pStyle w:val="13"/>
            </w:pPr>
            <w:r>
              <w:t>发放认定表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租房补贴及时领取率</w:t>
            </w:r>
          </w:p>
        </w:tc>
        <w:tc>
          <w:tcPr>
            <w:tcW w:w="5386" w:type="dxa"/>
            <w:vAlign w:val="center"/>
          </w:tcPr>
          <w:p>
            <w:pPr>
              <w:pStyle w:val="13"/>
            </w:pPr>
            <w:r>
              <w:t>已领取租房补贴人数占总应领人数比率</w:t>
            </w:r>
          </w:p>
        </w:tc>
        <w:tc>
          <w:tcPr>
            <w:tcW w:w="2268" w:type="dxa"/>
            <w:vAlign w:val="center"/>
          </w:tcPr>
          <w:p>
            <w:pPr>
              <w:pStyle w:val="13"/>
            </w:pPr>
            <w:r>
              <w:t>100%</w:t>
            </w:r>
          </w:p>
        </w:tc>
        <w:tc>
          <w:tcPr>
            <w:tcW w:w="1276" w:type="dxa"/>
            <w:vAlign w:val="center"/>
          </w:tcPr>
          <w:p>
            <w:pPr>
              <w:pStyle w:val="13"/>
            </w:pPr>
            <w:r>
              <w:t>发放认定表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发放对象满意度</w:t>
            </w:r>
          </w:p>
        </w:tc>
        <w:tc>
          <w:tcPr>
            <w:tcW w:w="5386" w:type="dxa"/>
            <w:vAlign w:val="center"/>
          </w:tcPr>
          <w:p>
            <w:pPr>
              <w:pStyle w:val="13"/>
            </w:pPr>
            <w:r>
              <w:t>已发放人数满意的人数占总发放人数比率</w:t>
            </w:r>
          </w:p>
        </w:tc>
        <w:tc>
          <w:tcPr>
            <w:tcW w:w="2268" w:type="dxa"/>
            <w:vAlign w:val="center"/>
          </w:tcPr>
          <w:p>
            <w:pPr>
              <w:pStyle w:val="13"/>
            </w:pPr>
            <w:r>
              <w:t>100%</w:t>
            </w:r>
          </w:p>
        </w:tc>
        <w:tc>
          <w:tcPr>
            <w:tcW w:w="1276" w:type="dxa"/>
            <w:vAlign w:val="center"/>
          </w:tcPr>
          <w:p>
            <w:pPr>
              <w:pStyle w:val="13"/>
            </w:pPr>
            <w:r>
              <w:t>对象反馈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12、预算项目绩效管理绩效目标表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13052525P00001810009E</w:t>
            </w:r>
          </w:p>
        </w:tc>
        <w:tc>
          <w:tcPr>
            <w:tcW w:w="2835" w:type="dxa"/>
            <w:vAlign w:val="center"/>
          </w:tcPr>
          <w:p>
            <w:pPr>
              <w:pStyle w:val="11"/>
            </w:pPr>
            <w:r>
              <w:t>项目名称</w:t>
            </w:r>
          </w:p>
        </w:tc>
        <w:tc>
          <w:tcPr>
            <w:tcW w:w="6095" w:type="dxa"/>
            <w:gridSpan w:val="3"/>
            <w:vAlign w:val="center"/>
          </w:tcPr>
          <w:p>
            <w:pPr>
              <w:pStyle w:val="13"/>
            </w:pPr>
            <w:r>
              <w:t>预算项目绩效管理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用于预算项目绩效第三方评价服务费和预算绩效文本印刷等支出。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1.确保绩效预算管理工作正常开展。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绩效评价项目数量</w:t>
            </w:r>
          </w:p>
        </w:tc>
        <w:tc>
          <w:tcPr>
            <w:tcW w:w="5386" w:type="dxa"/>
            <w:vAlign w:val="center"/>
          </w:tcPr>
          <w:p>
            <w:pPr>
              <w:pStyle w:val="13"/>
            </w:pPr>
            <w:r>
              <w:t>开展绩效评价预算项目数量</w:t>
            </w:r>
          </w:p>
        </w:tc>
        <w:tc>
          <w:tcPr>
            <w:tcW w:w="2268" w:type="dxa"/>
            <w:vAlign w:val="center"/>
          </w:tcPr>
          <w:p>
            <w:pPr>
              <w:pStyle w:val="13"/>
            </w:pPr>
            <w:r>
              <w:t>≥15个</w:t>
            </w:r>
          </w:p>
        </w:tc>
        <w:tc>
          <w:tcPr>
            <w:tcW w:w="1276" w:type="dxa"/>
            <w:vAlign w:val="center"/>
          </w:tcPr>
          <w:p>
            <w:pPr>
              <w:pStyle w:val="13"/>
            </w:pPr>
            <w:r>
              <w:t>上年数据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绩效评价报告合格率</w:t>
            </w:r>
          </w:p>
        </w:tc>
        <w:tc>
          <w:tcPr>
            <w:tcW w:w="5386" w:type="dxa"/>
            <w:vAlign w:val="center"/>
          </w:tcPr>
          <w:p>
            <w:pPr>
              <w:pStyle w:val="13"/>
            </w:pPr>
            <w:r>
              <w:t>合格绩效评价报告/全部绩效评价报告*100%</w:t>
            </w:r>
          </w:p>
        </w:tc>
        <w:tc>
          <w:tcPr>
            <w:tcW w:w="2268" w:type="dxa"/>
            <w:vAlign w:val="center"/>
          </w:tcPr>
          <w:p>
            <w:pPr>
              <w:pStyle w:val="13"/>
            </w:pPr>
            <w:r>
              <w:t>≥95百分比</w:t>
            </w:r>
          </w:p>
        </w:tc>
        <w:tc>
          <w:tcPr>
            <w:tcW w:w="1276" w:type="dxa"/>
            <w:vAlign w:val="center"/>
          </w:tcPr>
          <w:p>
            <w:pPr>
              <w:pStyle w:val="13"/>
            </w:pPr>
            <w:r>
              <w:t>上年评价结果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预算资金拨付率</w:t>
            </w:r>
          </w:p>
        </w:tc>
        <w:tc>
          <w:tcPr>
            <w:tcW w:w="5386" w:type="dxa"/>
            <w:vAlign w:val="center"/>
          </w:tcPr>
          <w:p>
            <w:pPr>
              <w:pStyle w:val="13"/>
            </w:pPr>
            <w:r>
              <w:t>预算拨付资金/应付费用*100%</w:t>
            </w:r>
          </w:p>
        </w:tc>
        <w:tc>
          <w:tcPr>
            <w:tcW w:w="2268" w:type="dxa"/>
            <w:vAlign w:val="center"/>
          </w:tcPr>
          <w:p>
            <w:pPr>
              <w:pStyle w:val="13"/>
            </w:pPr>
            <w:r>
              <w:t>≥90百分比</w:t>
            </w:r>
          </w:p>
        </w:tc>
        <w:tc>
          <w:tcPr>
            <w:tcW w:w="1276" w:type="dxa"/>
            <w:vAlign w:val="center"/>
          </w:tcPr>
          <w:p>
            <w:pPr>
              <w:pStyle w:val="13"/>
            </w:pPr>
            <w:r>
              <w:t>上年拨付情况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经费支出</w:t>
            </w:r>
          </w:p>
        </w:tc>
        <w:tc>
          <w:tcPr>
            <w:tcW w:w="5386" w:type="dxa"/>
            <w:vAlign w:val="center"/>
          </w:tcPr>
          <w:p>
            <w:pPr>
              <w:pStyle w:val="13"/>
            </w:pPr>
            <w:r>
              <w:t>全年经费支出</w:t>
            </w:r>
          </w:p>
        </w:tc>
        <w:tc>
          <w:tcPr>
            <w:tcW w:w="2268" w:type="dxa"/>
            <w:vAlign w:val="center"/>
          </w:tcPr>
          <w:p>
            <w:pPr>
              <w:pStyle w:val="13"/>
            </w:pPr>
            <w:r>
              <w:t>≤13万元</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财政资金使用效益</w:t>
            </w:r>
          </w:p>
        </w:tc>
        <w:tc>
          <w:tcPr>
            <w:tcW w:w="5386" w:type="dxa"/>
            <w:vAlign w:val="center"/>
          </w:tcPr>
          <w:p>
            <w:pPr>
              <w:pStyle w:val="13"/>
            </w:pPr>
            <w:r>
              <w:t>财政资金使用效益</w:t>
            </w:r>
          </w:p>
        </w:tc>
        <w:tc>
          <w:tcPr>
            <w:tcW w:w="2268" w:type="dxa"/>
            <w:vAlign w:val="center"/>
          </w:tcPr>
          <w:p>
            <w:pPr>
              <w:pStyle w:val="13"/>
            </w:pPr>
            <w:r>
              <w:t>稳步提高</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反映满意的人数/调查人数*100%</w:t>
            </w:r>
          </w:p>
        </w:tc>
        <w:tc>
          <w:tcPr>
            <w:tcW w:w="2268" w:type="dxa"/>
            <w:vAlign w:val="center"/>
          </w:tcPr>
          <w:p>
            <w:pPr>
              <w:pStyle w:val="13"/>
            </w:pPr>
            <w:r>
              <w:t>≥85百分比</w:t>
            </w:r>
          </w:p>
        </w:tc>
        <w:tc>
          <w:tcPr>
            <w:tcW w:w="1276" w:type="dxa"/>
            <w:vAlign w:val="center"/>
          </w:tcPr>
          <w:p>
            <w:pPr>
              <w:pStyle w:val="13"/>
            </w:pPr>
            <w:r>
              <w:t>反馈意见</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13、资产评估费绩效目标表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13052525P00003910111T</w:t>
            </w:r>
          </w:p>
        </w:tc>
        <w:tc>
          <w:tcPr>
            <w:tcW w:w="2835" w:type="dxa"/>
            <w:vAlign w:val="center"/>
          </w:tcPr>
          <w:p>
            <w:pPr>
              <w:pStyle w:val="11"/>
            </w:pPr>
            <w:r>
              <w:t>项目名称</w:t>
            </w:r>
          </w:p>
        </w:tc>
        <w:tc>
          <w:tcPr>
            <w:tcW w:w="6095" w:type="dxa"/>
            <w:gridSpan w:val="3"/>
            <w:vAlign w:val="center"/>
          </w:tcPr>
          <w:p>
            <w:pPr>
              <w:pStyle w:val="13"/>
            </w:pPr>
            <w:r>
              <w:t>资产评估费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用于委托第三方中介机构开展资产评估。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1.增强国有资产管理，做好资产评估工作。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评估项目数量</w:t>
            </w:r>
          </w:p>
        </w:tc>
        <w:tc>
          <w:tcPr>
            <w:tcW w:w="5386" w:type="dxa"/>
            <w:vAlign w:val="center"/>
          </w:tcPr>
          <w:p>
            <w:pPr>
              <w:pStyle w:val="13"/>
            </w:pPr>
            <w:r>
              <w:t>完成评估项目数量</w:t>
            </w:r>
          </w:p>
        </w:tc>
        <w:tc>
          <w:tcPr>
            <w:tcW w:w="2268" w:type="dxa"/>
            <w:vAlign w:val="center"/>
          </w:tcPr>
          <w:p>
            <w:pPr>
              <w:pStyle w:val="13"/>
            </w:pPr>
            <w:r>
              <w:t>≥30个</w:t>
            </w:r>
          </w:p>
        </w:tc>
        <w:tc>
          <w:tcPr>
            <w:tcW w:w="1276" w:type="dxa"/>
            <w:vAlign w:val="center"/>
          </w:tcPr>
          <w:p>
            <w:pPr>
              <w:pStyle w:val="13"/>
            </w:pPr>
            <w:r>
              <w:t>年初测算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评估报告合格率</w:t>
            </w:r>
          </w:p>
        </w:tc>
        <w:tc>
          <w:tcPr>
            <w:tcW w:w="5386" w:type="dxa"/>
            <w:vAlign w:val="center"/>
          </w:tcPr>
          <w:p>
            <w:pPr>
              <w:pStyle w:val="13"/>
            </w:pPr>
            <w:r>
              <w:t>合格评估报告占全部评估报告比例</w:t>
            </w:r>
          </w:p>
        </w:tc>
        <w:tc>
          <w:tcPr>
            <w:tcW w:w="2268" w:type="dxa"/>
            <w:vAlign w:val="center"/>
          </w:tcPr>
          <w:p>
            <w:pPr>
              <w:pStyle w:val="13"/>
            </w:pPr>
            <w:r>
              <w:t>≥95百分比</w:t>
            </w:r>
          </w:p>
        </w:tc>
        <w:tc>
          <w:tcPr>
            <w:tcW w:w="1276" w:type="dxa"/>
            <w:vAlign w:val="center"/>
          </w:tcPr>
          <w:p>
            <w:pPr>
              <w:pStyle w:val="13"/>
            </w:pPr>
            <w:r>
              <w:t>上年评估结果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费用支付率</w:t>
            </w:r>
          </w:p>
        </w:tc>
        <w:tc>
          <w:tcPr>
            <w:tcW w:w="5386" w:type="dxa"/>
            <w:vAlign w:val="center"/>
          </w:tcPr>
          <w:p>
            <w:pPr>
              <w:pStyle w:val="13"/>
            </w:pPr>
            <w:r>
              <w:t>及时支付费用占全部应付费用比例</w:t>
            </w:r>
          </w:p>
        </w:tc>
        <w:tc>
          <w:tcPr>
            <w:tcW w:w="2268" w:type="dxa"/>
            <w:vAlign w:val="center"/>
          </w:tcPr>
          <w:p>
            <w:pPr>
              <w:pStyle w:val="13"/>
            </w:pPr>
            <w:r>
              <w:t>≥80百分比</w:t>
            </w:r>
          </w:p>
        </w:tc>
        <w:tc>
          <w:tcPr>
            <w:tcW w:w="1276" w:type="dxa"/>
            <w:vAlign w:val="center"/>
          </w:tcPr>
          <w:p>
            <w:pPr>
              <w:pStyle w:val="13"/>
            </w:pPr>
            <w:r>
              <w:t>上年拨付情况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经费支出</w:t>
            </w:r>
          </w:p>
        </w:tc>
        <w:tc>
          <w:tcPr>
            <w:tcW w:w="5386" w:type="dxa"/>
            <w:vAlign w:val="center"/>
          </w:tcPr>
          <w:p>
            <w:pPr>
              <w:pStyle w:val="13"/>
            </w:pPr>
            <w:r>
              <w:t>全年经费支出</w:t>
            </w:r>
          </w:p>
        </w:tc>
        <w:tc>
          <w:tcPr>
            <w:tcW w:w="2268" w:type="dxa"/>
            <w:vAlign w:val="center"/>
          </w:tcPr>
          <w:p>
            <w:pPr>
              <w:pStyle w:val="13"/>
            </w:pPr>
            <w:r>
              <w:t>≤60万元</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降低国有资产流失风险</w:t>
            </w:r>
          </w:p>
        </w:tc>
        <w:tc>
          <w:tcPr>
            <w:tcW w:w="5386" w:type="dxa"/>
            <w:vAlign w:val="center"/>
          </w:tcPr>
          <w:p>
            <w:pPr>
              <w:pStyle w:val="13"/>
            </w:pPr>
            <w:r>
              <w:t>降低国有资产流失风险</w:t>
            </w:r>
          </w:p>
        </w:tc>
        <w:tc>
          <w:tcPr>
            <w:tcW w:w="2268" w:type="dxa"/>
            <w:vAlign w:val="center"/>
          </w:tcPr>
          <w:p>
            <w:pPr>
              <w:pStyle w:val="13"/>
            </w:pPr>
            <w:r>
              <w:t>降低国有资产流失风险</w:t>
            </w:r>
          </w:p>
        </w:tc>
        <w:tc>
          <w:tcPr>
            <w:tcW w:w="1276" w:type="dxa"/>
            <w:vAlign w:val="center"/>
          </w:tcPr>
          <w:p>
            <w:pPr>
              <w:pStyle w:val="13"/>
            </w:pPr>
            <w:r>
              <w:t>评估结果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反映满意的人数/调查人数*100%</w:t>
            </w:r>
          </w:p>
        </w:tc>
        <w:tc>
          <w:tcPr>
            <w:tcW w:w="2268" w:type="dxa"/>
            <w:vAlign w:val="center"/>
          </w:tcPr>
          <w:p>
            <w:pPr>
              <w:pStyle w:val="13"/>
            </w:pPr>
            <w:r>
              <w:t>≥85百分比</w:t>
            </w:r>
          </w:p>
        </w:tc>
        <w:tc>
          <w:tcPr>
            <w:tcW w:w="1276" w:type="dxa"/>
            <w:vAlign w:val="center"/>
          </w:tcPr>
          <w:p>
            <w:pPr>
              <w:pStyle w:val="13"/>
            </w:pPr>
            <w:r>
              <w:t>对象反馈</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318隆尧县财政局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97.12</w:t>
            </w:r>
          </w:p>
        </w:tc>
        <w:tc>
          <w:tcPr>
            <w:tcW w:w="964" w:type="dxa"/>
            <w:vAlign w:val="center"/>
          </w:tcPr>
          <w:p>
            <w:pPr>
              <w:pStyle w:val="16"/>
            </w:pPr>
            <w:r>
              <w:t>97.12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97.12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隆尧县财政局本级小计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97.12</w:t>
            </w:r>
          </w:p>
        </w:tc>
        <w:tc>
          <w:tcPr>
            <w:tcW w:w="964" w:type="dxa"/>
            <w:vAlign w:val="center"/>
          </w:tcPr>
          <w:p>
            <w:pPr>
              <w:pStyle w:val="16"/>
            </w:pPr>
            <w:r>
              <w:t>97.12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97.12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隆尧县财政专网和预算一体化系统运维</w:t>
            </w:r>
          </w:p>
        </w:tc>
        <w:tc>
          <w:tcPr>
            <w:tcW w:w="964" w:type="dxa"/>
            <w:vAlign w:val="center"/>
          </w:tcPr>
          <w:p>
            <w:pPr>
              <w:pStyle w:val="12"/>
            </w:pPr>
            <w:r>
              <w:t>42.47</w:t>
            </w:r>
          </w:p>
        </w:tc>
        <w:tc>
          <w:tcPr>
            <w:tcW w:w="1134" w:type="dxa"/>
            <w:vAlign w:val="center"/>
          </w:tcPr>
          <w:p>
            <w:pPr>
              <w:pStyle w:val="13"/>
            </w:pPr>
            <w:r>
              <w:t>软件运维服务</w:t>
            </w:r>
          </w:p>
        </w:tc>
        <w:tc>
          <w:tcPr>
            <w:tcW w:w="1134" w:type="dxa"/>
            <w:vAlign w:val="center"/>
          </w:tcPr>
          <w:p>
            <w:pPr>
              <w:pStyle w:val="13"/>
            </w:pPr>
            <w:r>
              <w:t>C16070300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18.59</w:t>
            </w:r>
          </w:p>
        </w:tc>
        <w:tc>
          <w:tcPr>
            <w:tcW w:w="964" w:type="dxa"/>
            <w:vAlign w:val="center"/>
          </w:tcPr>
          <w:p>
            <w:pPr>
              <w:pStyle w:val="12"/>
            </w:pPr>
            <w:r>
              <w:t>18.59</w:t>
            </w:r>
          </w:p>
        </w:tc>
        <w:tc>
          <w:tcPr>
            <w:tcW w:w="964" w:type="dxa"/>
            <w:vAlign w:val="center"/>
          </w:tcPr>
          <w:p>
            <w:pPr>
              <w:pStyle w:val="12"/>
            </w:pPr>
            <w:r>
              <w:t>18.59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隆尧县财政专网和预算一体化系统运维</w:t>
            </w:r>
          </w:p>
        </w:tc>
        <w:tc>
          <w:tcPr>
            <w:tcW w:w="964" w:type="dxa"/>
            <w:vAlign w:val="center"/>
          </w:tcPr>
          <w:p>
            <w:pPr>
              <w:pStyle w:val="12"/>
            </w:pPr>
            <w:r>
              <w:t>42.47</w:t>
            </w:r>
          </w:p>
        </w:tc>
        <w:tc>
          <w:tcPr>
            <w:tcW w:w="1134" w:type="dxa"/>
            <w:vAlign w:val="center"/>
          </w:tcPr>
          <w:p>
            <w:pPr>
              <w:pStyle w:val="13"/>
            </w:pPr>
            <w:r>
              <w:t>安全运维服务</w:t>
            </w:r>
          </w:p>
        </w:tc>
        <w:tc>
          <w:tcPr>
            <w:tcW w:w="1134" w:type="dxa"/>
            <w:vAlign w:val="center"/>
          </w:tcPr>
          <w:p>
            <w:pPr>
              <w:pStyle w:val="13"/>
            </w:pPr>
            <w:r>
              <w:t>C16070400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4.74</w:t>
            </w:r>
          </w:p>
        </w:tc>
        <w:tc>
          <w:tcPr>
            <w:tcW w:w="964" w:type="dxa"/>
            <w:vAlign w:val="center"/>
          </w:tcPr>
          <w:p>
            <w:pPr>
              <w:pStyle w:val="12"/>
            </w:pPr>
            <w:r>
              <w:t>4.74</w:t>
            </w:r>
          </w:p>
        </w:tc>
        <w:tc>
          <w:tcPr>
            <w:tcW w:w="964" w:type="dxa"/>
            <w:vAlign w:val="center"/>
          </w:tcPr>
          <w:p>
            <w:pPr>
              <w:pStyle w:val="12"/>
            </w:pPr>
            <w:r>
              <w:t>4.74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隆尧县财政专网和预算一体化系统运维</w:t>
            </w:r>
          </w:p>
        </w:tc>
        <w:tc>
          <w:tcPr>
            <w:tcW w:w="964" w:type="dxa"/>
            <w:vAlign w:val="center"/>
          </w:tcPr>
          <w:p>
            <w:pPr>
              <w:pStyle w:val="12"/>
            </w:pPr>
            <w:r>
              <w:t>42.47</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18.54</w:t>
            </w:r>
          </w:p>
        </w:tc>
        <w:tc>
          <w:tcPr>
            <w:tcW w:w="964" w:type="dxa"/>
            <w:vAlign w:val="center"/>
          </w:tcPr>
          <w:p>
            <w:pPr>
              <w:pStyle w:val="12"/>
            </w:pPr>
            <w:r>
              <w:t>18.54</w:t>
            </w:r>
          </w:p>
        </w:tc>
        <w:tc>
          <w:tcPr>
            <w:tcW w:w="964" w:type="dxa"/>
            <w:vAlign w:val="center"/>
          </w:tcPr>
          <w:p>
            <w:pPr>
              <w:pStyle w:val="12"/>
            </w:pPr>
            <w:r>
              <w:t>18.54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农村综合改革管理</w:t>
            </w:r>
          </w:p>
        </w:tc>
        <w:tc>
          <w:tcPr>
            <w:tcW w:w="964" w:type="dxa"/>
            <w:vAlign w:val="center"/>
          </w:tcPr>
          <w:p>
            <w:pPr>
              <w:pStyle w:val="12"/>
            </w:pPr>
            <w:r>
              <w:t>24.00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扫黑除恶斗争工作经费</w:t>
            </w:r>
          </w:p>
        </w:tc>
        <w:tc>
          <w:tcPr>
            <w:tcW w:w="964" w:type="dxa"/>
            <w:vAlign w:val="center"/>
          </w:tcPr>
          <w:p>
            <w:pPr>
              <w:pStyle w:val="12"/>
            </w:pPr>
            <w:r>
              <w:t>1.00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网络舆情监测</w:t>
            </w:r>
          </w:p>
        </w:tc>
        <w:tc>
          <w:tcPr>
            <w:tcW w:w="964" w:type="dxa"/>
            <w:vAlign w:val="center"/>
          </w:tcPr>
          <w:p>
            <w:pPr>
              <w:pStyle w:val="12"/>
            </w:pPr>
            <w:r>
              <w:t>7.61</w:t>
            </w:r>
          </w:p>
        </w:tc>
        <w:tc>
          <w:tcPr>
            <w:tcW w:w="1134" w:type="dxa"/>
            <w:vAlign w:val="center"/>
          </w:tcPr>
          <w:p>
            <w:pPr>
              <w:pStyle w:val="13"/>
            </w:pPr>
            <w:r>
              <w:t>软件运维服务</w:t>
            </w:r>
          </w:p>
        </w:tc>
        <w:tc>
          <w:tcPr>
            <w:tcW w:w="1134" w:type="dxa"/>
            <w:vAlign w:val="center"/>
          </w:tcPr>
          <w:p>
            <w:pPr>
              <w:pStyle w:val="13"/>
            </w:pPr>
            <w:r>
              <w:t>C16070300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7.61</w:t>
            </w:r>
          </w:p>
        </w:tc>
        <w:tc>
          <w:tcPr>
            <w:tcW w:w="964" w:type="dxa"/>
            <w:vAlign w:val="center"/>
          </w:tcPr>
          <w:p>
            <w:pPr>
              <w:pStyle w:val="12"/>
            </w:pPr>
            <w:r>
              <w:t>7.61</w:t>
            </w:r>
          </w:p>
        </w:tc>
        <w:tc>
          <w:tcPr>
            <w:tcW w:w="964" w:type="dxa"/>
            <w:vAlign w:val="center"/>
          </w:tcPr>
          <w:p>
            <w:pPr>
              <w:pStyle w:val="12"/>
            </w:pPr>
            <w:r>
              <w:t>7.61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信息一体化建设</w:t>
            </w:r>
          </w:p>
        </w:tc>
        <w:tc>
          <w:tcPr>
            <w:tcW w:w="964" w:type="dxa"/>
            <w:vAlign w:val="center"/>
          </w:tcPr>
          <w:p>
            <w:pPr>
              <w:pStyle w:val="12"/>
            </w:pPr>
            <w:r>
              <w:t>37.15</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2.50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信息一体化建设</w:t>
            </w:r>
          </w:p>
        </w:tc>
        <w:tc>
          <w:tcPr>
            <w:tcW w:w="964" w:type="dxa"/>
            <w:vAlign w:val="center"/>
          </w:tcPr>
          <w:p>
            <w:pPr>
              <w:pStyle w:val="12"/>
            </w:pPr>
            <w:r>
              <w:t>37.15</w:t>
            </w:r>
          </w:p>
        </w:tc>
        <w:tc>
          <w:tcPr>
            <w:tcW w:w="1134" w:type="dxa"/>
            <w:vAlign w:val="center"/>
          </w:tcPr>
          <w:p>
            <w:pPr>
              <w:pStyle w:val="13"/>
            </w:pPr>
            <w:r>
              <w:t>软件运维服务</w:t>
            </w:r>
          </w:p>
        </w:tc>
        <w:tc>
          <w:tcPr>
            <w:tcW w:w="1134" w:type="dxa"/>
            <w:vAlign w:val="center"/>
          </w:tcPr>
          <w:p>
            <w:pPr>
              <w:pStyle w:val="13"/>
            </w:pPr>
            <w:r>
              <w:t>C16070300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信息一体化建设</w:t>
            </w:r>
          </w:p>
        </w:tc>
        <w:tc>
          <w:tcPr>
            <w:tcW w:w="964" w:type="dxa"/>
            <w:vAlign w:val="center"/>
          </w:tcPr>
          <w:p>
            <w:pPr>
              <w:pStyle w:val="12"/>
            </w:pPr>
            <w:r>
              <w:t>37.15</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0.70</w:t>
            </w:r>
          </w:p>
        </w:tc>
        <w:tc>
          <w:tcPr>
            <w:tcW w:w="964" w:type="dxa"/>
            <w:vAlign w:val="center"/>
          </w:tcPr>
          <w:p>
            <w:pPr>
              <w:pStyle w:val="12"/>
            </w:pPr>
            <w:r>
              <w:t>0.70</w:t>
            </w:r>
          </w:p>
        </w:tc>
        <w:tc>
          <w:tcPr>
            <w:tcW w:w="964" w:type="dxa"/>
            <w:vAlign w:val="center"/>
          </w:tcPr>
          <w:p>
            <w:pPr>
              <w:pStyle w:val="12"/>
            </w:pPr>
            <w:r>
              <w:t>0.70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行政服务办公楼运转费</w:t>
            </w:r>
          </w:p>
        </w:tc>
        <w:tc>
          <w:tcPr>
            <w:tcW w:w="964" w:type="dxa"/>
            <w:vAlign w:val="center"/>
          </w:tcPr>
          <w:p>
            <w:pPr>
              <w:pStyle w:val="12"/>
            </w:pPr>
            <w:r>
              <w:t>99.14</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1.00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行政服务办公楼运转费</w:t>
            </w:r>
          </w:p>
        </w:tc>
        <w:tc>
          <w:tcPr>
            <w:tcW w:w="964" w:type="dxa"/>
            <w:vAlign w:val="center"/>
          </w:tcPr>
          <w:p>
            <w:pPr>
              <w:pStyle w:val="12"/>
            </w:pPr>
            <w:r>
              <w:t>99.14</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个</w:t>
            </w:r>
          </w:p>
        </w:tc>
        <w:tc>
          <w:tcPr>
            <w:tcW w:w="850" w:type="dxa"/>
            <w:vAlign w:val="center"/>
          </w:tcPr>
          <w:p>
            <w:pPr>
              <w:pStyle w:val="12"/>
            </w:pPr>
            <w:r>
              <w:t>8</w:t>
            </w:r>
          </w:p>
        </w:tc>
        <w:tc>
          <w:tcPr>
            <w:tcW w:w="850" w:type="dxa"/>
            <w:vAlign w:val="center"/>
          </w:tcPr>
          <w:p>
            <w:pPr>
              <w:pStyle w:val="12"/>
            </w:pPr>
            <w:r>
              <w:t>0.10</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行政服务办公楼运转费</w:t>
            </w:r>
          </w:p>
        </w:tc>
        <w:tc>
          <w:tcPr>
            <w:tcW w:w="964" w:type="dxa"/>
            <w:vAlign w:val="center"/>
          </w:tcPr>
          <w:p>
            <w:pPr>
              <w:pStyle w:val="12"/>
            </w:pPr>
            <w:r>
              <w:t>99.14</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个</w:t>
            </w:r>
          </w:p>
        </w:tc>
        <w:tc>
          <w:tcPr>
            <w:tcW w:w="850" w:type="dxa"/>
            <w:vAlign w:val="center"/>
          </w:tcPr>
          <w:p>
            <w:pPr>
              <w:pStyle w:val="12"/>
            </w:pPr>
            <w:r>
              <w:t>8</w:t>
            </w:r>
          </w:p>
        </w:tc>
        <w:tc>
          <w:tcPr>
            <w:tcW w:w="850" w:type="dxa"/>
            <w:vAlign w:val="center"/>
          </w:tcPr>
          <w:p>
            <w:pPr>
              <w:pStyle w:val="12"/>
            </w:pPr>
            <w:r>
              <w:t>0.03</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行政服务办公楼运转费</w:t>
            </w:r>
          </w:p>
        </w:tc>
        <w:tc>
          <w:tcPr>
            <w:tcW w:w="964" w:type="dxa"/>
            <w:vAlign w:val="center"/>
          </w:tcPr>
          <w:p>
            <w:pPr>
              <w:pStyle w:val="12"/>
            </w:pPr>
            <w:r>
              <w:t>99.14</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2000</w:t>
            </w:r>
          </w:p>
        </w:tc>
        <w:tc>
          <w:tcPr>
            <w:tcW w:w="850" w:type="dxa"/>
            <w:vAlign w:val="center"/>
          </w:tcPr>
          <w:p>
            <w:pPr>
              <w:pStyle w:val="12"/>
            </w:pPr>
            <w:r>
              <w:t>0.00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行政服务办公楼运转费</w:t>
            </w:r>
          </w:p>
        </w:tc>
        <w:tc>
          <w:tcPr>
            <w:tcW w:w="964" w:type="dxa"/>
            <w:vAlign w:val="center"/>
          </w:tcPr>
          <w:p>
            <w:pPr>
              <w:pStyle w:val="12"/>
            </w:pPr>
            <w:r>
              <w:t>99.14</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19.44</w:t>
            </w:r>
          </w:p>
        </w:tc>
        <w:tc>
          <w:tcPr>
            <w:tcW w:w="964" w:type="dxa"/>
            <w:vAlign w:val="center"/>
          </w:tcPr>
          <w:p>
            <w:pPr>
              <w:pStyle w:val="12"/>
            </w:pPr>
            <w:r>
              <w:t>19.44</w:t>
            </w:r>
          </w:p>
        </w:tc>
        <w:tc>
          <w:tcPr>
            <w:tcW w:w="964" w:type="dxa"/>
            <w:vAlign w:val="center"/>
          </w:tcPr>
          <w:p>
            <w:pPr>
              <w:pStyle w:val="12"/>
            </w:pPr>
            <w:r>
              <w:t>19.44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19.44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行政服务办公楼运转费</w:t>
            </w:r>
          </w:p>
        </w:tc>
        <w:tc>
          <w:tcPr>
            <w:tcW w:w="964" w:type="dxa"/>
            <w:vAlign w:val="center"/>
          </w:tcPr>
          <w:p>
            <w:pPr>
              <w:pStyle w:val="12"/>
            </w:pPr>
            <w:r>
              <w:t>99.14</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预算项目绩效管理</w:t>
            </w:r>
          </w:p>
        </w:tc>
        <w:tc>
          <w:tcPr>
            <w:tcW w:w="964" w:type="dxa"/>
            <w:vAlign w:val="center"/>
          </w:tcPr>
          <w:p>
            <w:pPr>
              <w:pStyle w:val="12"/>
            </w:pPr>
            <w:r>
              <w:t>13.00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隆尧县财政局（含所属单位）上年末固定资产金额为2010.06万元（详见下表）。本年度拟购置固定资产总额为9.00万元，已按要求列入政府采购预算，详见政府采购预算表。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318隆尧县财政局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2010.06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6099.90</w:t>
            </w:r>
          </w:p>
        </w:tc>
        <w:tc>
          <w:tcPr>
            <w:tcW w:w="2835" w:type="dxa"/>
            <w:vAlign w:val="center"/>
          </w:tcPr>
          <w:p>
            <w:pPr>
              <w:pStyle w:val="12"/>
            </w:pPr>
            <w:r>
              <w:t>1651.48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3885.23</w:t>
            </w:r>
          </w:p>
        </w:tc>
        <w:tc>
          <w:tcPr>
            <w:tcW w:w="2835" w:type="dxa"/>
            <w:vAlign w:val="center"/>
          </w:tcPr>
          <w:p>
            <w:pPr>
              <w:pStyle w:val="12"/>
            </w:pPr>
            <w:r>
              <w:t>1051.88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r>
              <w:t>1</w:t>
            </w:r>
          </w:p>
        </w:tc>
        <w:tc>
          <w:tcPr>
            <w:tcW w:w="2835" w:type="dxa"/>
            <w:vAlign w:val="center"/>
          </w:tcPr>
          <w:p>
            <w:pPr>
              <w:pStyle w:val="12"/>
            </w:pPr>
            <w:r>
              <w:t>30.28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830</w:t>
            </w:r>
          </w:p>
        </w:tc>
        <w:tc>
          <w:tcPr>
            <w:tcW w:w="2835" w:type="dxa"/>
            <w:vAlign w:val="center"/>
          </w:tcPr>
          <w:p>
            <w:pPr>
              <w:pStyle w:val="12"/>
            </w:pPr>
            <w:r>
              <w:t>328.30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50873B0"/>
    <w:multiLevelType w:val="singleLevel"/>
    <w:tmpl w:val="C50873B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57B4FFA"/>
    <w:rsid w:val="69300C6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5">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40</Pages>
  <TotalTime>2</TotalTime>
  <ScaleCrop>false</ScaleCrop>
  <LinksUpToDate>false</LinksUpToDate>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2025-02-27T11:59:00Z</dcterms:created>
  <dc:creator>lenovo</dc:creator>
  <cp:lastModifiedBy>lenovo</cp:lastModifiedBy>
  <dcterms:modified xsi:type="dcterms:W3CDTF">2025-02-27T07:30:47Z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