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1D8054A">
      <w:pPr>
        <w:widowControl/>
        <w:spacing w:line="400" w:lineRule="exact"/>
        <w:jc w:val="left"/>
        <w:rPr>
          <w:rFonts w:hint="default" w:ascii="仿宋" w:hAnsi="仿宋" w:eastAsia="仿宋" w:cs="仿宋"/>
          <w:kern w:val="0"/>
          <w:sz w:val="44"/>
          <w:szCs w:val="44"/>
          <w:shd w:val="clear" w:color="auto" w:fill="FFFFFF"/>
          <w:lang w:val="en-US" w:eastAsia="zh-CN" w:bidi="ar"/>
        </w:rPr>
      </w:pPr>
    </w:p>
    <w:p w14:paraId="6AD87FAE">
      <w:pPr>
        <w:spacing w:line="480" w:lineRule="exact"/>
        <w:jc w:val="center"/>
        <w:rPr>
          <w:rFonts w:ascii="仿宋_GB2312" w:hAnsi="仿宋" w:eastAsia="仿宋_GB2312" w:cs="仿宋"/>
          <w:b/>
          <w:bCs/>
          <w:kern w:val="0"/>
          <w:sz w:val="44"/>
          <w:szCs w:val="44"/>
          <w:shd w:val="clear" w:color="auto" w:fill="FFFFFF"/>
          <w:lang w:bidi="ar"/>
        </w:rPr>
      </w:pPr>
      <w:r>
        <w:rPr>
          <w:rFonts w:hint="eastAsia" w:ascii="仿宋_GB2312" w:hAnsi="仿宋" w:eastAsia="仿宋_GB2312" w:cs="仿宋"/>
          <w:b/>
          <w:bCs/>
          <w:kern w:val="0"/>
          <w:sz w:val="44"/>
          <w:szCs w:val="44"/>
          <w:shd w:val="clear" w:color="auto" w:fill="FFFFFF"/>
          <w:lang w:bidi="ar"/>
        </w:rPr>
        <w:t>隆尧县固城镇人民政府</w:t>
      </w:r>
    </w:p>
    <w:p w14:paraId="7CF67E54">
      <w:pPr>
        <w:spacing w:line="480" w:lineRule="exact"/>
        <w:jc w:val="center"/>
        <w:rPr>
          <w:rFonts w:ascii="仿宋_GB2312" w:hAnsi="仿宋" w:eastAsia="仿宋_GB2312" w:cs="仿宋"/>
          <w:b/>
          <w:sz w:val="44"/>
          <w:szCs w:val="44"/>
        </w:rPr>
      </w:pPr>
      <w:r>
        <w:rPr>
          <w:rFonts w:hint="eastAsia" w:ascii="仿宋_GB2312" w:hAnsi="仿宋" w:eastAsia="仿宋_GB2312" w:cs="仿宋"/>
          <w:b/>
          <w:sz w:val="44"/>
          <w:szCs w:val="44"/>
        </w:rPr>
        <w:t>部门整体支出绩效评价</w:t>
      </w:r>
      <w:r>
        <w:rPr>
          <w:rFonts w:hint="eastAsia" w:ascii="仿宋_GB2312" w:hAnsi="仿宋" w:eastAsia="仿宋_GB2312" w:cs="仿宋"/>
          <w:b/>
          <w:color w:val="000000"/>
          <w:kern w:val="0"/>
          <w:sz w:val="44"/>
          <w:szCs w:val="44"/>
          <w:shd w:val="clear" w:color="auto" w:fill="FFFFFF"/>
          <w:lang w:bidi="ar"/>
        </w:rPr>
        <w:t>指标体系评分表</w:t>
      </w:r>
    </w:p>
    <w:p w14:paraId="75782F1F">
      <w:pPr>
        <w:spacing w:line="240" w:lineRule="exact"/>
        <w:rPr>
          <w:rFonts w:ascii="仿宋" w:hAnsi="仿宋" w:eastAsia="仿宋" w:cs="仿宋"/>
          <w:sz w:val="32"/>
          <w:szCs w:val="32"/>
        </w:rPr>
      </w:pPr>
    </w:p>
    <w:p w14:paraId="07AE834E">
      <w:pPr>
        <w:spacing w:line="620" w:lineRule="exact"/>
        <w:ind w:firstLine="640" w:firstLineChars="200"/>
        <w:rPr>
          <w:rFonts w:ascii="仿宋" w:hAnsi="仿宋" w:eastAsia="仿宋" w:cs="仿宋"/>
          <w:sz w:val="32"/>
          <w:szCs w:val="32"/>
        </w:rPr>
      </w:pPr>
      <w:r>
        <w:rPr>
          <w:rFonts w:hint="eastAsia" w:ascii="仿宋" w:hAnsi="仿宋" w:eastAsia="仿宋" w:cs="仿宋"/>
          <w:sz w:val="32"/>
          <w:szCs w:val="32"/>
        </w:rPr>
        <w:t>根据县财政局的要求，我单位对2019年部门整体支出进行了认真的自评，现将自评情况报告如下：</w:t>
      </w:r>
    </w:p>
    <w:p w14:paraId="50DEEC93">
      <w:pPr>
        <w:spacing w:line="620" w:lineRule="exact"/>
        <w:rPr>
          <w:rFonts w:ascii="仿宋" w:hAnsi="仿宋" w:eastAsia="仿宋" w:cs="仿宋"/>
          <w:b/>
          <w:bCs/>
          <w:sz w:val="32"/>
          <w:szCs w:val="32"/>
        </w:rPr>
      </w:pPr>
      <w:r>
        <w:rPr>
          <w:rFonts w:hint="eastAsia" w:ascii="仿宋" w:hAnsi="仿宋" w:eastAsia="仿宋" w:cs="仿宋"/>
          <w:b/>
          <w:bCs/>
          <w:sz w:val="32"/>
          <w:szCs w:val="32"/>
        </w:rPr>
        <w:t>一、绩效自评得分情况及绩效等级</w:t>
      </w:r>
    </w:p>
    <w:p w14:paraId="6BF8AC69">
      <w:pPr>
        <w:spacing w:line="620" w:lineRule="exact"/>
        <w:ind w:firstLine="640" w:firstLineChars="200"/>
      </w:pPr>
      <w:r>
        <w:rPr>
          <w:rFonts w:hint="eastAsia" w:ascii="仿宋" w:hAnsi="仿宋" w:eastAsia="仿宋" w:cs="仿宋"/>
          <w:sz w:val="32"/>
          <w:szCs w:val="32"/>
        </w:rPr>
        <w:t>综合自评分95分，绩效等级为合格。</w:t>
      </w:r>
    </w:p>
    <w:p w14:paraId="5D4DFBFC">
      <w:pPr>
        <w:rPr>
          <w:rFonts w:ascii="仿宋" w:hAnsi="仿宋" w:eastAsia="仿宋" w:cs="仿宋"/>
          <w:b/>
          <w:bCs/>
          <w:sz w:val="30"/>
          <w:szCs w:val="30"/>
        </w:rPr>
      </w:pPr>
      <w:r>
        <w:rPr>
          <w:rFonts w:hint="eastAsia" w:ascii="仿宋" w:hAnsi="仿宋" w:eastAsia="仿宋" w:cs="仿宋"/>
          <w:b/>
          <w:bCs/>
          <w:sz w:val="30"/>
          <w:szCs w:val="30"/>
        </w:rPr>
        <w:t>二、部门基本情况：</w:t>
      </w:r>
    </w:p>
    <w:p w14:paraId="0ECBF21E">
      <w:pPr>
        <w:pStyle w:val="2"/>
        <w:numPr>
          <w:ilvl w:val="0"/>
          <w:numId w:val="1"/>
        </w:numPr>
        <w:ind w:firstLine="640"/>
        <w:rPr>
          <w:rFonts w:ascii="仿宋" w:hAnsi="仿宋" w:eastAsia="仿宋"/>
          <w:color w:val="000000" w:themeColor="text1"/>
          <w:sz w:val="30"/>
          <w:szCs w:val="24"/>
        </w:rPr>
      </w:pPr>
      <w:r>
        <w:rPr>
          <w:rFonts w:hint="eastAsia" w:ascii="仿宋" w:hAnsi="仿宋" w:eastAsia="仿宋" w:cs="仿宋"/>
          <w:color w:val="auto"/>
          <w:sz w:val="32"/>
          <w:szCs w:val="32"/>
        </w:rPr>
        <w:t>基本概况。</w:t>
      </w:r>
      <w:r>
        <w:rPr>
          <w:rFonts w:hint="eastAsia" w:ascii="仿宋" w:hAnsi="仿宋" w:eastAsia="仿宋"/>
          <w:color w:val="000000"/>
          <w:sz w:val="30"/>
          <w:szCs w:val="24"/>
        </w:rPr>
        <w:t>隆尧县固城镇人民政府为镇政府工作部门，机构规格正科级，位于隆尧县固城镇固城街1号，</w:t>
      </w:r>
      <w:r>
        <w:rPr>
          <w:rFonts w:hint="eastAsia" w:ascii="仿宋" w:hAnsi="仿宋" w:eastAsia="仿宋" w:cs="仿宋"/>
          <w:color w:val="000000" w:themeColor="text1"/>
          <w:sz w:val="32"/>
          <w:szCs w:val="32"/>
        </w:rPr>
        <w:t>我镇为一级预算单位，无下属单位，部门决算中包括镇政府和镇卫计办决算。行政编制28名，事业编制17名，经费开支形式为财政性资金基本保证经费。</w:t>
      </w:r>
    </w:p>
    <w:p w14:paraId="4F916081">
      <w:pPr>
        <w:pStyle w:val="2"/>
        <w:ind w:firstLine="600"/>
        <w:rPr>
          <w:rFonts w:ascii="仿宋" w:hAnsi="仿宋" w:eastAsia="仿宋" w:cs="仿宋"/>
          <w:sz w:val="32"/>
          <w:szCs w:val="32"/>
        </w:rPr>
      </w:pPr>
      <w:r>
        <w:rPr>
          <w:rFonts w:hint="eastAsia" w:ascii="仿宋" w:hAnsi="仿宋" w:eastAsia="仿宋" w:cs="仿宋"/>
          <w:bCs/>
          <w:color w:val="000000" w:themeColor="text1"/>
          <w:sz w:val="30"/>
          <w:szCs w:val="30"/>
        </w:rPr>
        <w:t>（二）</w:t>
      </w:r>
      <w:r>
        <w:rPr>
          <w:rFonts w:hint="eastAsia" w:ascii="仿宋" w:hAnsi="仿宋" w:eastAsia="仿宋" w:cs="仿宋"/>
          <w:bCs/>
          <w:color w:val="auto"/>
          <w:sz w:val="30"/>
          <w:szCs w:val="30"/>
        </w:rPr>
        <w:t>镇政府主要职能：</w:t>
      </w:r>
      <w:r>
        <w:rPr>
          <w:rFonts w:hint="eastAsia" w:ascii="仿宋" w:hAnsi="仿宋" w:eastAsia="仿宋" w:cs="仿宋"/>
          <w:color w:val="auto"/>
          <w:sz w:val="30"/>
          <w:szCs w:val="30"/>
        </w:rPr>
        <w:t>⑴制定和组织实施经济、科技和社会发展计划，制定资源开发技术改造和产业结构调整方案，组织指导好各业生产，搞好商品流通，协调好本镇与外地区的经济交流与合作，抓好招商引资，人才引进项目开发，不断培育市场体系，组织经济运行，促进经济发展。⑵制定并组织实施村镇建设规划，部署重点工程建设，地方道路建设及公共设施，水利设施的管理，负责土地、林木、水等自然资源和生态环境的保护，做好护林防火工作。⑶负责本行政区域内的民政、计划生育、文化教育、卫生、体育等社会公益事业的综合性工作，维护一切经济单位和个人的正当经济权益，取缔非法经济活动，调解和处理民事纠纷，打击刑事犯罪维护社会稳定。⑷按计划组织本级财政收入和地方税的征收，完成国家财政计划，不断培植税源，管好财政资金，增强财政实力。⑸抓好精神文明建设，丰富群众文化生活，提倡移风易俗，反对封建迷信，破除陈规陋习，树立社会主义新风尚。⑹完成上级政府交办的其它事项。</w:t>
      </w:r>
    </w:p>
    <w:p w14:paraId="32484939">
      <w:pPr>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（三）预算绩效管理开展及整体绩效实现情况。</w:t>
      </w:r>
      <w:r>
        <w:rPr>
          <w:rFonts w:hint="eastAsia" w:ascii="仿宋" w:hAnsi="仿宋" w:eastAsia="仿宋"/>
          <w:color w:val="000000"/>
          <w:sz w:val="30"/>
          <w:szCs w:val="24"/>
        </w:rPr>
        <w:t>固城镇共有18个行政村</w:t>
      </w:r>
      <w:r>
        <w:rPr>
          <w:rFonts w:hint="eastAsia" w:ascii="仿宋" w:hAnsi="仿宋" w:eastAsia="仿宋" w:cs="仿宋"/>
          <w:color w:val="000000"/>
          <w:sz w:val="30"/>
          <w:szCs w:val="30"/>
        </w:rPr>
        <w:t>，2019年我镇总体</w:t>
      </w:r>
      <w:r>
        <w:rPr>
          <w:rFonts w:hint="eastAsia" w:ascii="仿宋" w:hAnsi="仿宋" w:eastAsia="仿宋" w:cs="仿宋"/>
          <w:sz w:val="30"/>
          <w:szCs w:val="30"/>
        </w:rPr>
        <w:t>预期目标是：全镇生产总值年均递增8%以上，财政总收入年均递增9%以上，全镇固定资产投资年均递增10%以上。全镇综合经济实力进一步增强，社会事业全面进步，人民生活水平明显提高，环境质量进一步优化。对2019年固城镇预算项目的经济性、效率性和效益性进行客观、公正的评价，提高财政资金使用效益，增强预算绩效管理观念。</w:t>
      </w:r>
    </w:p>
    <w:p w14:paraId="3099A27A">
      <w:pPr>
        <w:spacing w:line="620" w:lineRule="exact"/>
        <w:ind w:firstLine="600" w:firstLineChars="200"/>
        <w:rPr>
          <w:rFonts w:ascii="仿宋_GB2312" w:hAnsi="仿宋" w:eastAsia="仿宋_GB2312"/>
          <w:sz w:val="30"/>
          <w:szCs w:val="30"/>
        </w:rPr>
      </w:pPr>
      <w:r>
        <w:rPr>
          <w:rFonts w:hint="eastAsia" w:ascii="仿宋" w:hAnsi="仿宋" w:eastAsia="仿宋" w:cs="仿宋"/>
          <w:sz w:val="30"/>
          <w:szCs w:val="30"/>
        </w:rPr>
        <w:t>（四）支出情况。本</w:t>
      </w:r>
      <w:r>
        <w:rPr>
          <w:rFonts w:hint="eastAsia" w:ascii="仿宋_GB2312" w:hAnsi="仿宋" w:eastAsia="仿宋_GB2312"/>
          <w:sz w:val="30"/>
          <w:szCs w:val="30"/>
        </w:rPr>
        <w:t xml:space="preserve">年支出为965.89万元，其中一般公共服务支出为408.9万元，占总支出的42.33%；文化旅游体育与传媒支出为4万元，占总支出的0.4%，社会保障与就业为107.5万元，占总支出的11.12%；医疗与计划生育为38.3万元，占总收入的4%；节能环保为25.6万元，占总支出的2.65%；城乡社区为41.12万元，占总收入的4.26%；农林水支出为296.76万元，占总收入的30.72%；住房保障为28.06万元，占总收入的2.9%; </w:t>
      </w:r>
    </w:p>
    <w:p w14:paraId="573430B7">
      <w:pPr>
        <w:spacing w:line="620" w:lineRule="exact"/>
        <w:rPr>
          <w:rFonts w:ascii="仿宋" w:hAnsi="仿宋" w:eastAsia="仿宋" w:cs="仿宋"/>
          <w:b/>
          <w:bCs/>
          <w:sz w:val="32"/>
          <w:szCs w:val="32"/>
        </w:rPr>
      </w:pPr>
      <w:r>
        <w:rPr>
          <w:rFonts w:hint="eastAsia" w:ascii="仿宋" w:hAnsi="仿宋" w:eastAsia="仿宋" w:cs="仿宋"/>
          <w:b/>
          <w:bCs/>
          <w:sz w:val="32"/>
          <w:szCs w:val="32"/>
        </w:rPr>
        <w:t>三、绩效自评工作情况</w:t>
      </w:r>
    </w:p>
    <w:p w14:paraId="6CAAA9D6">
      <w:pPr>
        <w:spacing w:line="620" w:lineRule="exact"/>
        <w:ind w:firstLine="640" w:firstLineChars="200"/>
        <w:rPr>
          <w:rFonts w:ascii="仿宋" w:hAnsi="仿宋" w:eastAsia="仿宋" w:cs="仿宋"/>
          <w:sz w:val="32"/>
          <w:szCs w:val="32"/>
        </w:rPr>
      </w:pPr>
      <w:r>
        <w:rPr>
          <w:rFonts w:hint="eastAsia" w:ascii="仿宋" w:hAnsi="仿宋" w:eastAsia="仿宋" w:cs="仿宋"/>
          <w:sz w:val="32"/>
          <w:szCs w:val="32"/>
        </w:rPr>
        <w:t>（一）绩效自评目的</w:t>
      </w:r>
    </w:p>
    <w:p w14:paraId="53D8D297">
      <w:pPr>
        <w:spacing w:line="620" w:lineRule="exact"/>
        <w:ind w:firstLine="640" w:firstLineChars="200"/>
        <w:rPr>
          <w:rFonts w:ascii="仿宋" w:hAnsi="仿宋" w:eastAsia="仿宋" w:cs="仿宋"/>
          <w:sz w:val="32"/>
          <w:szCs w:val="32"/>
        </w:rPr>
      </w:pPr>
      <w:r>
        <w:rPr>
          <w:rFonts w:hint="eastAsia" w:ascii="仿宋" w:hAnsi="仿宋" w:eastAsia="仿宋" w:cs="仿宋"/>
          <w:sz w:val="32"/>
          <w:szCs w:val="32"/>
        </w:rPr>
        <w:t>保证政府日常开支的正常运转，以及单位人员日常报销不受影响，确保政府各项工作的顺利进行；同时保证固城镇各项目建设的有推进，带动全镇经济平稳较快发展的重要工作来落实，按照“统筹规划、分级负责、因地制宜、确保质量”的原则，通过项目实施加大农村建设力度，使我镇各项基础设施建设再上一个新的台阶。</w:t>
      </w:r>
    </w:p>
    <w:p w14:paraId="67230899">
      <w:pPr>
        <w:spacing w:line="620" w:lineRule="exact"/>
        <w:ind w:firstLine="640" w:firstLineChars="200"/>
        <w:rPr>
          <w:rFonts w:ascii="仿宋" w:hAnsi="仿宋" w:eastAsia="仿宋" w:cs="仿宋"/>
          <w:sz w:val="32"/>
          <w:szCs w:val="32"/>
        </w:rPr>
      </w:pPr>
      <w:r>
        <w:rPr>
          <w:rFonts w:hint="eastAsia" w:ascii="仿宋" w:hAnsi="仿宋" w:eastAsia="仿宋" w:cs="仿宋"/>
          <w:sz w:val="32"/>
          <w:szCs w:val="32"/>
        </w:rPr>
        <w:t xml:space="preserve">（二）评价情况分析及综合评价结论                          </w:t>
      </w:r>
    </w:p>
    <w:p w14:paraId="66285226">
      <w:pPr>
        <w:spacing w:line="620" w:lineRule="exact"/>
        <w:ind w:firstLine="640" w:firstLineChars="200"/>
        <w:rPr>
          <w:rFonts w:ascii="仿宋" w:hAnsi="仿宋" w:eastAsia="仿宋" w:cs="仿宋"/>
          <w:color w:val="000000" w:themeColor="text1"/>
          <w:sz w:val="32"/>
          <w:szCs w:val="32"/>
        </w:rPr>
      </w:pPr>
      <w:r>
        <w:rPr>
          <w:rFonts w:hint="eastAsia" w:ascii="仿宋" w:hAnsi="仿宋" w:eastAsia="仿宋" w:cs="仿宋"/>
          <w:sz w:val="32"/>
          <w:szCs w:val="32"/>
        </w:rPr>
        <w:t>绩效目标完成情况：</w:t>
      </w:r>
      <w:r>
        <w:rPr>
          <w:rFonts w:hint="eastAsia" w:ascii="仿宋" w:hAnsi="仿宋" w:eastAsia="仿宋" w:cs="仿宋"/>
          <w:color w:val="000000" w:themeColor="text1"/>
          <w:sz w:val="32"/>
          <w:szCs w:val="32"/>
        </w:rPr>
        <w:t>我们对2019年项目开展了绩效评价，预算金额958.22万元，全年实际支出金额965.89万元，预算执行率99.21％。</w:t>
      </w:r>
    </w:p>
    <w:p w14:paraId="31E3FDE6">
      <w:pPr>
        <w:spacing w:line="620" w:lineRule="exact"/>
        <w:ind w:firstLine="640" w:firstLineChars="200"/>
        <w:rPr>
          <w:rFonts w:ascii="仿宋" w:hAnsi="仿宋" w:eastAsia="仿宋" w:cs="仿宋"/>
          <w:sz w:val="32"/>
          <w:szCs w:val="32"/>
        </w:rPr>
      </w:pPr>
      <w:r>
        <w:rPr>
          <w:rFonts w:hint="eastAsia" w:ascii="仿宋" w:hAnsi="仿宋" w:eastAsia="仿宋" w:cs="仿宋"/>
          <w:sz w:val="32"/>
          <w:szCs w:val="32"/>
        </w:rPr>
        <w:t>从评价情况来看，我单位支出绩效水平较高，整体完成了年初设定的绩效目标，保障了本单位各部门的正常运转，促进了固城镇整体经济的平稳发展，充分发挥了财政资金的经济效益和社会效益。</w:t>
      </w:r>
    </w:p>
    <w:p w14:paraId="38D6D3CB">
      <w:pPr>
        <w:spacing w:line="620" w:lineRule="exact"/>
        <w:rPr>
          <w:rFonts w:ascii="仿宋" w:hAnsi="仿宋" w:eastAsia="仿宋" w:cs="仿宋"/>
          <w:sz w:val="32"/>
          <w:szCs w:val="32"/>
        </w:rPr>
      </w:pPr>
      <w:r>
        <w:rPr>
          <w:rFonts w:hint="eastAsia" w:ascii="仿宋" w:hAnsi="仿宋" w:eastAsia="仿宋" w:cs="仿宋"/>
          <w:b/>
          <w:bCs/>
          <w:sz w:val="32"/>
          <w:szCs w:val="32"/>
        </w:rPr>
        <w:t>四、存在的问题及改进的方向</w:t>
      </w:r>
    </w:p>
    <w:p w14:paraId="4B26CC33">
      <w:pPr>
        <w:spacing w:line="620" w:lineRule="exact"/>
        <w:ind w:firstLine="640" w:firstLineChars="200"/>
        <w:rPr>
          <w:rFonts w:ascii="仿宋" w:hAnsi="仿宋" w:eastAsia="仿宋" w:cs="仿宋"/>
          <w:sz w:val="32"/>
          <w:szCs w:val="32"/>
        </w:rPr>
      </w:pPr>
      <w:r>
        <w:rPr>
          <w:rFonts w:hint="eastAsia" w:ascii="仿宋" w:hAnsi="仿宋" w:eastAsia="仿宋" w:cs="仿宋"/>
          <w:sz w:val="32"/>
          <w:szCs w:val="32"/>
        </w:rPr>
        <w:t>编制预算绩效目标量化指标的设定有待加强，绩效考核方案不够到位，自评结果应用不充分，总结经验反馈问题不够及时，绩效考核工作痕迹管理不完备，考核结果有效性有待加强和完善。部分项目当年没有支付资金，预算执行率不够高。在今后的工作中，我单位将严格按照有关法律法规及上级部门的要求，针对存在的问题，大力加强预算绩效监督管理力度，加快资金支付进度，重视绩效考核管理，认真做好绩效目标管理工作。</w:t>
      </w:r>
    </w:p>
    <w:p w14:paraId="1A3B2379">
      <w:pPr>
        <w:spacing w:line="620" w:lineRule="exact"/>
        <w:rPr>
          <w:rFonts w:ascii="仿宋" w:hAnsi="仿宋" w:eastAsia="仿宋" w:cs="仿宋"/>
          <w:b/>
          <w:bCs/>
          <w:sz w:val="32"/>
          <w:szCs w:val="32"/>
        </w:rPr>
      </w:pPr>
      <w:r>
        <w:rPr>
          <w:rFonts w:hint="eastAsia" w:ascii="仿宋" w:hAnsi="仿宋" w:eastAsia="仿宋" w:cs="仿宋"/>
          <w:b/>
          <w:bCs/>
          <w:sz w:val="32"/>
          <w:szCs w:val="32"/>
        </w:rPr>
        <w:t>五、建议</w:t>
      </w:r>
    </w:p>
    <w:p w14:paraId="51E637F2">
      <w:pPr>
        <w:spacing w:line="620" w:lineRule="exact"/>
        <w:ind w:firstLine="640" w:firstLineChars="200"/>
        <w:rPr>
          <w:rFonts w:ascii="仿宋" w:hAnsi="仿宋" w:eastAsia="仿宋" w:cs="仿宋"/>
          <w:sz w:val="32"/>
          <w:szCs w:val="32"/>
        </w:rPr>
      </w:pPr>
      <w:r>
        <w:rPr>
          <w:rFonts w:hint="eastAsia" w:ascii="仿宋" w:hAnsi="仿宋" w:eastAsia="仿宋" w:cs="仿宋"/>
          <w:sz w:val="32"/>
          <w:szCs w:val="32"/>
        </w:rPr>
        <w:t>1、认真学习预算绩效管理的政策知识，提高部门预算整体绩效管理水平，把绩效管理工作落实到每个环节、每个细节，努力提高固城镇部门预算的经济效益和社会效益。</w:t>
      </w:r>
    </w:p>
    <w:p w14:paraId="4CE942E8">
      <w:pPr>
        <w:spacing w:line="620" w:lineRule="exact"/>
        <w:ind w:firstLine="640" w:firstLineChars="200"/>
        <w:rPr>
          <w:rFonts w:ascii="仿宋" w:hAnsi="仿宋" w:eastAsia="仿宋" w:cs="仿宋"/>
          <w:sz w:val="32"/>
          <w:szCs w:val="32"/>
        </w:rPr>
      </w:pPr>
      <w:r>
        <w:rPr>
          <w:rFonts w:hint="eastAsia" w:ascii="仿宋" w:hAnsi="仿宋" w:eastAsia="仿宋" w:cs="仿宋"/>
          <w:sz w:val="32"/>
          <w:szCs w:val="32"/>
        </w:rPr>
        <w:t>2、加强、细化制度建设。建立更加完善、更符合工作实际的制度、机制，保障每一项工作落到岗到人。</w:t>
      </w:r>
    </w:p>
    <w:p w14:paraId="53B19C27">
      <w:pPr>
        <w:spacing w:line="620" w:lineRule="exact"/>
        <w:ind w:firstLine="640" w:firstLineChars="200"/>
        <w:rPr>
          <w:rFonts w:ascii="仿宋" w:hAnsi="仿宋" w:eastAsia="仿宋" w:cs="仿宋"/>
          <w:sz w:val="32"/>
          <w:szCs w:val="32"/>
        </w:rPr>
      </w:pPr>
      <w:r>
        <w:rPr>
          <w:rFonts w:hint="eastAsia" w:ascii="仿宋" w:hAnsi="仿宋" w:eastAsia="仿宋" w:cs="仿宋"/>
          <w:sz w:val="32"/>
          <w:szCs w:val="32"/>
        </w:rPr>
        <w:t>3、分解、落实工作职责。切实加强履职履责，让职责不留空缺，使财政拨款经费合理、有效使用。</w:t>
      </w:r>
    </w:p>
    <w:p w14:paraId="41B173F2">
      <w:pPr>
        <w:pStyle w:val="2"/>
        <w:ind w:firstLine="0" w:firstLineChars="0"/>
        <w:rPr>
          <w:b/>
          <w:color w:val="auto"/>
        </w:rPr>
      </w:pPr>
      <w:r>
        <w:rPr>
          <w:rFonts w:hint="eastAsia"/>
          <w:b/>
          <w:color w:val="auto"/>
        </w:rPr>
        <w:t>六、绩效评分表：</w:t>
      </w:r>
    </w:p>
    <w:tbl>
      <w:tblPr>
        <w:tblStyle w:val="11"/>
        <w:tblW w:w="937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779"/>
        <w:gridCol w:w="743"/>
        <w:gridCol w:w="1275"/>
        <w:gridCol w:w="3436"/>
        <w:gridCol w:w="2373"/>
        <w:gridCol w:w="764"/>
      </w:tblGrid>
      <w:tr w14:paraId="58EEEEE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9"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14:paraId="6BF0C35E">
            <w:pPr>
              <w:widowControl/>
              <w:spacing w:line="240" w:lineRule="exact"/>
              <w:jc w:val="center"/>
              <w:rPr>
                <w:b/>
              </w:rPr>
            </w:pPr>
            <w:r>
              <w:rPr>
                <w:rFonts w:ascii="仿宋_GB2312" w:hAnsi="新宋体" w:eastAsia="仿宋_GB2312" w:cs="仿宋_GB2312"/>
                <w:b/>
                <w:kern w:val="0"/>
                <w:sz w:val="24"/>
                <w:szCs w:val="24"/>
                <w:lang w:bidi="ar"/>
              </w:rPr>
              <w:t>一级指标</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14:paraId="1BC239BE">
            <w:pPr>
              <w:widowControl/>
              <w:spacing w:line="240" w:lineRule="exact"/>
              <w:jc w:val="center"/>
              <w:rPr>
                <w:b/>
              </w:rPr>
            </w:pPr>
            <w:r>
              <w:rPr>
                <w:rFonts w:ascii="仿宋_GB2312" w:hAnsi="新宋体" w:eastAsia="仿宋_GB2312" w:cs="仿宋_GB2312"/>
                <w:b/>
                <w:kern w:val="0"/>
                <w:sz w:val="24"/>
                <w:szCs w:val="24"/>
                <w:lang w:bidi="ar"/>
              </w:rPr>
              <w:t>二级指标</w:t>
            </w:r>
          </w:p>
        </w:tc>
        <w:tc>
          <w:tcPr>
            <w:tcW w:w="4711" w:type="dxa"/>
            <w:gridSpan w:val="2"/>
            <w:tcBorders>
              <w:top w:val="single" w:color="000000" w:sz="4" w:space="0"/>
              <w:left w:val="single" w:color="000000" w:sz="4" w:space="0"/>
              <w:bottom w:val="single" w:color="000000" w:sz="4" w:space="0"/>
              <w:right w:val="single" w:color="auto" w:sz="4" w:space="0"/>
            </w:tcBorders>
            <w:vAlign w:val="center"/>
          </w:tcPr>
          <w:p w14:paraId="1BA577F6">
            <w:pPr>
              <w:widowControl/>
              <w:spacing w:line="240" w:lineRule="exact"/>
              <w:jc w:val="center"/>
              <w:rPr>
                <w:b/>
              </w:rPr>
            </w:pPr>
            <w:r>
              <w:rPr>
                <w:rFonts w:ascii="仿宋_GB2312" w:hAnsi="新宋体" w:eastAsia="仿宋_GB2312" w:cs="仿宋_GB2312"/>
                <w:b/>
                <w:kern w:val="0"/>
                <w:sz w:val="24"/>
                <w:szCs w:val="24"/>
                <w:lang w:bidi="ar"/>
              </w:rPr>
              <w:t>三级指标</w:t>
            </w:r>
          </w:p>
        </w:tc>
        <w:tc>
          <w:tcPr>
            <w:tcW w:w="2373" w:type="dxa"/>
            <w:vMerge w:val="restart"/>
            <w:tcBorders>
              <w:top w:val="single" w:color="000000" w:sz="4" w:space="0"/>
              <w:left w:val="single" w:color="auto" w:sz="4" w:space="0"/>
              <w:bottom w:val="single" w:color="000000" w:sz="4" w:space="0"/>
              <w:right w:val="single" w:color="auto" w:sz="4" w:space="0"/>
            </w:tcBorders>
            <w:vAlign w:val="center"/>
          </w:tcPr>
          <w:p w14:paraId="0FA2487F">
            <w:pPr>
              <w:widowControl/>
              <w:spacing w:line="240" w:lineRule="exact"/>
              <w:jc w:val="center"/>
              <w:rPr>
                <w:b/>
              </w:rPr>
            </w:pPr>
            <w:r>
              <w:rPr>
                <w:rFonts w:ascii="仿宋_GB2312" w:hAnsi="新宋体" w:eastAsia="仿宋_GB2312" w:cs="仿宋_GB2312"/>
                <w:b/>
                <w:kern w:val="0"/>
                <w:sz w:val="24"/>
                <w:szCs w:val="24"/>
                <w:lang w:bidi="ar"/>
              </w:rPr>
              <w:t>评分标准</w:t>
            </w:r>
          </w:p>
        </w:tc>
        <w:tc>
          <w:tcPr>
            <w:tcW w:w="764" w:type="dxa"/>
            <w:vMerge w:val="restart"/>
            <w:tcBorders>
              <w:top w:val="single" w:color="000000" w:sz="4" w:space="0"/>
              <w:left w:val="single" w:color="auto" w:sz="4" w:space="0"/>
              <w:bottom w:val="single" w:color="000000" w:sz="4" w:space="0"/>
              <w:right w:val="single" w:color="auto" w:sz="4" w:space="0"/>
            </w:tcBorders>
            <w:vAlign w:val="center"/>
          </w:tcPr>
          <w:p w14:paraId="5A70A956">
            <w:pPr>
              <w:widowControl/>
              <w:spacing w:line="240" w:lineRule="exact"/>
              <w:jc w:val="left"/>
              <w:rPr>
                <w:b/>
              </w:rPr>
            </w:pPr>
            <w:r>
              <w:rPr>
                <w:rFonts w:ascii="仿宋_GB2312" w:hAnsi="新宋体" w:eastAsia="仿宋_GB2312" w:cs="仿宋_GB2312"/>
                <w:b/>
                <w:kern w:val="0"/>
                <w:sz w:val="24"/>
                <w:szCs w:val="24"/>
                <w:lang w:bidi="ar"/>
              </w:rPr>
              <w:t>得分</w:t>
            </w:r>
          </w:p>
        </w:tc>
      </w:tr>
      <w:tr w14:paraId="64E20D2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3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4C5506DE">
            <w:pPr>
              <w:rPr>
                <w:rFonts w:ascii="宋体"/>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4650338E">
            <w:pPr>
              <w:rPr>
                <w:rFonts w:ascii="宋体"/>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3B8CDDF2">
            <w:pPr>
              <w:widowControl/>
              <w:spacing w:line="240" w:lineRule="exact"/>
              <w:jc w:val="center"/>
              <w:rPr>
                <w:b/>
              </w:rPr>
            </w:pPr>
            <w:r>
              <w:rPr>
                <w:rFonts w:ascii="仿宋_GB2312" w:hAnsi="新宋体" w:eastAsia="仿宋_GB2312" w:cs="仿宋_GB2312"/>
                <w:b/>
                <w:kern w:val="0"/>
                <w:sz w:val="24"/>
                <w:szCs w:val="24"/>
                <w:lang w:bidi="ar"/>
              </w:rPr>
              <w:t>指标名称</w:t>
            </w:r>
          </w:p>
        </w:tc>
        <w:tc>
          <w:tcPr>
            <w:tcW w:w="3436" w:type="dxa"/>
            <w:tcBorders>
              <w:top w:val="single" w:color="000000" w:sz="4" w:space="0"/>
              <w:left w:val="single" w:color="auto" w:sz="4" w:space="0"/>
              <w:bottom w:val="single" w:color="000000" w:sz="4" w:space="0"/>
              <w:right w:val="single" w:color="auto" w:sz="4" w:space="0"/>
            </w:tcBorders>
            <w:vAlign w:val="center"/>
          </w:tcPr>
          <w:p w14:paraId="20FF95B2">
            <w:pPr>
              <w:widowControl/>
              <w:spacing w:line="240" w:lineRule="exact"/>
              <w:jc w:val="center"/>
              <w:rPr>
                <w:b/>
              </w:rPr>
            </w:pPr>
            <w:r>
              <w:rPr>
                <w:rFonts w:ascii="仿宋_GB2312" w:hAnsi="新宋体" w:eastAsia="仿宋_GB2312" w:cs="仿宋_GB2312"/>
                <w:b/>
                <w:kern w:val="0"/>
                <w:sz w:val="24"/>
                <w:szCs w:val="24"/>
                <w:lang w:bidi="ar"/>
              </w:rPr>
              <w:t>指标解释说明</w:t>
            </w:r>
          </w:p>
        </w:tc>
        <w:tc>
          <w:tcPr>
            <w:tcW w:w="2373" w:type="dxa"/>
            <w:vMerge w:val="continue"/>
            <w:tcBorders>
              <w:top w:val="single" w:color="000000" w:sz="4" w:space="0"/>
              <w:left w:val="single" w:color="auto" w:sz="4" w:space="0"/>
              <w:bottom w:val="single" w:color="000000" w:sz="4" w:space="0"/>
              <w:right w:val="single" w:color="auto" w:sz="4" w:space="0"/>
            </w:tcBorders>
            <w:vAlign w:val="center"/>
          </w:tcPr>
          <w:p w14:paraId="60B50EA7">
            <w:pPr>
              <w:rPr>
                <w:rFonts w:ascii="宋体"/>
                <w:szCs w:val="21"/>
              </w:rPr>
            </w:pPr>
          </w:p>
        </w:tc>
        <w:tc>
          <w:tcPr>
            <w:tcW w:w="764" w:type="dxa"/>
            <w:vMerge w:val="continue"/>
            <w:tcBorders>
              <w:top w:val="single" w:color="000000" w:sz="4" w:space="0"/>
              <w:left w:val="single" w:color="auto" w:sz="4" w:space="0"/>
              <w:bottom w:val="single" w:color="000000" w:sz="4" w:space="0"/>
              <w:right w:val="single" w:color="auto" w:sz="4" w:space="0"/>
            </w:tcBorders>
            <w:vAlign w:val="center"/>
          </w:tcPr>
          <w:p w14:paraId="5F0A6F39">
            <w:pPr>
              <w:rPr>
                <w:rFonts w:ascii="宋体"/>
                <w:szCs w:val="21"/>
              </w:rPr>
            </w:pPr>
          </w:p>
        </w:tc>
      </w:tr>
      <w:tr w14:paraId="25D9CA2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14:paraId="5E6CB83F">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投入（10）</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14:paraId="0EBB5F3D">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绩效目标设定情况</w:t>
            </w:r>
          </w:p>
          <w:p w14:paraId="5CE8E454">
            <w:pPr>
              <w:widowControl/>
              <w:spacing w:line="240" w:lineRule="exact"/>
              <w:jc w:val="left"/>
              <w:rPr>
                <w:rFonts w:ascii="仿宋_GB2312" w:hAnsi="仿宋_GB2312" w:eastAsia="仿宋_GB2312" w:cs="仿宋_GB2312"/>
                <w:color w:val="FF0000"/>
                <w:szCs w:val="21"/>
              </w:rPr>
            </w:pPr>
            <w:r>
              <w:rPr>
                <w:rFonts w:hint="eastAsia" w:ascii="仿宋_GB2312" w:hAnsi="仿宋_GB2312" w:eastAsia="仿宋_GB2312" w:cs="仿宋_GB2312"/>
                <w:kern w:val="0"/>
                <w:szCs w:val="21"/>
                <w:lang w:bidi="ar"/>
              </w:rPr>
              <w:t>（5分）</w:t>
            </w:r>
          </w:p>
        </w:tc>
        <w:tc>
          <w:tcPr>
            <w:tcW w:w="1275" w:type="dxa"/>
            <w:tcBorders>
              <w:top w:val="single" w:color="000000" w:sz="4" w:space="0"/>
              <w:left w:val="single" w:color="000000" w:sz="4" w:space="0"/>
              <w:bottom w:val="single" w:color="auto" w:sz="4" w:space="0"/>
              <w:right w:val="single" w:color="auto" w:sz="4" w:space="0"/>
            </w:tcBorders>
            <w:vAlign w:val="center"/>
          </w:tcPr>
          <w:p w14:paraId="4B900F5F">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职责明确 （1分）</w:t>
            </w:r>
          </w:p>
        </w:tc>
        <w:tc>
          <w:tcPr>
            <w:tcW w:w="3436" w:type="dxa"/>
            <w:tcBorders>
              <w:top w:val="single" w:color="000000" w:sz="4" w:space="0"/>
              <w:left w:val="single" w:color="auto" w:sz="4" w:space="0"/>
              <w:bottom w:val="single" w:color="auto" w:sz="4" w:space="0"/>
              <w:right w:val="single" w:color="auto" w:sz="4" w:space="0"/>
            </w:tcBorders>
            <w:vAlign w:val="center"/>
          </w:tcPr>
          <w:p w14:paraId="5524BE15">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部门的职责设定是否符合“三定”方案中所赋予的职责，用以反映和评价部门工作的目的性与计划性。</w:t>
            </w:r>
          </w:p>
        </w:tc>
        <w:tc>
          <w:tcPr>
            <w:tcW w:w="2373" w:type="dxa"/>
            <w:tcBorders>
              <w:top w:val="single" w:color="000000" w:sz="4" w:space="0"/>
              <w:left w:val="single" w:color="auto" w:sz="4" w:space="0"/>
              <w:bottom w:val="single" w:color="auto" w:sz="4" w:space="0"/>
              <w:right w:val="single" w:color="auto" w:sz="4" w:space="0"/>
            </w:tcBorders>
            <w:vAlign w:val="center"/>
          </w:tcPr>
          <w:p w14:paraId="53A5A12E">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符合（1）；</w:t>
            </w:r>
          </w:p>
          <w:p w14:paraId="15A4C907">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不符合（0）。</w:t>
            </w:r>
          </w:p>
        </w:tc>
        <w:tc>
          <w:tcPr>
            <w:tcW w:w="764" w:type="dxa"/>
            <w:tcBorders>
              <w:top w:val="single" w:color="000000" w:sz="4" w:space="0"/>
              <w:left w:val="single" w:color="auto" w:sz="4" w:space="0"/>
              <w:bottom w:val="single" w:color="auto" w:sz="4" w:space="0"/>
              <w:right w:val="single" w:color="000000" w:sz="4" w:space="0"/>
            </w:tcBorders>
            <w:vAlign w:val="center"/>
          </w:tcPr>
          <w:p w14:paraId="1E21CAB7">
            <w:pPr>
              <w:widowControl/>
              <w:spacing w:line="240" w:lineRule="exact"/>
              <w:jc w:val="left"/>
              <w:rPr>
                <w:szCs w:val="21"/>
              </w:rPr>
            </w:pPr>
            <w:r>
              <w:rPr>
                <w:rFonts w:hint="eastAsia"/>
                <w:szCs w:val="21"/>
              </w:rPr>
              <w:t>1</w:t>
            </w:r>
          </w:p>
        </w:tc>
      </w:tr>
      <w:tr w14:paraId="606BBC1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3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0D2E359D">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23DEAB90">
            <w:pPr>
              <w:spacing w:line="240" w:lineRule="exact"/>
              <w:rPr>
                <w:rFonts w:ascii="仿宋_GB2312" w:hAnsi="仿宋_GB2312" w:eastAsia="仿宋_GB2312" w:cs="仿宋_GB2312"/>
                <w:szCs w:val="21"/>
              </w:rPr>
            </w:pPr>
          </w:p>
        </w:tc>
        <w:tc>
          <w:tcPr>
            <w:tcW w:w="1275" w:type="dxa"/>
            <w:tcBorders>
              <w:top w:val="single" w:color="000000" w:sz="4" w:space="0"/>
              <w:left w:val="single" w:color="000000" w:sz="4" w:space="0"/>
              <w:bottom w:val="single" w:color="auto" w:sz="4" w:space="0"/>
              <w:right w:val="single" w:color="auto" w:sz="4" w:space="0"/>
            </w:tcBorders>
            <w:vAlign w:val="center"/>
          </w:tcPr>
          <w:p w14:paraId="28A20E53">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活动合规性（2分）</w:t>
            </w:r>
          </w:p>
        </w:tc>
        <w:tc>
          <w:tcPr>
            <w:tcW w:w="3436" w:type="dxa"/>
            <w:tcBorders>
              <w:top w:val="single" w:color="000000" w:sz="4" w:space="0"/>
              <w:left w:val="single" w:color="auto" w:sz="4" w:space="0"/>
              <w:bottom w:val="single" w:color="auto" w:sz="4" w:space="0"/>
              <w:right w:val="single" w:color="auto" w:sz="4" w:space="0"/>
            </w:tcBorders>
            <w:vAlign w:val="center"/>
          </w:tcPr>
          <w:p w14:paraId="1B1DA5E9">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部门的活动是否在职责范围之内并符合部门中长期规划，用以反映和评价部门活动目标与部门履职、年度工作任务的相符性情况。</w:t>
            </w:r>
          </w:p>
          <w:p w14:paraId="364F1D8E">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评价要点：</w:t>
            </w:r>
          </w:p>
          <w:p w14:paraId="3181F4D9">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1.部门活动的设定在部门所确定的职责范围之内；</w:t>
            </w:r>
          </w:p>
          <w:p w14:paraId="47EF315E">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2.部门活动符合市委、市政府的发展规划及本部门的年度工作安排与发展规划。</w:t>
            </w:r>
          </w:p>
        </w:tc>
        <w:tc>
          <w:tcPr>
            <w:tcW w:w="2373" w:type="dxa"/>
            <w:tcBorders>
              <w:top w:val="single" w:color="000000" w:sz="4" w:space="0"/>
              <w:left w:val="single" w:color="auto" w:sz="4" w:space="0"/>
              <w:bottom w:val="single" w:color="auto" w:sz="4" w:space="0"/>
              <w:right w:val="single" w:color="auto" w:sz="4" w:space="0"/>
            </w:tcBorders>
            <w:vAlign w:val="center"/>
          </w:tcPr>
          <w:p w14:paraId="0EDEAB59">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全部符合（2）；</w:t>
            </w:r>
          </w:p>
          <w:p w14:paraId="62C1180A">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其中一项不符合（0）。</w:t>
            </w:r>
          </w:p>
        </w:tc>
        <w:tc>
          <w:tcPr>
            <w:tcW w:w="764" w:type="dxa"/>
            <w:tcBorders>
              <w:top w:val="single" w:color="000000" w:sz="4" w:space="0"/>
              <w:left w:val="single" w:color="auto" w:sz="4" w:space="0"/>
              <w:bottom w:val="single" w:color="auto" w:sz="4" w:space="0"/>
              <w:right w:val="single" w:color="000000" w:sz="4" w:space="0"/>
            </w:tcBorders>
            <w:vAlign w:val="center"/>
          </w:tcPr>
          <w:p w14:paraId="7EE9D9B0">
            <w:pPr>
              <w:widowControl/>
              <w:spacing w:line="240" w:lineRule="exact"/>
              <w:jc w:val="left"/>
              <w:rPr>
                <w:szCs w:val="21"/>
              </w:rPr>
            </w:pPr>
            <w:r>
              <w:rPr>
                <w:rFonts w:hint="eastAsia"/>
                <w:szCs w:val="21"/>
              </w:rPr>
              <w:t>2</w:t>
            </w:r>
          </w:p>
        </w:tc>
      </w:tr>
      <w:tr w14:paraId="000F4B5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633791E5">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2BAFE3BF">
            <w:pPr>
              <w:spacing w:line="240" w:lineRule="exact"/>
              <w:rPr>
                <w:rFonts w:ascii="仿宋_GB2312" w:hAnsi="仿宋_GB2312" w:eastAsia="仿宋_GB2312" w:cs="仿宋_GB2312"/>
                <w:szCs w:val="21"/>
              </w:rPr>
            </w:pPr>
          </w:p>
        </w:tc>
        <w:tc>
          <w:tcPr>
            <w:tcW w:w="1275" w:type="dxa"/>
            <w:tcBorders>
              <w:top w:val="single" w:color="000000" w:sz="4" w:space="0"/>
              <w:left w:val="single" w:color="000000" w:sz="4" w:space="0"/>
              <w:bottom w:val="single" w:color="auto" w:sz="4" w:space="0"/>
              <w:right w:val="single" w:color="auto" w:sz="4" w:space="0"/>
            </w:tcBorders>
            <w:vAlign w:val="center"/>
          </w:tcPr>
          <w:p w14:paraId="15B9D92A">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活动合理性（2分）</w:t>
            </w:r>
          </w:p>
        </w:tc>
        <w:tc>
          <w:tcPr>
            <w:tcW w:w="3436" w:type="dxa"/>
            <w:tcBorders>
              <w:top w:val="single" w:color="000000" w:sz="4" w:space="0"/>
              <w:left w:val="single" w:color="auto" w:sz="4" w:space="0"/>
              <w:bottom w:val="single" w:color="auto" w:sz="4" w:space="0"/>
              <w:right w:val="single" w:color="auto" w:sz="4" w:space="0"/>
            </w:tcBorders>
            <w:vAlign w:val="center"/>
          </w:tcPr>
          <w:p w14:paraId="6B9EA031">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部门所设立的活动是否明确合理、活动的关键性指标设置是否可衡量，用以反映和评价部门活动目标设定的合理性。</w:t>
            </w:r>
          </w:p>
          <w:p w14:paraId="41D4D455">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评价要点：</w:t>
            </w:r>
          </w:p>
          <w:p w14:paraId="6FDD0A63">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1.活动目标的设定是可量化的，可通过清晰、可衡量的关键指标值予以体现；</w:t>
            </w:r>
          </w:p>
          <w:p w14:paraId="36B5820B">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2.在活动目标设定时，将关键指标明细分解为具体的达成目标与工作任务。</w:t>
            </w:r>
          </w:p>
        </w:tc>
        <w:tc>
          <w:tcPr>
            <w:tcW w:w="2373" w:type="dxa"/>
            <w:tcBorders>
              <w:top w:val="single" w:color="000000" w:sz="4" w:space="0"/>
              <w:left w:val="single" w:color="auto" w:sz="4" w:space="0"/>
              <w:bottom w:val="single" w:color="auto" w:sz="4" w:space="0"/>
              <w:right w:val="single" w:color="auto" w:sz="4" w:space="0"/>
            </w:tcBorders>
            <w:vAlign w:val="center"/>
          </w:tcPr>
          <w:p w14:paraId="6CBFD182">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全部符合（2）；</w:t>
            </w:r>
          </w:p>
          <w:p w14:paraId="5732EB99">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其中一项不符合（0）。</w:t>
            </w:r>
          </w:p>
        </w:tc>
        <w:tc>
          <w:tcPr>
            <w:tcW w:w="764" w:type="dxa"/>
            <w:tcBorders>
              <w:top w:val="single" w:color="000000" w:sz="4" w:space="0"/>
              <w:left w:val="single" w:color="auto" w:sz="4" w:space="0"/>
              <w:bottom w:val="single" w:color="auto" w:sz="4" w:space="0"/>
              <w:right w:val="single" w:color="000000" w:sz="4" w:space="0"/>
            </w:tcBorders>
            <w:vAlign w:val="center"/>
          </w:tcPr>
          <w:p w14:paraId="6B225B35">
            <w:pPr>
              <w:widowControl/>
              <w:spacing w:line="240" w:lineRule="exact"/>
              <w:jc w:val="left"/>
              <w:rPr>
                <w:szCs w:val="21"/>
              </w:rPr>
            </w:pPr>
            <w:r>
              <w:rPr>
                <w:rFonts w:hint="eastAsia"/>
                <w:szCs w:val="21"/>
              </w:rPr>
              <w:t>2</w:t>
            </w:r>
          </w:p>
        </w:tc>
      </w:tr>
      <w:tr w14:paraId="73DC51A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7AC0FDBF">
            <w:pPr>
              <w:spacing w:line="240" w:lineRule="exact"/>
              <w:rPr>
                <w:rFonts w:ascii="仿宋_GB2312" w:hAnsi="仿宋_GB2312" w:eastAsia="仿宋_GB2312" w:cs="仿宋_GB2312"/>
                <w:szCs w:val="21"/>
              </w:rPr>
            </w:pPr>
          </w:p>
        </w:tc>
        <w:tc>
          <w:tcPr>
            <w:tcW w:w="743" w:type="dxa"/>
            <w:vMerge w:val="restart"/>
            <w:tcBorders>
              <w:top w:val="single" w:color="000000" w:sz="4" w:space="0"/>
              <w:left w:val="single" w:color="000000" w:sz="4" w:space="0"/>
              <w:right w:val="single" w:color="000000" w:sz="4" w:space="0"/>
            </w:tcBorders>
            <w:vAlign w:val="center"/>
          </w:tcPr>
          <w:p w14:paraId="398BBA1A">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预算配置情况(5分)</w:t>
            </w:r>
          </w:p>
        </w:tc>
        <w:tc>
          <w:tcPr>
            <w:tcW w:w="1275" w:type="dxa"/>
            <w:tcBorders>
              <w:top w:val="single" w:color="auto" w:sz="4" w:space="0"/>
              <w:left w:val="single" w:color="000000" w:sz="4" w:space="0"/>
              <w:right w:val="single" w:color="auto" w:sz="4" w:space="0"/>
            </w:tcBorders>
            <w:vAlign w:val="center"/>
          </w:tcPr>
          <w:p w14:paraId="0DD341EF">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在职人员控制率（1分）</w:t>
            </w:r>
          </w:p>
        </w:tc>
        <w:tc>
          <w:tcPr>
            <w:tcW w:w="3436" w:type="dxa"/>
            <w:tcBorders>
              <w:top w:val="single" w:color="auto" w:sz="4" w:space="0"/>
              <w:left w:val="single" w:color="auto" w:sz="4" w:space="0"/>
              <w:right w:val="single" w:color="auto" w:sz="4" w:space="0"/>
            </w:tcBorders>
            <w:vAlign w:val="center"/>
          </w:tcPr>
          <w:p w14:paraId="4F484F2B">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部门本年度实际在职人员数与编制数的比率，用以反映和评价部门对人员成本的控制程度。</w:t>
            </w:r>
          </w:p>
          <w:p w14:paraId="236CCB6A">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在职人员控制率=（在职人员数/编制数）×100%。</w:t>
            </w:r>
          </w:p>
          <w:p w14:paraId="50698CAB">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在职人员数：部门实际在职人数，以财政部确定的部门决算编制口径为准，由编制部门和人劳部门批复同意的临聘人员除外。</w:t>
            </w:r>
          </w:p>
          <w:p w14:paraId="021577F2">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编制数：机构编制部门核定批复的部门人员编制数。</w:t>
            </w:r>
          </w:p>
        </w:tc>
        <w:tc>
          <w:tcPr>
            <w:tcW w:w="2373" w:type="dxa"/>
            <w:tcBorders>
              <w:top w:val="single" w:color="auto" w:sz="4" w:space="0"/>
              <w:left w:val="single" w:color="auto" w:sz="4" w:space="0"/>
              <w:right w:val="single" w:color="auto" w:sz="4" w:space="0"/>
            </w:tcBorders>
            <w:vAlign w:val="center"/>
          </w:tcPr>
          <w:p w14:paraId="4485EDE4">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1.在职人员控制率小于或等于100%的，得满分；</w:t>
            </w:r>
          </w:p>
          <w:p w14:paraId="1EC5162F">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2.在职人员控制率大于或等于115%的，得0分；</w:t>
            </w:r>
          </w:p>
          <w:p w14:paraId="13CEEBDC">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3.在职人员控制率在100%-115%之间的，在0分和满分之间计算确定：</w:t>
            </w:r>
          </w:p>
          <w:p w14:paraId="69D310D4">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得分=[max（在职人员控制率）－某部门在职人员控制率]/[max（在职人员控制率）－min（在职人员控制率）]×该指标分值。</w:t>
            </w:r>
          </w:p>
        </w:tc>
        <w:tc>
          <w:tcPr>
            <w:tcW w:w="764" w:type="dxa"/>
            <w:tcBorders>
              <w:top w:val="single" w:color="auto" w:sz="4" w:space="0"/>
              <w:left w:val="single" w:color="auto" w:sz="4" w:space="0"/>
              <w:bottom w:val="single" w:color="000000" w:sz="4" w:space="0"/>
              <w:right w:val="single" w:color="000000" w:sz="4" w:space="0"/>
            </w:tcBorders>
            <w:vAlign w:val="center"/>
          </w:tcPr>
          <w:p w14:paraId="49EB8F14">
            <w:pPr>
              <w:widowControl/>
              <w:spacing w:line="240" w:lineRule="exact"/>
              <w:jc w:val="left"/>
              <w:rPr>
                <w:szCs w:val="21"/>
              </w:rPr>
            </w:pPr>
            <w:r>
              <w:rPr>
                <w:rFonts w:hint="eastAsia"/>
                <w:szCs w:val="21"/>
              </w:rPr>
              <w:t>1</w:t>
            </w:r>
          </w:p>
        </w:tc>
      </w:tr>
      <w:tr w14:paraId="028C4D8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779" w:type="dxa"/>
            <w:vMerge w:val="restart"/>
            <w:tcBorders>
              <w:top w:val="single" w:color="000000" w:sz="4" w:space="0"/>
              <w:left w:val="single" w:color="000000" w:sz="4" w:space="0"/>
              <w:right w:val="single" w:color="000000" w:sz="4" w:space="0"/>
            </w:tcBorders>
            <w:vAlign w:val="center"/>
          </w:tcPr>
          <w:p w14:paraId="66465768">
            <w:pPr>
              <w:spacing w:line="240" w:lineRule="exact"/>
              <w:rPr>
                <w:rFonts w:ascii="仿宋_GB2312" w:hAnsi="仿宋_GB2312" w:eastAsia="仿宋_GB2312" w:cs="仿宋_GB2312"/>
                <w:szCs w:val="21"/>
              </w:rPr>
            </w:pPr>
          </w:p>
        </w:tc>
        <w:tc>
          <w:tcPr>
            <w:tcW w:w="743" w:type="dxa"/>
            <w:vMerge w:val="continue"/>
            <w:tcBorders>
              <w:left w:val="single" w:color="000000" w:sz="4" w:space="0"/>
              <w:right w:val="single" w:color="000000" w:sz="4" w:space="0"/>
            </w:tcBorders>
            <w:vAlign w:val="center"/>
          </w:tcPr>
          <w:p w14:paraId="40039CF2">
            <w:pPr>
              <w:widowControl/>
              <w:spacing w:line="240" w:lineRule="exact"/>
              <w:jc w:val="left"/>
              <w:rPr>
                <w:rFonts w:ascii="仿宋_GB2312" w:hAnsi="仿宋_GB2312" w:eastAsia="仿宋_GB2312" w:cs="仿宋_GB2312"/>
                <w:kern w:val="0"/>
                <w:szCs w:val="21"/>
                <w:lang w:bidi="ar"/>
              </w:rPr>
            </w:pPr>
          </w:p>
        </w:tc>
        <w:tc>
          <w:tcPr>
            <w:tcW w:w="1275" w:type="dxa"/>
            <w:tcBorders>
              <w:top w:val="single" w:color="auto" w:sz="4" w:space="0"/>
              <w:left w:val="single" w:color="000000" w:sz="4" w:space="0"/>
              <w:right w:val="single" w:color="auto" w:sz="4" w:space="0"/>
            </w:tcBorders>
            <w:vAlign w:val="center"/>
          </w:tcPr>
          <w:p w14:paraId="168F1B5D">
            <w:pPr>
              <w:widowControl/>
              <w:spacing w:line="240" w:lineRule="exact"/>
              <w:jc w:val="left"/>
              <w:textAlignment w:val="center"/>
              <w:rPr>
                <w:rFonts w:ascii="仿宋_GB2312" w:hAnsi="仿宋_GB2312" w:eastAsia="仿宋_GB2312" w:cs="仿宋_GB2312"/>
                <w:kern w:val="0"/>
                <w:szCs w:val="21"/>
                <w:lang w:bidi="ar"/>
              </w:rPr>
            </w:pPr>
            <w:r>
              <w:rPr>
                <w:rFonts w:hint="eastAsia" w:ascii="仿宋_GB2312" w:hAnsi="仿宋_GB2312" w:eastAsia="仿宋_GB2312" w:cs="仿宋_GB2312"/>
                <w:color w:val="000000"/>
                <w:kern w:val="0"/>
                <w:szCs w:val="21"/>
                <w:lang w:bidi="ar"/>
              </w:rPr>
              <w:t>“三公经费”变动率（2分）</w:t>
            </w:r>
          </w:p>
        </w:tc>
        <w:tc>
          <w:tcPr>
            <w:tcW w:w="3436" w:type="dxa"/>
            <w:tcBorders>
              <w:top w:val="single" w:color="auto" w:sz="4" w:space="0"/>
              <w:left w:val="single" w:color="auto" w:sz="4" w:space="0"/>
              <w:right w:val="single" w:color="auto" w:sz="4" w:space="0"/>
            </w:tcBorders>
            <w:vAlign w:val="center"/>
          </w:tcPr>
          <w:p w14:paraId="210A6F83">
            <w:pPr>
              <w:widowControl/>
              <w:spacing w:line="240" w:lineRule="exact"/>
              <w:jc w:val="left"/>
              <w:textAlignment w:val="center"/>
              <w:rPr>
                <w:rFonts w:ascii="仿宋_GB2312" w:hAnsi="仿宋_GB2312" w:eastAsia="仿宋_GB2312" w:cs="仿宋_GB2312"/>
                <w:kern w:val="0"/>
                <w:szCs w:val="21"/>
                <w:lang w:bidi="ar"/>
              </w:rPr>
            </w:pPr>
            <w:r>
              <w:rPr>
                <w:rFonts w:hint="eastAsia" w:ascii="仿宋_GB2312" w:hAnsi="仿宋_GB2312" w:eastAsia="仿宋_GB2312" w:cs="仿宋_GB2312"/>
                <w:color w:val="000000"/>
                <w:kern w:val="0"/>
                <w:szCs w:val="21"/>
                <w:lang w:bidi="ar"/>
              </w:rPr>
              <w:t>部门本年度“三公经费”预算数与上年度“三公经费”预算数的变动比率，用以反映和考核部门对控制重点行政成本的努力程度。“三公经费”变动率=[（本年度“三公经费”总额-上年度“三公经费”总额）/上年度“三公经费”总额]×100%。</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“三公经费”：年度预算安排的因公出国（境）费、公务车辆购置及运行费和公务招待费。</w:t>
            </w:r>
          </w:p>
        </w:tc>
        <w:tc>
          <w:tcPr>
            <w:tcW w:w="2373" w:type="dxa"/>
            <w:tcBorders>
              <w:top w:val="single" w:color="auto" w:sz="4" w:space="0"/>
              <w:left w:val="single" w:color="auto" w:sz="4" w:space="0"/>
              <w:right w:val="single" w:color="auto" w:sz="4" w:space="0"/>
            </w:tcBorders>
            <w:vAlign w:val="center"/>
          </w:tcPr>
          <w:p w14:paraId="05D0BB54">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1.</w:t>
            </w:r>
            <w:r>
              <w:rPr>
                <w:rFonts w:hint="eastAsia" w:ascii="仿宋_GB2312" w:hAnsi="仿宋_GB2312" w:eastAsia="仿宋_GB2312" w:cs="仿宋_GB2312"/>
                <w:color w:val="000000"/>
                <w:kern w:val="0"/>
                <w:szCs w:val="21"/>
                <w:lang w:bidi="ar"/>
              </w:rPr>
              <w:t>“三公经费”变动率</w:t>
            </w:r>
            <w:r>
              <w:rPr>
                <w:rFonts w:hint="eastAsia" w:ascii="仿宋_GB2312" w:hAnsi="仿宋_GB2312" w:eastAsia="仿宋_GB2312" w:cs="仿宋_GB2312"/>
                <w:kern w:val="0"/>
                <w:szCs w:val="21"/>
                <w:lang w:bidi="ar"/>
              </w:rPr>
              <w:t>小于或等于-5%的，得满分；</w:t>
            </w:r>
          </w:p>
          <w:p w14:paraId="26D8C7E4">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2.</w:t>
            </w:r>
            <w:r>
              <w:rPr>
                <w:rFonts w:hint="eastAsia" w:ascii="仿宋_GB2312" w:hAnsi="仿宋_GB2312" w:eastAsia="仿宋_GB2312" w:cs="仿宋_GB2312"/>
                <w:color w:val="000000"/>
                <w:kern w:val="0"/>
                <w:szCs w:val="21"/>
                <w:lang w:bidi="ar"/>
              </w:rPr>
              <w:t>“三公经费”变动率</w:t>
            </w:r>
            <w:r>
              <w:rPr>
                <w:rFonts w:hint="eastAsia" w:ascii="仿宋_GB2312" w:hAnsi="仿宋_GB2312" w:eastAsia="仿宋_GB2312" w:cs="仿宋_GB2312"/>
                <w:kern w:val="0"/>
                <w:szCs w:val="21"/>
                <w:lang w:bidi="ar"/>
              </w:rPr>
              <w:t>大于或等于10%的，得0分；</w:t>
            </w:r>
          </w:p>
          <w:p w14:paraId="6C2F2A2F">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3.在职人员控制率在-5%-10%之间的，在0分和满分之间计算确定：</w:t>
            </w:r>
          </w:p>
          <w:p w14:paraId="125EBE84">
            <w:pPr>
              <w:widowControl/>
              <w:spacing w:line="240" w:lineRule="exact"/>
              <w:jc w:val="left"/>
              <w:textAlignment w:val="center"/>
              <w:rPr>
                <w:rFonts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得分=[max（</w:t>
            </w:r>
            <w:r>
              <w:rPr>
                <w:rFonts w:hint="eastAsia" w:ascii="仿宋_GB2312" w:hAnsi="仿宋_GB2312" w:eastAsia="仿宋_GB2312" w:cs="仿宋_GB2312"/>
                <w:color w:val="000000"/>
                <w:kern w:val="0"/>
                <w:szCs w:val="21"/>
                <w:lang w:bidi="ar"/>
              </w:rPr>
              <w:t>“三公经费”变动率</w:t>
            </w:r>
            <w:r>
              <w:rPr>
                <w:rFonts w:hint="eastAsia" w:ascii="仿宋_GB2312" w:hAnsi="仿宋_GB2312" w:eastAsia="仿宋_GB2312" w:cs="仿宋_GB2312"/>
                <w:kern w:val="0"/>
                <w:szCs w:val="21"/>
                <w:lang w:bidi="ar"/>
              </w:rPr>
              <w:t>）－</w:t>
            </w:r>
            <w:r>
              <w:rPr>
                <w:rFonts w:hint="eastAsia" w:ascii="仿宋_GB2312" w:hAnsi="仿宋_GB2312" w:eastAsia="仿宋_GB2312" w:cs="仿宋_GB2312"/>
                <w:color w:val="000000"/>
                <w:kern w:val="0"/>
                <w:szCs w:val="21"/>
                <w:lang w:bidi="ar"/>
              </w:rPr>
              <w:t>“三公经费”变动率</w:t>
            </w:r>
            <w:r>
              <w:rPr>
                <w:rFonts w:hint="eastAsia" w:ascii="仿宋_GB2312" w:hAnsi="仿宋_GB2312" w:eastAsia="仿宋_GB2312" w:cs="仿宋_GB2312"/>
                <w:kern w:val="0"/>
                <w:szCs w:val="21"/>
                <w:lang w:bidi="ar"/>
              </w:rPr>
              <w:t>]/[max（</w:t>
            </w:r>
            <w:r>
              <w:rPr>
                <w:rFonts w:hint="eastAsia" w:ascii="仿宋_GB2312" w:hAnsi="仿宋_GB2312" w:eastAsia="仿宋_GB2312" w:cs="仿宋_GB2312"/>
                <w:color w:val="000000"/>
                <w:kern w:val="0"/>
                <w:szCs w:val="21"/>
                <w:lang w:bidi="ar"/>
              </w:rPr>
              <w:t>“三公经费”变动率</w:t>
            </w:r>
            <w:r>
              <w:rPr>
                <w:rFonts w:hint="eastAsia" w:ascii="仿宋_GB2312" w:hAnsi="仿宋_GB2312" w:eastAsia="仿宋_GB2312" w:cs="仿宋_GB2312"/>
                <w:kern w:val="0"/>
                <w:szCs w:val="21"/>
                <w:lang w:bidi="ar"/>
              </w:rPr>
              <w:t>）－min（</w:t>
            </w:r>
            <w:r>
              <w:rPr>
                <w:rFonts w:hint="eastAsia" w:ascii="仿宋_GB2312" w:hAnsi="仿宋_GB2312" w:eastAsia="仿宋_GB2312" w:cs="仿宋_GB2312"/>
                <w:color w:val="000000"/>
                <w:kern w:val="0"/>
                <w:szCs w:val="21"/>
                <w:lang w:bidi="ar"/>
              </w:rPr>
              <w:t>“三公经费”变动率</w:t>
            </w:r>
            <w:r>
              <w:rPr>
                <w:rFonts w:hint="eastAsia" w:ascii="仿宋_GB2312" w:hAnsi="仿宋_GB2312" w:eastAsia="仿宋_GB2312" w:cs="仿宋_GB2312"/>
                <w:kern w:val="0"/>
                <w:szCs w:val="21"/>
                <w:lang w:bidi="ar"/>
              </w:rPr>
              <w:t>）]×该指标分值。</w:t>
            </w:r>
          </w:p>
        </w:tc>
        <w:tc>
          <w:tcPr>
            <w:tcW w:w="764" w:type="dxa"/>
            <w:tcBorders>
              <w:top w:val="single" w:color="auto" w:sz="4" w:space="0"/>
              <w:left w:val="single" w:color="auto" w:sz="4" w:space="0"/>
              <w:bottom w:val="single" w:color="000000" w:sz="4" w:space="0"/>
              <w:right w:val="single" w:color="000000" w:sz="4" w:space="0"/>
            </w:tcBorders>
            <w:vAlign w:val="center"/>
          </w:tcPr>
          <w:p w14:paraId="01B74DA0">
            <w:pPr>
              <w:widowControl/>
              <w:spacing w:line="240" w:lineRule="exact"/>
              <w:jc w:val="left"/>
              <w:rPr>
                <w:szCs w:val="21"/>
              </w:rPr>
            </w:pPr>
            <w:r>
              <w:rPr>
                <w:rFonts w:hint="eastAsia"/>
                <w:szCs w:val="21"/>
              </w:rPr>
              <w:t>2</w:t>
            </w:r>
          </w:p>
        </w:tc>
      </w:tr>
      <w:tr w14:paraId="79CE8B2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779" w:type="dxa"/>
            <w:vMerge w:val="continue"/>
            <w:tcBorders>
              <w:left w:val="single" w:color="000000" w:sz="4" w:space="0"/>
              <w:bottom w:val="single" w:color="000000" w:sz="4" w:space="0"/>
              <w:right w:val="single" w:color="000000" w:sz="4" w:space="0"/>
            </w:tcBorders>
            <w:vAlign w:val="center"/>
          </w:tcPr>
          <w:p w14:paraId="371F9E4F">
            <w:pPr>
              <w:spacing w:line="240" w:lineRule="exact"/>
              <w:rPr>
                <w:rFonts w:ascii="仿宋_GB2312" w:hAnsi="仿宋_GB2312" w:eastAsia="仿宋_GB2312" w:cs="仿宋_GB2312"/>
                <w:szCs w:val="21"/>
              </w:rPr>
            </w:pPr>
          </w:p>
        </w:tc>
        <w:tc>
          <w:tcPr>
            <w:tcW w:w="743" w:type="dxa"/>
            <w:vMerge w:val="continue"/>
            <w:tcBorders>
              <w:left w:val="single" w:color="000000" w:sz="4" w:space="0"/>
              <w:bottom w:val="single" w:color="000000" w:sz="4" w:space="0"/>
              <w:right w:val="single" w:color="000000" w:sz="4" w:space="0"/>
            </w:tcBorders>
            <w:vAlign w:val="center"/>
          </w:tcPr>
          <w:p w14:paraId="626D0E14">
            <w:pPr>
              <w:widowControl/>
              <w:spacing w:line="240" w:lineRule="exact"/>
              <w:jc w:val="left"/>
              <w:rPr>
                <w:rFonts w:ascii="仿宋_GB2312" w:hAnsi="仿宋_GB2312" w:eastAsia="仿宋_GB2312" w:cs="仿宋_GB2312"/>
                <w:kern w:val="0"/>
                <w:szCs w:val="21"/>
                <w:lang w:bidi="ar"/>
              </w:rPr>
            </w:pPr>
          </w:p>
        </w:tc>
        <w:tc>
          <w:tcPr>
            <w:tcW w:w="1275" w:type="dxa"/>
            <w:tcBorders>
              <w:top w:val="single" w:color="auto" w:sz="4" w:space="0"/>
              <w:left w:val="single" w:color="000000" w:sz="4" w:space="0"/>
              <w:right w:val="single" w:color="auto" w:sz="4" w:space="0"/>
            </w:tcBorders>
            <w:vAlign w:val="center"/>
          </w:tcPr>
          <w:p w14:paraId="6251FEAC">
            <w:pPr>
              <w:widowControl/>
              <w:spacing w:line="240" w:lineRule="exact"/>
              <w:jc w:val="left"/>
              <w:textAlignment w:val="center"/>
              <w:rPr>
                <w:rFonts w:ascii="仿宋_GB2312" w:hAnsi="仿宋_GB2312" w:eastAsia="仿宋_GB2312" w:cs="仿宋_GB2312"/>
                <w:kern w:val="0"/>
                <w:szCs w:val="21"/>
                <w:lang w:bidi="ar"/>
              </w:rPr>
            </w:pPr>
            <w:r>
              <w:rPr>
                <w:rFonts w:hint="eastAsia" w:ascii="仿宋_GB2312" w:hAnsi="仿宋_GB2312" w:eastAsia="仿宋_GB2312" w:cs="仿宋_GB2312"/>
                <w:color w:val="000000"/>
                <w:kern w:val="0"/>
                <w:szCs w:val="21"/>
                <w:lang w:bidi="ar"/>
              </w:rPr>
              <w:t>重点支出安排率（2分）</w:t>
            </w:r>
          </w:p>
        </w:tc>
        <w:tc>
          <w:tcPr>
            <w:tcW w:w="3436" w:type="dxa"/>
            <w:tcBorders>
              <w:top w:val="single" w:color="auto" w:sz="4" w:space="0"/>
              <w:left w:val="single" w:color="auto" w:sz="4" w:space="0"/>
              <w:right w:val="single" w:color="auto" w:sz="4" w:space="0"/>
            </w:tcBorders>
            <w:vAlign w:val="center"/>
          </w:tcPr>
          <w:p w14:paraId="72D7B01A">
            <w:pPr>
              <w:widowControl/>
              <w:spacing w:line="240" w:lineRule="exact"/>
              <w:jc w:val="left"/>
              <w:textAlignment w:val="center"/>
              <w:rPr>
                <w:rFonts w:ascii="仿宋_GB2312" w:hAnsi="仿宋_GB2312" w:eastAsia="仿宋_GB2312" w:cs="仿宋_GB2312"/>
                <w:kern w:val="0"/>
                <w:szCs w:val="21"/>
                <w:lang w:bidi="ar"/>
              </w:rPr>
            </w:pPr>
            <w:r>
              <w:rPr>
                <w:rFonts w:hint="eastAsia" w:ascii="仿宋_GB2312" w:hAnsi="仿宋_GB2312" w:eastAsia="仿宋_GB2312" w:cs="仿宋_GB2312"/>
                <w:color w:val="000000"/>
                <w:kern w:val="0"/>
                <w:szCs w:val="21"/>
                <w:lang w:bidi="ar"/>
              </w:rPr>
              <w:t>部门本年度预算安排的重点项目支出与部门项目总支出的比率，用以反映和考核部门对履行主要职责或完成重点任务的保障程度。重点支出安排率=（重点项目支出/项目总支出）×100%。</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重点项目支出：部门（单位）年度预算安排的，与本部门履职和发展密切相关、具有明显社会和经济影响、党委政府关心或社会比较关注的项目支出总额。</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项目总支出：部门（单位）年度预算安排的项目支出总额。</w:t>
            </w:r>
          </w:p>
        </w:tc>
        <w:tc>
          <w:tcPr>
            <w:tcW w:w="2373" w:type="dxa"/>
            <w:tcBorders>
              <w:top w:val="single" w:color="auto" w:sz="4" w:space="0"/>
              <w:left w:val="single" w:color="auto" w:sz="4" w:space="0"/>
              <w:right w:val="single" w:color="auto" w:sz="4" w:space="0"/>
            </w:tcBorders>
            <w:vAlign w:val="center"/>
          </w:tcPr>
          <w:p w14:paraId="61FE6C2A">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1.</w:t>
            </w:r>
            <w:r>
              <w:rPr>
                <w:rFonts w:hint="eastAsia" w:ascii="仿宋_GB2312" w:hAnsi="仿宋_GB2312" w:eastAsia="仿宋_GB2312" w:cs="仿宋_GB2312"/>
                <w:color w:val="000000"/>
                <w:kern w:val="0"/>
                <w:szCs w:val="21"/>
                <w:lang w:bidi="ar"/>
              </w:rPr>
              <w:t>重点支出安排率</w:t>
            </w:r>
            <w:r>
              <w:rPr>
                <w:rFonts w:hint="eastAsia" w:ascii="仿宋_GB2312" w:hAnsi="仿宋_GB2312" w:eastAsia="仿宋_GB2312" w:cs="仿宋_GB2312"/>
                <w:kern w:val="0"/>
                <w:szCs w:val="21"/>
                <w:lang w:bidi="ar"/>
              </w:rPr>
              <w:t>大于或等于95%的，得满分；</w:t>
            </w:r>
          </w:p>
          <w:p w14:paraId="4CFE5FA7">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2.</w:t>
            </w:r>
            <w:r>
              <w:rPr>
                <w:rFonts w:hint="eastAsia" w:ascii="仿宋_GB2312" w:hAnsi="仿宋_GB2312" w:eastAsia="仿宋_GB2312" w:cs="仿宋_GB2312"/>
                <w:color w:val="000000"/>
                <w:kern w:val="0"/>
                <w:szCs w:val="21"/>
                <w:lang w:bidi="ar"/>
              </w:rPr>
              <w:t>重点支出安排率</w:t>
            </w:r>
            <w:r>
              <w:rPr>
                <w:rFonts w:hint="eastAsia" w:ascii="仿宋_GB2312" w:hAnsi="仿宋_GB2312" w:eastAsia="仿宋_GB2312" w:cs="仿宋_GB2312"/>
                <w:kern w:val="0"/>
                <w:szCs w:val="21"/>
                <w:lang w:bidi="ar"/>
              </w:rPr>
              <w:t>小于或等于85%的，得0分；</w:t>
            </w:r>
          </w:p>
          <w:p w14:paraId="66643456">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3.</w:t>
            </w:r>
            <w:r>
              <w:rPr>
                <w:rFonts w:hint="eastAsia" w:ascii="仿宋_GB2312" w:hAnsi="仿宋_GB2312" w:eastAsia="仿宋_GB2312" w:cs="仿宋_GB2312"/>
                <w:color w:val="000000"/>
                <w:kern w:val="0"/>
                <w:szCs w:val="21"/>
                <w:lang w:bidi="ar"/>
              </w:rPr>
              <w:t>重点支出安排率</w:t>
            </w:r>
            <w:r>
              <w:rPr>
                <w:rFonts w:hint="eastAsia" w:ascii="仿宋_GB2312" w:hAnsi="仿宋_GB2312" w:eastAsia="仿宋_GB2312" w:cs="仿宋_GB2312"/>
                <w:kern w:val="0"/>
                <w:szCs w:val="21"/>
                <w:lang w:bidi="ar"/>
              </w:rPr>
              <w:t>在85%-95%之间的，在0分和满分之间计算确定：</w:t>
            </w:r>
          </w:p>
          <w:p w14:paraId="2D0ED0A2">
            <w:pPr>
              <w:widowControl/>
              <w:spacing w:line="240" w:lineRule="exact"/>
              <w:jc w:val="left"/>
              <w:textAlignment w:val="center"/>
              <w:rPr>
                <w:rFonts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得分=[某部门</w:t>
            </w:r>
            <w:r>
              <w:rPr>
                <w:rFonts w:hint="eastAsia" w:ascii="仿宋_GB2312" w:hAnsi="仿宋_GB2312" w:eastAsia="仿宋_GB2312" w:cs="仿宋_GB2312"/>
                <w:color w:val="000000"/>
                <w:kern w:val="0"/>
                <w:szCs w:val="21"/>
                <w:lang w:bidi="ar"/>
              </w:rPr>
              <w:t>重点支出安排率</w:t>
            </w:r>
            <w:r>
              <w:rPr>
                <w:rFonts w:hint="eastAsia" w:ascii="仿宋_GB2312" w:hAnsi="仿宋_GB2312" w:eastAsia="仿宋_GB2312" w:cs="仿宋_GB2312"/>
                <w:kern w:val="0"/>
                <w:szCs w:val="21"/>
                <w:lang w:bidi="ar"/>
              </w:rPr>
              <w:t>-min（</w:t>
            </w:r>
            <w:r>
              <w:rPr>
                <w:rFonts w:hint="eastAsia" w:ascii="仿宋_GB2312" w:hAnsi="仿宋_GB2312" w:eastAsia="仿宋_GB2312" w:cs="仿宋_GB2312"/>
                <w:color w:val="000000"/>
                <w:kern w:val="0"/>
                <w:szCs w:val="21"/>
                <w:lang w:bidi="ar"/>
              </w:rPr>
              <w:t>重点支出安排率</w:t>
            </w:r>
            <w:r>
              <w:rPr>
                <w:rFonts w:hint="eastAsia" w:ascii="仿宋_GB2312" w:hAnsi="仿宋_GB2312" w:eastAsia="仿宋_GB2312" w:cs="仿宋_GB2312"/>
                <w:kern w:val="0"/>
                <w:szCs w:val="21"/>
                <w:lang w:bidi="ar"/>
              </w:rPr>
              <w:t>）]/[max（</w:t>
            </w:r>
            <w:r>
              <w:rPr>
                <w:rFonts w:hint="eastAsia" w:ascii="仿宋_GB2312" w:hAnsi="仿宋_GB2312" w:eastAsia="仿宋_GB2312" w:cs="仿宋_GB2312"/>
                <w:color w:val="000000"/>
                <w:kern w:val="0"/>
                <w:szCs w:val="21"/>
                <w:lang w:bidi="ar"/>
              </w:rPr>
              <w:t>重点支出安排率</w:t>
            </w:r>
            <w:r>
              <w:rPr>
                <w:rFonts w:hint="eastAsia" w:ascii="仿宋_GB2312" w:hAnsi="仿宋_GB2312" w:eastAsia="仿宋_GB2312" w:cs="仿宋_GB2312"/>
                <w:kern w:val="0"/>
                <w:szCs w:val="21"/>
                <w:lang w:bidi="ar"/>
              </w:rPr>
              <w:t>）－min（</w:t>
            </w:r>
            <w:r>
              <w:rPr>
                <w:rFonts w:hint="eastAsia" w:ascii="仿宋_GB2312" w:hAnsi="仿宋_GB2312" w:eastAsia="仿宋_GB2312" w:cs="仿宋_GB2312"/>
                <w:color w:val="000000"/>
                <w:kern w:val="0"/>
                <w:szCs w:val="21"/>
                <w:lang w:bidi="ar"/>
              </w:rPr>
              <w:t>重点支出安排率</w:t>
            </w:r>
            <w:r>
              <w:rPr>
                <w:rFonts w:hint="eastAsia" w:ascii="仿宋_GB2312" w:hAnsi="仿宋_GB2312" w:eastAsia="仿宋_GB2312" w:cs="仿宋_GB2312"/>
                <w:kern w:val="0"/>
                <w:szCs w:val="21"/>
                <w:lang w:bidi="ar"/>
              </w:rPr>
              <w:t>）]×该指标分值。</w:t>
            </w:r>
          </w:p>
        </w:tc>
        <w:tc>
          <w:tcPr>
            <w:tcW w:w="764" w:type="dxa"/>
            <w:tcBorders>
              <w:top w:val="single" w:color="auto" w:sz="4" w:space="0"/>
              <w:left w:val="single" w:color="auto" w:sz="4" w:space="0"/>
              <w:bottom w:val="single" w:color="000000" w:sz="4" w:space="0"/>
              <w:right w:val="single" w:color="000000" w:sz="4" w:space="0"/>
            </w:tcBorders>
            <w:vAlign w:val="center"/>
          </w:tcPr>
          <w:p w14:paraId="7705DDC0">
            <w:pPr>
              <w:widowControl/>
              <w:spacing w:line="240" w:lineRule="exact"/>
              <w:jc w:val="left"/>
              <w:rPr>
                <w:szCs w:val="21"/>
              </w:rPr>
            </w:pPr>
            <w:r>
              <w:rPr>
                <w:rFonts w:hint="eastAsia"/>
                <w:szCs w:val="21"/>
              </w:rPr>
              <w:t>2</w:t>
            </w:r>
          </w:p>
        </w:tc>
      </w:tr>
      <w:tr w14:paraId="3E2CACB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14:paraId="73F9F083">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过程(45分)</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14:paraId="58BB4B41">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预算执行情况(25分)</w:t>
            </w:r>
          </w:p>
        </w:tc>
        <w:tc>
          <w:tcPr>
            <w:tcW w:w="1275" w:type="dxa"/>
            <w:tcBorders>
              <w:top w:val="single" w:color="000000" w:sz="4" w:space="0"/>
              <w:left w:val="single" w:color="000000" w:sz="4" w:space="0"/>
              <w:bottom w:val="single" w:color="000000" w:sz="4" w:space="0"/>
              <w:right w:val="single" w:color="auto" w:sz="4" w:space="0"/>
            </w:tcBorders>
            <w:vAlign w:val="center"/>
          </w:tcPr>
          <w:p w14:paraId="746ACAEC">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预算完成率（5分）</w:t>
            </w:r>
          </w:p>
        </w:tc>
        <w:tc>
          <w:tcPr>
            <w:tcW w:w="3436" w:type="dxa"/>
            <w:tcBorders>
              <w:top w:val="single" w:color="000000" w:sz="4" w:space="0"/>
              <w:left w:val="single" w:color="auto" w:sz="4" w:space="0"/>
              <w:bottom w:val="single" w:color="000000" w:sz="4" w:space="0"/>
              <w:right w:val="single" w:color="auto" w:sz="4" w:space="0"/>
            </w:tcBorders>
            <w:vAlign w:val="center"/>
          </w:tcPr>
          <w:p w14:paraId="46B35181">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通过对部门本年度预算完成数与预算数的比较，反映和评价部门预算的完成程度。</w:t>
            </w:r>
          </w:p>
          <w:p w14:paraId="58DCF503">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预算完成率=（预算完成数/预算数）×100%。</w:t>
            </w:r>
          </w:p>
        </w:tc>
        <w:tc>
          <w:tcPr>
            <w:tcW w:w="2373" w:type="dxa"/>
            <w:tcBorders>
              <w:top w:val="single" w:color="000000" w:sz="4" w:space="0"/>
              <w:left w:val="single" w:color="auto" w:sz="4" w:space="0"/>
              <w:bottom w:val="single" w:color="000000" w:sz="4" w:space="0"/>
              <w:right w:val="single" w:color="auto" w:sz="4" w:space="0"/>
            </w:tcBorders>
            <w:vAlign w:val="center"/>
          </w:tcPr>
          <w:p w14:paraId="3B79206D">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1.预算完成率大于或等于95%的，得满分；</w:t>
            </w:r>
          </w:p>
          <w:p w14:paraId="3484A8E9">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2.预算完成率小于或等于85%的，得0分；</w:t>
            </w:r>
          </w:p>
          <w:p w14:paraId="76E19832">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3.预算完成率在85%-95%之间的，在0分和满分之间计算确定：</w:t>
            </w:r>
          </w:p>
          <w:p w14:paraId="0114B44B">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得分=[某部门预算完成率-min（预算完成率）]/[max（预算完成率）－min（预算完成率）]×该指标分值。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14:paraId="327AED09">
            <w:pPr>
              <w:widowControl/>
              <w:spacing w:line="240" w:lineRule="exact"/>
              <w:jc w:val="left"/>
              <w:rPr>
                <w:szCs w:val="21"/>
              </w:rPr>
            </w:pPr>
            <w:r>
              <w:rPr>
                <w:rFonts w:hint="eastAsia"/>
                <w:szCs w:val="21"/>
              </w:rPr>
              <w:t>5</w:t>
            </w:r>
          </w:p>
        </w:tc>
      </w:tr>
      <w:tr w14:paraId="6E8FF9F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469FC5E7">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50FA16BC">
            <w:pPr>
              <w:spacing w:line="240" w:lineRule="exact"/>
              <w:rPr>
                <w:rFonts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01FFEEFE">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预算调整率（3分）</w:t>
            </w:r>
          </w:p>
        </w:tc>
        <w:tc>
          <w:tcPr>
            <w:tcW w:w="3436" w:type="dxa"/>
            <w:tcBorders>
              <w:top w:val="single" w:color="000000" w:sz="4" w:space="0"/>
              <w:left w:val="single" w:color="auto" w:sz="4" w:space="0"/>
              <w:bottom w:val="single" w:color="000000" w:sz="4" w:space="0"/>
              <w:right w:val="single" w:color="auto" w:sz="4" w:space="0"/>
            </w:tcBorders>
            <w:vAlign w:val="center"/>
          </w:tcPr>
          <w:p w14:paraId="6AB59B9A">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部门本年度预算调整数与预算数的比率，用以反映和评价部门预算的调整程度。</w:t>
            </w:r>
          </w:p>
          <w:p w14:paraId="1F5BF098">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预算调整率=（预算调整数/预算数）×100%。</w:t>
            </w:r>
          </w:p>
        </w:tc>
        <w:tc>
          <w:tcPr>
            <w:tcW w:w="2373" w:type="dxa"/>
            <w:tcBorders>
              <w:top w:val="single" w:color="000000" w:sz="4" w:space="0"/>
              <w:left w:val="single" w:color="auto" w:sz="4" w:space="0"/>
              <w:bottom w:val="single" w:color="000000" w:sz="4" w:space="0"/>
              <w:right w:val="single" w:color="auto" w:sz="4" w:space="0"/>
            </w:tcBorders>
            <w:vAlign w:val="center"/>
          </w:tcPr>
          <w:p w14:paraId="2540F12A">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 xml:space="preserve">1.预算调整率等于0的，得满分； </w:t>
            </w:r>
          </w:p>
          <w:p w14:paraId="0FA650A7">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2.预算调整率大于或等于10%的，得0分；</w:t>
            </w:r>
          </w:p>
          <w:p w14:paraId="3AEE35BD">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3.预算调整率在0-10%之间的，在0分和满分之间确定：</w:t>
            </w:r>
          </w:p>
          <w:p w14:paraId="1E202193">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得分=［max（预算调整率）-某部门预算调整率］/［max（预算调整率）-min（预算调整率）］×该指标分值。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14:paraId="2F7D7351">
            <w:pPr>
              <w:widowControl/>
              <w:spacing w:line="240" w:lineRule="exact"/>
              <w:jc w:val="left"/>
              <w:rPr>
                <w:szCs w:val="21"/>
              </w:rPr>
            </w:pPr>
            <w:r>
              <w:rPr>
                <w:rFonts w:hint="eastAsia"/>
                <w:szCs w:val="21"/>
              </w:rPr>
              <w:t>3</w:t>
            </w:r>
          </w:p>
        </w:tc>
      </w:tr>
      <w:tr w14:paraId="5924106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84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11E5F66E">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29EEFA4A">
            <w:pPr>
              <w:spacing w:line="240" w:lineRule="exact"/>
              <w:rPr>
                <w:rFonts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2CD1C535">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color w:val="000000"/>
                <w:kern w:val="0"/>
                <w:szCs w:val="21"/>
                <w:lang w:bidi="ar"/>
              </w:rPr>
              <w:t>支付进度率</w:t>
            </w:r>
            <w:r>
              <w:rPr>
                <w:rFonts w:hint="eastAsia" w:ascii="仿宋_GB2312" w:hAnsi="仿宋_GB2312" w:eastAsia="仿宋_GB2312" w:cs="仿宋_GB2312"/>
                <w:kern w:val="0"/>
                <w:szCs w:val="21"/>
                <w:lang w:bidi="ar"/>
              </w:rPr>
              <w:t>（5分）</w:t>
            </w:r>
          </w:p>
        </w:tc>
        <w:tc>
          <w:tcPr>
            <w:tcW w:w="3436" w:type="dxa"/>
            <w:tcBorders>
              <w:top w:val="single" w:color="000000" w:sz="4" w:space="0"/>
              <w:left w:val="single" w:color="auto" w:sz="4" w:space="0"/>
              <w:bottom w:val="single" w:color="000000" w:sz="4" w:space="0"/>
              <w:right w:val="single" w:color="auto" w:sz="4" w:space="0"/>
            </w:tcBorders>
            <w:vAlign w:val="center"/>
          </w:tcPr>
          <w:p w14:paraId="6443E453">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部门年度支付数与年度任务数的比率，用以反映和评价部门预算执行的及时和均衡程度。</w:t>
            </w:r>
          </w:p>
          <w:p w14:paraId="2E091867">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支付进度率=（年度支付数/年度任务数）×100%。</w:t>
            </w:r>
          </w:p>
        </w:tc>
        <w:tc>
          <w:tcPr>
            <w:tcW w:w="2373" w:type="dxa"/>
            <w:tcBorders>
              <w:top w:val="single" w:color="000000" w:sz="4" w:space="0"/>
              <w:left w:val="single" w:color="auto" w:sz="4" w:space="0"/>
              <w:bottom w:val="single" w:color="000000" w:sz="4" w:space="0"/>
              <w:right w:val="single" w:color="auto" w:sz="4" w:space="0"/>
            </w:tcBorders>
            <w:vAlign w:val="center"/>
          </w:tcPr>
          <w:p w14:paraId="2CB8582B">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按年度的执行情况进行打分。得分=年度支付数/年度任务数×该指标分值。</w:t>
            </w:r>
          </w:p>
          <w:p w14:paraId="6FB8C27B">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p>
        </w:tc>
        <w:tc>
          <w:tcPr>
            <w:tcW w:w="764" w:type="dxa"/>
            <w:tcBorders>
              <w:top w:val="single" w:color="000000" w:sz="4" w:space="0"/>
              <w:left w:val="single" w:color="auto" w:sz="4" w:space="0"/>
              <w:bottom w:val="single" w:color="000000" w:sz="4" w:space="0"/>
              <w:right w:val="single" w:color="000000" w:sz="4" w:space="0"/>
            </w:tcBorders>
            <w:vAlign w:val="center"/>
          </w:tcPr>
          <w:p w14:paraId="6CD98296">
            <w:pPr>
              <w:widowControl/>
              <w:spacing w:line="240" w:lineRule="exact"/>
              <w:jc w:val="left"/>
              <w:rPr>
                <w:szCs w:val="21"/>
              </w:rPr>
            </w:pPr>
            <w:r>
              <w:rPr>
                <w:rFonts w:hint="eastAsia"/>
                <w:szCs w:val="21"/>
              </w:rPr>
              <w:t>4</w:t>
            </w:r>
          </w:p>
        </w:tc>
      </w:tr>
      <w:tr w14:paraId="342788F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7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27D789AD">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57D3AADA">
            <w:pPr>
              <w:spacing w:line="240" w:lineRule="exact"/>
              <w:rPr>
                <w:rFonts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63B9E70F">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结转结余率（4分）</w:t>
            </w:r>
          </w:p>
        </w:tc>
        <w:tc>
          <w:tcPr>
            <w:tcW w:w="3436" w:type="dxa"/>
            <w:tcBorders>
              <w:top w:val="single" w:color="000000" w:sz="4" w:space="0"/>
              <w:left w:val="single" w:color="auto" w:sz="4" w:space="0"/>
              <w:bottom w:val="single" w:color="000000" w:sz="4" w:space="0"/>
              <w:right w:val="single" w:color="auto" w:sz="4" w:space="0"/>
            </w:tcBorders>
            <w:vAlign w:val="center"/>
          </w:tcPr>
          <w:p w14:paraId="77C90DEA">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通过对部门本年度结转结余总额与支出预算数的比较，反映和评价部门对本年度结转结余资金的实际控制程度。</w:t>
            </w:r>
          </w:p>
          <w:p w14:paraId="56871F28">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结转结余率=（结转结余总额/支出预算数）×100%。</w:t>
            </w:r>
          </w:p>
        </w:tc>
        <w:tc>
          <w:tcPr>
            <w:tcW w:w="2373" w:type="dxa"/>
            <w:tcBorders>
              <w:top w:val="single" w:color="000000" w:sz="4" w:space="0"/>
              <w:left w:val="single" w:color="auto" w:sz="4" w:space="0"/>
              <w:bottom w:val="single" w:color="000000" w:sz="4" w:space="0"/>
              <w:right w:val="single" w:color="auto" w:sz="4" w:space="0"/>
            </w:tcBorders>
            <w:vAlign w:val="center"/>
          </w:tcPr>
          <w:p w14:paraId="257B844C">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1.结转结余率等于0的，得满分；</w:t>
            </w:r>
          </w:p>
          <w:p w14:paraId="5C1D5E59">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2.结转结余率大于或等于50%的，得0分；</w:t>
            </w:r>
          </w:p>
          <w:p w14:paraId="72F9CCBA">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3.结转结余率在0-50%之间的，在0和满分之间计算确定：</w:t>
            </w:r>
          </w:p>
          <w:p w14:paraId="613CDB68">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得分=[max（结转结余率）－某部门结转结余率]/[max（结转结余率）－min（结转结余率）]×该指标分值。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14:paraId="2E5E6827">
            <w:pPr>
              <w:widowControl/>
              <w:spacing w:line="240" w:lineRule="exact"/>
              <w:jc w:val="left"/>
              <w:rPr>
                <w:szCs w:val="21"/>
              </w:rPr>
            </w:pPr>
            <w:r>
              <w:rPr>
                <w:rFonts w:hint="eastAsia"/>
                <w:szCs w:val="21"/>
              </w:rPr>
              <w:t>3</w:t>
            </w:r>
          </w:p>
        </w:tc>
      </w:tr>
      <w:tr w14:paraId="7DA9968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10"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6EADBCE9">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0A5E79F2">
            <w:pPr>
              <w:spacing w:line="240" w:lineRule="exact"/>
              <w:rPr>
                <w:rFonts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10A7E3DE">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公用经费控制率（4分）</w:t>
            </w:r>
          </w:p>
        </w:tc>
        <w:tc>
          <w:tcPr>
            <w:tcW w:w="3436" w:type="dxa"/>
            <w:tcBorders>
              <w:top w:val="single" w:color="000000" w:sz="4" w:space="0"/>
              <w:left w:val="single" w:color="auto" w:sz="4" w:space="0"/>
              <w:bottom w:val="single" w:color="000000" w:sz="4" w:space="0"/>
              <w:right w:val="single" w:color="auto" w:sz="4" w:space="0"/>
            </w:tcBorders>
            <w:vAlign w:val="center"/>
          </w:tcPr>
          <w:p w14:paraId="758CEB6E">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通过对部门本年度实际支出的公用经费总额与预算安排的公用经费总额的比率，反映和评价部门对机构运转成本的实际控制程度。</w:t>
            </w:r>
          </w:p>
          <w:p w14:paraId="3BA14CBD">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公用经费控制率=（实际支出公用经费总额/预算安排公用经费总额）×100%。</w:t>
            </w:r>
          </w:p>
        </w:tc>
        <w:tc>
          <w:tcPr>
            <w:tcW w:w="2373" w:type="dxa"/>
            <w:tcBorders>
              <w:top w:val="single" w:color="000000" w:sz="4" w:space="0"/>
              <w:left w:val="single" w:color="auto" w:sz="4" w:space="0"/>
              <w:bottom w:val="single" w:color="000000" w:sz="4" w:space="0"/>
              <w:right w:val="single" w:color="auto" w:sz="4" w:space="0"/>
            </w:tcBorders>
            <w:vAlign w:val="center"/>
          </w:tcPr>
          <w:p w14:paraId="355AE589">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1.公用经费控制率小于或等于100%的，得满分；</w:t>
            </w:r>
          </w:p>
          <w:p w14:paraId="632102EF">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2.公用经费控制率大于或等于105%的，得0分；</w:t>
            </w:r>
          </w:p>
          <w:p w14:paraId="67D12841">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3.公用经费控制率在100%-105%之间的，在0和满分之间计算确定：</w:t>
            </w:r>
          </w:p>
          <w:p w14:paraId="2E456589">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得分=［max（公用经费控制率）-某部门公用经费控制率］/［max（公用经费控制率）-min（公用经费控制率）］×该指标分值。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14:paraId="7FC8C221">
            <w:pPr>
              <w:widowControl/>
              <w:spacing w:line="240" w:lineRule="exact"/>
              <w:jc w:val="left"/>
              <w:rPr>
                <w:szCs w:val="21"/>
              </w:rPr>
            </w:pPr>
            <w:r>
              <w:rPr>
                <w:rFonts w:hint="eastAsia"/>
                <w:szCs w:val="21"/>
              </w:rPr>
              <w:t>4</w:t>
            </w:r>
          </w:p>
        </w:tc>
      </w:tr>
      <w:tr w14:paraId="61541C7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00"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30C30FA8">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52B9A410">
            <w:pPr>
              <w:spacing w:line="240" w:lineRule="exact"/>
              <w:rPr>
                <w:rFonts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26DCF256">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政府采购执行率（4分）</w:t>
            </w:r>
          </w:p>
        </w:tc>
        <w:tc>
          <w:tcPr>
            <w:tcW w:w="3436" w:type="dxa"/>
            <w:tcBorders>
              <w:top w:val="single" w:color="000000" w:sz="4" w:space="0"/>
              <w:left w:val="single" w:color="auto" w:sz="4" w:space="0"/>
              <w:bottom w:val="single" w:color="000000" w:sz="4" w:space="0"/>
              <w:right w:val="single" w:color="auto" w:sz="4" w:space="0"/>
            </w:tcBorders>
            <w:vAlign w:val="center"/>
          </w:tcPr>
          <w:p w14:paraId="30212E64">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通过对部门本年度实际政府采购预算项目个数与政府采购预算项目个数的比较，反映和评价部门政府采购预算执行情况。</w:t>
            </w:r>
          </w:p>
          <w:p w14:paraId="7A6571EB">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政府采购执行率=（实际政府采购预算项目个数/政府采购预算项目个数）×100%。</w:t>
            </w:r>
          </w:p>
          <w:p w14:paraId="4198225E">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政府采购项目中非预算内安排的项目除外。</w:t>
            </w:r>
          </w:p>
        </w:tc>
        <w:tc>
          <w:tcPr>
            <w:tcW w:w="2373" w:type="dxa"/>
            <w:tcBorders>
              <w:top w:val="single" w:color="000000" w:sz="4" w:space="0"/>
              <w:left w:val="single" w:color="auto" w:sz="4" w:space="0"/>
              <w:bottom w:val="single" w:color="000000" w:sz="4" w:space="0"/>
              <w:right w:val="single" w:color="auto" w:sz="4" w:space="0"/>
            </w:tcBorders>
            <w:vAlign w:val="center"/>
          </w:tcPr>
          <w:p w14:paraId="69CD3AF4">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1.政府采购执行率等于100%的，得满分；</w:t>
            </w:r>
          </w:p>
          <w:p w14:paraId="19D32C31">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2.政府采购执行率小于或等于90%的，0分；</w:t>
            </w:r>
          </w:p>
          <w:p w14:paraId="3B187345">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3.政府采购执行率在90%-100%之间的，在0和满分之间计算确定：</w:t>
            </w:r>
          </w:p>
          <w:p w14:paraId="353787AB">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得分=［某部门政府采购执行率-min（政府采购执行率）］/［max（政府采购执行率）-min（政府采购执行率）］×该指标分值。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14:paraId="0FB5D194">
            <w:pPr>
              <w:widowControl/>
              <w:spacing w:line="240" w:lineRule="exact"/>
              <w:jc w:val="left"/>
              <w:rPr>
                <w:szCs w:val="21"/>
              </w:rPr>
            </w:pPr>
            <w:r>
              <w:rPr>
                <w:rFonts w:hint="eastAsia"/>
                <w:szCs w:val="21"/>
              </w:rPr>
              <w:t>4</w:t>
            </w:r>
          </w:p>
        </w:tc>
      </w:tr>
      <w:tr w14:paraId="2332AE4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3ED0EFFA">
            <w:pPr>
              <w:spacing w:line="240" w:lineRule="exact"/>
              <w:rPr>
                <w:rFonts w:ascii="仿宋_GB2312" w:hAnsi="仿宋_GB2312" w:eastAsia="仿宋_GB2312" w:cs="仿宋_GB2312"/>
                <w:szCs w:val="21"/>
              </w:rPr>
            </w:pP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14:paraId="25BCACDA">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预算管理情况</w:t>
            </w:r>
          </w:p>
          <w:p w14:paraId="5F893100">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（15）</w:t>
            </w:r>
          </w:p>
        </w:tc>
        <w:tc>
          <w:tcPr>
            <w:tcW w:w="1275" w:type="dxa"/>
            <w:tcBorders>
              <w:top w:val="single" w:color="000000" w:sz="4" w:space="0"/>
              <w:left w:val="single" w:color="000000" w:sz="4" w:space="0"/>
              <w:bottom w:val="single" w:color="000000" w:sz="4" w:space="0"/>
              <w:right w:val="single" w:color="auto" w:sz="4" w:space="0"/>
            </w:tcBorders>
            <w:vAlign w:val="center"/>
          </w:tcPr>
          <w:p w14:paraId="02400097">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资金使用合规性（8分）</w:t>
            </w:r>
          </w:p>
        </w:tc>
        <w:tc>
          <w:tcPr>
            <w:tcW w:w="3436" w:type="dxa"/>
            <w:tcBorders>
              <w:top w:val="single" w:color="000000" w:sz="4" w:space="0"/>
              <w:left w:val="single" w:color="auto" w:sz="4" w:space="0"/>
              <w:bottom w:val="single" w:color="000000" w:sz="4" w:space="0"/>
              <w:right w:val="single" w:color="auto" w:sz="4" w:space="0"/>
            </w:tcBorders>
            <w:vAlign w:val="center"/>
          </w:tcPr>
          <w:p w14:paraId="18DC865B">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部门使用预算资金是否符合相关的预算财务管理制度的规定，反映和评价部门预算资金的规范运行情况。</w:t>
            </w:r>
          </w:p>
          <w:p w14:paraId="2E302803">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评价要点：</w:t>
            </w:r>
          </w:p>
          <w:p w14:paraId="4E96DC51">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1.符合国家财经法规和财务管理制度规定以及有关部门资金管理办法的规定；</w:t>
            </w:r>
          </w:p>
          <w:p w14:paraId="6C2EF11F">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2.资金的拨付有完整的审批过程和手续；</w:t>
            </w:r>
          </w:p>
          <w:p w14:paraId="067B81C0">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3.项目的重大开支经过评估论证；</w:t>
            </w:r>
          </w:p>
          <w:p w14:paraId="72E89B26">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4.符合部门预算批复的用途；</w:t>
            </w:r>
          </w:p>
          <w:p w14:paraId="2068B604">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5.不存在截留情况；</w:t>
            </w:r>
          </w:p>
          <w:p w14:paraId="27FD4361">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6.不存在挤占情况；</w:t>
            </w:r>
          </w:p>
          <w:p w14:paraId="36E93EB7">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7.不存在挪用情况；</w:t>
            </w:r>
          </w:p>
          <w:p w14:paraId="60044463">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8.不存在虚列支出情况。</w:t>
            </w:r>
          </w:p>
        </w:tc>
        <w:tc>
          <w:tcPr>
            <w:tcW w:w="2373" w:type="dxa"/>
            <w:tcBorders>
              <w:top w:val="single" w:color="000000" w:sz="4" w:space="0"/>
              <w:left w:val="single" w:color="auto" w:sz="4" w:space="0"/>
              <w:bottom w:val="single" w:color="000000" w:sz="4" w:space="0"/>
              <w:right w:val="single" w:color="auto" w:sz="4" w:space="0"/>
            </w:tcBorders>
            <w:vAlign w:val="center"/>
          </w:tcPr>
          <w:p w14:paraId="3297D4F0">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全部符合（8）；</w:t>
            </w:r>
          </w:p>
          <w:p w14:paraId="658B0723">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符合其中七项（6）；</w:t>
            </w:r>
          </w:p>
          <w:p w14:paraId="3C3779E4">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符合其中六项（4）；</w:t>
            </w:r>
          </w:p>
          <w:p w14:paraId="5E38AD0D">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符合其中五项（2）；</w:t>
            </w:r>
          </w:p>
          <w:p w14:paraId="03E143B4">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符合其中四项及以下（0）。</w:t>
            </w:r>
          </w:p>
        </w:tc>
        <w:tc>
          <w:tcPr>
            <w:tcW w:w="764" w:type="dxa"/>
            <w:tcBorders>
              <w:top w:val="single" w:color="000000" w:sz="4" w:space="0"/>
              <w:left w:val="single" w:color="auto" w:sz="4" w:space="0"/>
              <w:bottom w:val="single" w:color="000000" w:sz="4" w:space="0"/>
              <w:right w:val="single" w:color="000000" w:sz="4" w:space="0"/>
            </w:tcBorders>
            <w:vAlign w:val="center"/>
          </w:tcPr>
          <w:p w14:paraId="75AED4C3">
            <w:pPr>
              <w:widowControl/>
              <w:spacing w:line="240" w:lineRule="exact"/>
              <w:jc w:val="left"/>
              <w:rPr>
                <w:szCs w:val="21"/>
              </w:rPr>
            </w:pPr>
            <w:r>
              <w:rPr>
                <w:rFonts w:hint="eastAsia"/>
                <w:szCs w:val="21"/>
              </w:rPr>
              <w:t>8</w:t>
            </w:r>
          </w:p>
        </w:tc>
      </w:tr>
      <w:tr w14:paraId="1524173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0FC218E6">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76B1FDFE">
            <w:pPr>
              <w:spacing w:line="240" w:lineRule="exact"/>
              <w:rPr>
                <w:rFonts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7C298826">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预决算信息公开性（3分）</w:t>
            </w:r>
          </w:p>
        </w:tc>
        <w:tc>
          <w:tcPr>
            <w:tcW w:w="3436" w:type="dxa"/>
            <w:tcBorders>
              <w:top w:val="single" w:color="000000" w:sz="4" w:space="0"/>
              <w:left w:val="single" w:color="auto" w:sz="4" w:space="0"/>
              <w:bottom w:val="single" w:color="000000" w:sz="4" w:space="0"/>
              <w:right w:val="single" w:color="auto" w:sz="4" w:space="0"/>
            </w:tcBorders>
            <w:vAlign w:val="center"/>
          </w:tcPr>
          <w:p w14:paraId="49CBE58F">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部门是否按照政府信息公开有关规定公开相关预决算信息，用以反映和评价部门预决算管理的公开透明情况。</w:t>
            </w:r>
          </w:p>
          <w:p w14:paraId="74CD677D">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预决算信息是指与部门预算、执行、决算、监督、绩效等管理相关的信息。</w:t>
            </w:r>
          </w:p>
          <w:p w14:paraId="60B6F926">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评价要点：</w:t>
            </w:r>
          </w:p>
          <w:p w14:paraId="5A985BC4">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1.公开预决算信息；</w:t>
            </w:r>
          </w:p>
          <w:p w14:paraId="614D7BE9">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2.按规定内容公开预决算信息；</w:t>
            </w:r>
          </w:p>
          <w:p w14:paraId="1BAB0B2E">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3.按规定时限公开预决算信息。</w:t>
            </w:r>
          </w:p>
        </w:tc>
        <w:tc>
          <w:tcPr>
            <w:tcW w:w="2373" w:type="dxa"/>
            <w:tcBorders>
              <w:top w:val="single" w:color="000000" w:sz="4" w:space="0"/>
              <w:left w:val="single" w:color="auto" w:sz="4" w:space="0"/>
              <w:bottom w:val="single" w:color="000000" w:sz="4" w:space="0"/>
              <w:right w:val="single" w:color="auto" w:sz="4" w:space="0"/>
            </w:tcBorders>
            <w:vAlign w:val="center"/>
          </w:tcPr>
          <w:p w14:paraId="2AD1CA03">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全部符合（3）；</w:t>
            </w:r>
          </w:p>
          <w:p w14:paraId="713DFD01">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符合其中两项（2）</w:t>
            </w:r>
          </w:p>
          <w:p w14:paraId="3C1F3892">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符合其中一项及以下（0）。</w:t>
            </w:r>
          </w:p>
        </w:tc>
        <w:tc>
          <w:tcPr>
            <w:tcW w:w="764" w:type="dxa"/>
            <w:tcBorders>
              <w:top w:val="single" w:color="000000" w:sz="4" w:space="0"/>
              <w:left w:val="single" w:color="auto" w:sz="4" w:space="0"/>
              <w:bottom w:val="single" w:color="000000" w:sz="4" w:space="0"/>
              <w:right w:val="single" w:color="000000" w:sz="4" w:space="0"/>
            </w:tcBorders>
            <w:vAlign w:val="center"/>
          </w:tcPr>
          <w:p w14:paraId="05DFF0DB">
            <w:pPr>
              <w:widowControl/>
              <w:spacing w:line="240" w:lineRule="exact"/>
              <w:jc w:val="left"/>
              <w:rPr>
                <w:szCs w:val="21"/>
              </w:rPr>
            </w:pPr>
            <w:r>
              <w:rPr>
                <w:rFonts w:hint="eastAsia"/>
                <w:szCs w:val="21"/>
              </w:rPr>
              <w:t>3</w:t>
            </w:r>
          </w:p>
        </w:tc>
      </w:tr>
      <w:tr w14:paraId="0C604A0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16D2B79B">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50F9F239">
            <w:pPr>
              <w:spacing w:line="240" w:lineRule="exact"/>
              <w:rPr>
                <w:rFonts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3288B754">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color w:val="000000"/>
                <w:kern w:val="0"/>
                <w:szCs w:val="21"/>
                <w:lang w:bidi="ar"/>
              </w:rPr>
              <w:t>基础信息完善性</w:t>
            </w:r>
            <w:r>
              <w:rPr>
                <w:rFonts w:hint="eastAsia" w:ascii="仿宋_GB2312" w:hAnsi="仿宋_GB2312" w:eastAsia="仿宋_GB2312" w:cs="仿宋_GB2312"/>
                <w:kern w:val="0"/>
                <w:szCs w:val="21"/>
                <w:lang w:bidi="ar"/>
              </w:rPr>
              <w:t>（4分）</w:t>
            </w:r>
          </w:p>
        </w:tc>
        <w:tc>
          <w:tcPr>
            <w:tcW w:w="3436" w:type="dxa"/>
            <w:tcBorders>
              <w:top w:val="single" w:color="000000" w:sz="4" w:space="0"/>
              <w:left w:val="single" w:color="auto" w:sz="4" w:space="0"/>
              <w:bottom w:val="single" w:color="000000" w:sz="4" w:space="0"/>
              <w:right w:val="single" w:color="auto" w:sz="4" w:space="0"/>
            </w:tcBorders>
            <w:vAlign w:val="center"/>
          </w:tcPr>
          <w:p w14:paraId="0F5C2120">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部门基础信息是否完善，用以反映和评价基础信息对预算管理工作的支撑情况。</w:t>
            </w:r>
          </w:p>
          <w:p w14:paraId="6E551A90">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评价要点：</w:t>
            </w:r>
          </w:p>
          <w:p w14:paraId="587E0DAD">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1.基本财务管理制度健全；</w:t>
            </w:r>
          </w:p>
          <w:p w14:paraId="314F8976">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2.基础数据信息和会计信息资料真实；</w:t>
            </w:r>
          </w:p>
          <w:p w14:paraId="7D3BB010">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3.基础数据信息和会计信息资料完整；</w:t>
            </w:r>
          </w:p>
          <w:p w14:paraId="7EF2A6B3">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4.基础数据信息和会计信息资料准确。</w:t>
            </w:r>
          </w:p>
        </w:tc>
        <w:tc>
          <w:tcPr>
            <w:tcW w:w="2373" w:type="dxa"/>
            <w:tcBorders>
              <w:top w:val="single" w:color="000000" w:sz="4" w:space="0"/>
              <w:left w:val="single" w:color="auto" w:sz="4" w:space="0"/>
              <w:bottom w:val="single" w:color="000000" w:sz="4" w:space="0"/>
              <w:right w:val="single" w:color="auto" w:sz="4" w:space="0"/>
            </w:tcBorders>
            <w:vAlign w:val="center"/>
          </w:tcPr>
          <w:p w14:paraId="5A6F864E">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符合全部四项（4）；</w:t>
            </w:r>
          </w:p>
          <w:p w14:paraId="03C7473E">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符合其中三项（2）；</w:t>
            </w:r>
          </w:p>
          <w:p w14:paraId="67B418C8">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符合其中两项（1）；</w:t>
            </w:r>
          </w:p>
          <w:p w14:paraId="155B6A4B">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符合其中一项及以下（0）。</w:t>
            </w:r>
          </w:p>
        </w:tc>
        <w:tc>
          <w:tcPr>
            <w:tcW w:w="764" w:type="dxa"/>
            <w:tcBorders>
              <w:top w:val="single" w:color="000000" w:sz="4" w:space="0"/>
              <w:left w:val="single" w:color="auto" w:sz="4" w:space="0"/>
              <w:bottom w:val="single" w:color="000000" w:sz="4" w:space="0"/>
              <w:right w:val="single" w:color="000000" w:sz="4" w:space="0"/>
            </w:tcBorders>
            <w:vAlign w:val="center"/>
          </w:tcPr>
          <w:p w14:paraId="29C9FB99">
            <w:pPr>
              <w:widowControl/>
              <w:spacing w:line="240" w:lineRule="exact"/>
              <w:jc w:val="left"/>
              <w:rPr>
                <w:szCs w:val="21"/>
              </w:rPr>
            </w:pPr>
            <w:r>
              <w:rPr>
                <w:rFonts w:hint="eastAsia"/>
                <w:szCs w:val="21"/>
              </w:rPr>
              <w:t>4</w:t>
            </w:r>
          </w:p>
        </w:tc>
      </w:tr>
      <w:tr w14:paraId="32D4BC7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619BBD71">
            <w:pPr>
              <w:spacing w:line="240" w:lineRule="exact"/>
              <w:rPr>
                <w:rFonts w:ascii="仿宋_GB2312" w:hAnsi="仿宋_GB2312" w:eastAsia="仿宋_GB2312" w:cs="仿宋_GB2312"/>
                <w:szCs w:val="21"/>
              </w:rPr>
            </w:pP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14:paraId="6780289F">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资产管理情况（5分）</w:t>
            </w:r>
          </w:p>
        </w:tc>
        <w:tc>
          <w:tcPr>
            <w:tcW w:w="1275" w:type="dxa"/>
            <w:tcBorders>
              <w:top w:val="single" w:color="auto" w:sz="4" w:space="0"/>
              <w:left w:val="single" w:color="000000" w:sz="4" w:space="0"/>
              <w:bottom w:val="single" w:color="000000" w:sz="4" w:space="0"/>
              <w:right w:val="single" w:color="auto" w:sz="4" w:space="0"/>
            </w:tcBorders>
            <w:vAlign w:val="center"/>
          </w:tcPr>
          <w:p w14:paraId="787764D3">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资产管理完整性（2分）</w:t>
            </w:r>
          </w:p>
        </w:tc>
        <w:tc>
          <w:tcPr>
            <w:tcW w:w="3436" w:type="dxa"/>
            <w:tcBorders>
              <w:top w:val="single" w:color="auto" w:sz="4" w:space="0"/>
              <w:left w:val="single" w:color="auto" w:sz="4" w:space="0"/>
              <w:bottom w:val="single" w:color="000000" w:sz="4" w:space="0"/>
              <w:right w:val="single" w:color="auto" w:sz="4" w:space="0"/>
            </w:tcBorders>
            <w:vAlign w:val="center"/>
          </w:tcPr>
          <w:p w14:paraId="1BEB959F">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部门的资产是否保存完整、使用合规、收入及时足额上缴，用以反映和评价部门资产运行情况。</w:t>
            </w:r>
          </w:p>
          <w:p w14:paraId="04F7E0B7">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评价要点：</w:t>
            </w:r>
          </w:p>
          <w:p w14:paraId="59C77D11">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1.资产保存完整；</w:t>
            </w:r>
          </w:p>
          <w:p w14:paraId="782AC554">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2.资产账务管理是否合规，</w:t>
            </w:r>
            <w:r>
              <w:rPr>
                <w:rFonts w:hint="eastAsia" w:ascii="仿宋_GB2312" w:hAnsi="仿宋_GB2312" w:eastAsia="仿宋_GB2312" w:cs="仿宋_GB2312"/>
                <w:kern w:val="0"/>
                <w:szCs w:val="21"/>
                <w:lang w:eastAsia="zh-CN" w:bidi="ar"/>
              </w:rPr>
              <w:t>账</w:t>
            </w:r>
            <w:bookmarkStart w:id="0" w:name="_GoBack"/>
            <w:bookmarkEnd w:id="0"/>
            <w:r>
              <w:rPr>
                <w:rFonts w:hint="eastAsia" w:ascii="仿宋_GB2312" w:hAnsi="仿宋_GB2312" w:eastAsia="仿宋_GB2312" w:cs="仿宋_GB2312"/>
                <w:kern w:val="0"/>
                <w:szCs w:val="21"/>
                <w:lang w:bidi="ar"/>
              </w:rPr>
              <w:t>实相符；</w:t>
            </w:r>
          </w:p>
          <w:p w14:paraId="6EA00DBA">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3.资产有偿使用及处置收入及时足额上缴。</w:t>
            </w:r>
          </w:p>
        </w:tc>
        <w:tc>
          <w:tcPr>
            <w:tcW w:w="2373" w:type="dxa"/>
            <w:tcBorders>
              <w:top w:val="single" w:color="auto" w:sz="4" w:space="0"/>
              <w:left w:val="single" w:color="auto" w:sz="4" w:space="0"/>
              <w:bottom w:val="single" w:color="000000" w:sz="4" w:space="0"/>
              <w:right w:val="single" w:color="auto" w:sz="4" w:space="0"/>
            </w:tcBorders>
            <w:vAlign w:val="center"/>
          </w:tcPr>
          <w:p w14:paraId="3A47B19A">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符合全部三项（3）；</w:t>
            </w:r>
          </w:p>
          <w:p w14:paraId="5F6A0367">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符合其中两项（2）；</w:t>
            </w:r>
          </w:p>
          <w:p w14:paraId="645849E7">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符合其中一项（1）；</w:t>
            </w:r>
          </w:p>
          <w:p w14:paraId="2B799852">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符合零项（0）。</w:t>
            </w:r>
          </w:p>
        </w:tc>
        <w:tc>
          <w:tcPr>
            <w:tcW w:w="764" w:type="dxa"/>
            <w:tcBorders>
              <w:top w:val="single" w:color="auto" w:sz="4" w:space="0"/>
              <w:left w:val="single" w:color="auto" w:sz="4" w:space="0"/>
              <w:bottom w:val="single" w:color="000000" w:sz="4" w:space="0"/>
              <w:right w:val="single" w:color="000000" w:sz="4" w:space="0"/>
            </w:tcBorders>
            <w:vAlign w:val="center"/>
          </w:tcPr>
          <w:p w14:paraId="6F521841">
            <w:pPr>
              <w:widowControl/>
              <w:spacing w:line="240" w:lineRule="exact"/>
              <w:jc w:val="left"/>
              <w:rPr>
                <w:szCs w:val="21"/>
              </w:rPr>
            </w:pPr>
            <w:r>
              <w:rPr>
                <w:rFonts w:hint="eastAsia"/>
                <w:szCs w:val="21"/>
              </w:rPr>
              <w:t>2</w:t>
            </w:r>
          </w:p>
        </w:tc>
      </w:tr>
      <w:tr w14:paraId="290968A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785BE19F">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53A1FAE2">
            <w:pPr>
              <w:spacing w:line="240" w:lineRule="exact"/>
              <w:rPr>
                <w:rFonts w:ascii="仿宋_GB2312" w:hAnsi="仿宋_GB2312" w:eastAsia="仿宋_GB2312" w:cs="仿宋_GB2312"/>
                <w:szCs w:val="21"/>
              </w:rPr>
            </w:pPr>
          </w:p>
        </w:tc>
        <w:tc>
          <w:tcPr>
            <w:tcW w:w="1275" w:type="dxa"/>
            <w:tcBorders>
              <w:top w:val="single" w:color="auto" w:sz="4" w:space="0"/>
              <w:left w:val="single" w:color="000000" w:sz="4" w:space="0"/>
              <w:bottom w:val="single" w:color="000000" w:sz="4" w:space="0"/>
              <w:right w:val="single" w:color="auto" w:sz="4" w:space="0"/>
            </w:tcBorders>
            <w:vAlign w:val="center"/>
          </w:tcPr>
          <w:p w14:paraId="2538D79B">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固定资产利用率（3分）</w:t>
            </w:r>
          </w:p>
        </w:tc>
        <w:tc>
          <w:tcPr>
            <w:tcW w:w="3436" w:type="dxa"/>
            <w:tcBorders>
              <w:top w:val="single" w:color="auto" w:sz="4" w:space="0"/>
              <w:left w:val="single" w:color="auto" w:sz="4" w:space="0"/>
              <w:bottom w:val="single" w:color="000000" w:sz="4" w:space="0"/>
              <w:right w:val="single" w:color="auto" w:sz="4" w:space="0"/>
            </w:tcBorders>
            <w:vAlign w:val="center"/>
          </w:tcPr>
          <w:p w14:paraId="557BF5A1">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部门实际在用固定资产总额与所有固定资产总额的比率，用以反映和评价部门固定资产使用效率。</w:t>
            </w:r>
          </w:p>
          <w:p w14:paraId="07937E1B">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固定资产利用率=（实际在用固定资产总额/所有固定资产总额）×100%。</w:t>
            </w:r>
          </w:p>
        </w:tc>
        <w:tc>
          <w:tcPr>
            <w:tcW w:w="2373" w:type="dxa"/>
            <w:tcBorders>
              <w:top w:val="single" w:color="auto" w:sz="4" w:space="0"/>
              <w:left w:val="single" w:color="auto" w:sz="4" w:space="0"/>
              <w:bottom w:val="single" w:color="000000" w:sz="4" w:space="0"/>
              <w:right w:val="single" w:color="auto" w:sz="4" w:space="0"/>
            </w:tcBorders>
            <w:vAlign w:val="center"/>
          </w:tcPr>
          <w:p w14:paraId="2E0C6432">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1.固定资产利用率大于或等于95%的，得满分；</w:t>
            </w:r>
          </w:p>
          <w:p w14:paraId="4D8DC6D7">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2.固定资产利用率小于或等于85%的，得0分；</w:t>
            </w:r>
          </w:p>
          <w:p w14:paraId="5F19CF25">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3.固定资产利用率在85%-95%之间的，在0和满分之间计算确定：</w:t>
            </w:r>
          </w:p>
          <w:p w14:paraId="738D869E">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得分=［某部门固定资产利用率-min（固定资产利用率）］/［max（固定资产利用率）-min（固定资产利用率）］×该指标分值。</w:t>
            </w:r>
          </w:p>
        </w:tc>
        <w:tc>
          <w:tcPr>
            <w:tcW w:w="764" w:type="dxa"/>
            <w:tcBorders>
              <w:top w:val="single" w:color="auto" w:sz="4" w:space="0"/>
              <w:left w:val="single" w:color="auto" w:sz="4" w:space="0"/>
              <w:bottom w:val="single" w:color="000000" w:sz="4" w:space="0"/>
              <w:right w:val="single" w:color="000000" w:sz="4" w:space="0"/>
            </w:tcBorders>
            <w:vAlign w:val="center"/>
          </w:tcPr>
          <w:p w14:paraId="66A411CD">
            <w:pPr>
              <w:widowControl/>
              <w:spacing w:line="240" w:lineRule="exact"/>
              <w:jc w:val="left"/>
              <w:rPr>
                <w:szCs w:val="21"/>
              </w:rPr>
            </w:pPr>
            <w:r>
              <w:rPr>
                <w:rFonts w:hint="eastAsia"/>
                <w:szCs w:val="21"/>
              </w:rPr>
              <w:t>3</w:t>
            </w:r>
          </w:p>
        </w:tc>
      </w:tr>
      <w:tr w14:paraId="2B7568D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14:paraId="424BD8D5">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产出(25分)</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14:paraId="0211FB2D">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职责履行情况（25）</w:t>
            </w:r>
          </w:p>
        </w:tc>
        <w:tc>
          <w:tcPr>
            <w:tcW w:w="1275" w:type="dxa"/>
            <w:tcBorders>
              <w:top w:val="single" w:color="000000" w:sz="4" w:space="0"/>
              <w:left w:val="single" w:color="000000" w:sz="4" w:space="0"/>
              <w:bottom w:val="single" w:color="auto" w:sz="4" w:space="0"/>
              <w:right w:val="single" w:color="auto" w:sz="4" w:space="0"/>
            </w:tcBorders>
            <w:vAlign w:val="center"/>
          </w:tcPr>
          <w:p w14:paraId="7D6218AD">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履职完成情况（10分）</w:t>
            </w:r>
          </w:p>
        </w:tc>
        <w:tc>
          <w:tcPr>
            <w:tcW w:w="3436" w:type="dxa"/>
            <w:tcBorders>
              <w:top w:val="single" w:color="000000" w:sz="4" w:space="0"/>
              <w:left w:val="single" w:color="auto" w:sz="4" w:space="0"/>
              <w:bottom w:val="single" w:color="auto" w:sz="4" w:space="0"/>
              <w:right w:val="single" w:color="auto" w:sz="4" w:space="0"/>
            </w:tcBorders>
            <w:vAlign w:val="center"/>
          </w:tcPr>
          <w:p w14:paraId="786915AB">
            <w:pPr>
              <w:widowControl/>
              <w:spacing w:line="240" w:lineRule="exact"/>
              <w:jc w:val="left"/>
              <w:textAlignment w:val="center"/>
              <w:rPr>
                <w:rFonts w:ascii="仿宋_GB2312" w:hAnsi="仿宋_GB2312" w:eastAsia="仿宋_GB2312" w:cs="仿宋_GB2312"/>
                <w:szCs w:val="21"/>
              </w:rPr>
            </w:pPr>
            <w:r>
              <w:rPr>
                <w:rFonts w:hint="eastAsia" w:ascii="仿宋_GB2312" w:hAnsi="仿宋_GB2312" w:eastAsia="仿宋_GB2312" w:cs="仿宋_GB2312"/>
                <w:color w:val="000000"/>
                <w:kern w:val="0"/>
                <w:szCs w:val="21"/>
                <w:lang w:bidi="ar"/>
              </w:rPr>
              <w:t>根据年度主要任务分解表的具体任务，逐项评价任务量化指标完成情况、实施效果和责任制建立情况。用以反映和考核部门（单位）履职工作任务目标的完成情况。评价要点：</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 xml:space="preserve">1.每项任务是否已制定了明确、具体、可量化、可衡量的绩效指标；           </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2.每项任务绩效指标的完成情况，是全部完成、基本完成、未完成，还是未实施；</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3.每项任务实施效果情况，是优秀、良好、一般，还是无效果；</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4.每项任务是否建立了目标责任制，是否落实到具体部门和人员负责。</w:t>
            </w:r>
          </w:p>
        </w:tc>
        <w:tc>
          <w:tcPr>
            <w:tcW w:w="2373" w:type="dxa"/>
            <w:tcBorders>
              <w:top w:val="single" w:color="000000" w:sz="4" w:space="0"/>
              <w:left w:val="single" w:color="auto" w:sz="4" w:space="0"/>
              <w:bottom w:val="single" w:color="auto" w:sz="4" w:space="0"/>
              <w:right w:val="single" w:color="auto" w:sz="4" w:space="0"/>
            </w:tcBorders>
            <w:vAlign w:val="center"/>
          </w:tcPr>
          <w:p w14:paraId="614B42FA">
            <w:pPr>
              <w:widowControl/>
              <w:spacing w:line="240" w:lineRule="exact"/>
              <w:jc w:val="left"/>
              <w:textAlignment w:val="center"/>
              <w:rPr>
                <w:rFonts w:ascii="仿宋_GB2312" w:hAnsi="仿宋_GB2312" w:eastAsia="仿宋_GB2312" w:cs="仿宋_GB2312"/>
                <w:szCs w:val="21"/>
              </w:rPr>
            </w:pPr>
            <w:r>
              <w:rPr>
                <w:rFonts w:hint="eastAsia" w:ascii="仿宋_GB2312" w:hAnsi="仿宋_GB2312" w:eastAsia="仿宋_GB2312" w:cs="仿宋_GB2312"/>
                <w:color w:val="000000"/>
                <w:kern w:val="0"/>
                <w:szCs w:val="21"/>
                <w:lang w:bidi="ar"/>
              </w:rPr>
              <w:t>根据不同部门履职的内容和特点，具体测算部门履职工作任务目标的完成情况。</w:t>
            </w:r>
          </w:p>
        </w:tc>
        <w:tc>
          <w:tcPr>
            <w:tcW w:w="764" w:type="dxa"/>
            <w:tcBorders>
              <w:top w:val="single" w:color="000000" w:sz="4" w:space="0"/>
              <w:left w:val="single" w:color="auto" w:sz="4" w:space="0"/>
              <w:bottom w:val="single" w:color="auto" w:sz="4" w:space="0"/>
              <w:right w:val="single" w:color="000000" w:sz="4" w:space="0"/>
            </w:tcBorders>
            <w:vAlign w:val="center"/>
          </w:tcPr>
          <w:p w14:paraId="1C7F668E">
            <w:pPr>
              <w:widowControl/>
              <w:spacing w:line="240" w:lineRule="exact"/>
              <w:jc w:val="left"/>
              <w:rPr>
                <w:szCs w:val="21"/>
              </w:rPr>
            </w:pPr>
            <w:r>
              <w:rPr>
                <w:rFonts w:hint="eastAsia"/>
                <w:szCs w:val="21"/>
              </w:rPr>
              <w:t>9</w:t>
            </w:r>
          </w:p>
        </w:tc>
      </w:tr>
      <w:tr w14:paraId="54F8443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090"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72115DFD">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69414863">
            <w:pPr>
              <w:spacing w:line="240" w:lineRule="exact"/>
              <w:rPr>
                <w:rFonts w:ascii="仿宋_GB2312" w:hAnsi="仿宋_GB2312" w:eastAsia="仿宋_GB2312" w:cs="仿宋_GB2312"/>
                <w:szCs w:val="21"/>
              </w:rPr>
            </w:pPr>
          </w:p>
        </w:tc>
        <w:tc>
          <w:tcPr>
            <w:tcW w:w="1275" w:type="dxa"/>
            <w:tcBorders>
              <w:top w:val="single" w:color="000000" w:sz="4" w:space="0"/>
              <w:left w:val="single" w:color="000000" w:sz="4" w:space="0"/>
              <w:right w:val="single" w:color="auto" w:sz="4" w:space="0"/>
            </w:tcBorders>
            <w:vAlign w:val="center"/>
          </w:tcPr>
          <w:p w14:paraId="5D11E929">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项目完成质量达标率（15）</w:t>
            </w:r>
          </w:p>
        </w:tc>
        <w:tc>
          <w:tcPr>
            <w:tcW w:w="3436" w:type="dxa"/>
            <w:tcBorders>
              <w:top w:val="single" w:color="000000" w:sz="4" w:space="0"/>
              <w:left w:val="single" w:color="auto" w:sz="4" w:space="0"/>
              <w:right w:val="single" w:color="auto" w:sz="4" w:space="0"/>
            </w:tcBorders>
            <w:vAlign w:val="center"/>
          </w:tcPr>
          <w:p w14:paraId="021D7120">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部门已完成项目中质量达标项目个数占已完成项目个数的比率,用以反映和评价部门履职质量目标的实现程度。</w:t>
            </w:r>
          </w:p>
          <w:p w14:paraId="72F7796C">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项目质量达标率=（已完成项目中质量达标项目个数/已完成项目个数）×100%。</w:t>
            </w:r>
          </w:p>
          <w:p w14:paraId="01E18747">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项目质量达标是指项目决算验收合格。</w:t>
            </w:r>
          </w:p>
        </w:tc>
        <w:tc>
          <w:tcPr>
            <w:tcW w:w="2373" w:type="dxa"/>
            <w:tcBorders>
              <w:top w:val="single" w:color="000000" w:sz="4" w:space="0"/>
              <w:left w:val="single" w:color="auto" w:sz="4" w:space="0"/>
              <w:right w:val="single" w:color="auto" w:sz="4" w:space="0"/>
            </w:tcBorders>
            <w:vAlign w:val="center"/>
          </w:tcPr>
          <w:p w14:paraId="30EAFBDC">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1.项目质量达标率等于100%的，得满分；</w:t>
            </w:r>
          </w:p>
          <w:p w14:paraId="3AA06E98">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2.项目质量达标率小于或等于99%的，得0分；</w:t>
            </w:r>
          </w:p>
          <w:p w14:paraId="45BBB374">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 xml:space="preserve">3.项目质量达标率在99%-100%之间的，在0和满分之间计算确定： </w:t>
            </w:r>
          </w:p>
          <w:p w14:paraId="55A15E58">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得分=［某部门项目质量达标率-min（项目质量达标率）］/［max（项目质量达标率）-min（项目质量达标率）］×该指标分值。</w:t>
            </w:r>
          </w:p>
        </w:tc>
        <w:tc>
          <w:tcPr>
            <w:tcW w:w="764" w:type="dxa"/>
            <w:tcBorders>
              <w:top w:val="single" w:color="000000" w:sz="4" w:space="0"/>
              <w:left w:val="single" w:color="auto" w:sz="4" w:space="0"/>
              <w:bottom w:val="single" w:color="auto" w:sz="4" w:space="0"/>
              <w:right w:val="single" w:color="000000" w:sz="4" w:space="0"/>
            </w:tcBorders>
            <w:vAlign w:val="center"/>
          </w:tcPr>
          <w:p w14:paraId="0BB29FDF">
            <w:pPr>
              <w:widowControl/>
              <w:spacing w:line="240" w:lineRule="exact"/>
              <w:jc w:val="left"/>
              <w:rPr>
                <w:szCs w:val="21"/>
              </w:rPr>
            </w:pPr>
            <w:r>
              <w:rPr>
                <w:rFonts w:hint="eastAsia"/>
                <w:szCs w:val="21"/>
              </w:rPr>
              <w:t>13</w:t>
            </w:r>
          </w:p>
        </w:tc>
      </w:tr>
      <w:tr w14:paraId="3EA2E14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14:paraId="01435878">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效果（20分）</w:t>
            </w:r>
          </w:p>
        </w:tc>
        <w:tc>
          <w:tcPr>
            <w:tcW w:w="743" w:type="dxa"/>
            <w:vMerge w:val="restart"/>
            <w:tcBorders>
              <w:top w:val="single" w:color="auto" w:sz="4" w:space="0"/>
              <w:left w:val="single" w:color="000000" w:sz="4" w:space="0"/>
              <w:right w:val="single" w:color="000000" w:sz="4" w:space="0"/>
            </w:tcBorders>
            <w:vAlign w:val="center"/>
          </w:tcPr>
          <w:p w14:paraId="7B6CE642">
            <w:pPr>
              <w:widowControl/>
              <w:spacing w:line="240" w:lineRule="exact"/>
              <w:jc w:val="left"/>
              <w:rPr>
                <w:rFonts w:ascii="仿宋_GB2312" w:hAnsi="仿宋_GB2312" w:eastAsia="仿宋_GB2312" w:cs="仿宋_GB2312"/>
                <w:kern w:val="0"/>
                <w:szCs w:val="21"/>
                <w:lang w:bidi="ar"/>
              </w:rPr>
            </w:pPr>
          </w:p>
          <w:p w14:paraId="3363DC2B">
            <w:pPr>
              <w:widowControl/>
              <w:spacing w:line="240" w:lineRule="exact"/>
              <w:jc w:val="left"/>
              <w:rPr>
                <w:rFonts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履职效益情况</w:t>
            </w:r>
          </w:p>
          <w:p w14:paraId="4EF7288B">
            <w:pPr>
              <w:widowControl/>
              <w:spacing w:line="240" w:lineRule="exact"/>
              <w:jc w:val="left"/>
              <w:rPr>
                <w:rFonts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（20分）</w:t>
            </w:r>
          </w:p>
        </w:tc>
        <w:tc>
          <w:tcPr>
            <w:tcW w:w="1275" w:type="dxa"/>
            <w:tcBorders>
              <w:top w:val="single" w:color="000000" w:sz="4" w:space="0"/>
              <w:left w:val="single" w:color="000000" w:sz="4" w:space="0"/>
              <w:bottom w:val="single" w:color="000000" w:sz="4" w:space="0"/>
              <w:right w:val="single" w:color="auto" w:sz="4" w:space="0"/>
            </w:tcBorders>
            <w:vAlign w:val="center"/>
          </w:tcPr>
          <w:p w14:paraId="716BC631">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color w:val="000000"/>
                <w:kern w:val="0"/>
                <w:szCs w:val="21"/>
                <w:lang w:bidi="ar"/>
              </w:rPr>
              <w:t>经济效益</w:t>
            </w:r>
            <w:r>
              <w:rPr>
                <w:rFonts w:hint="eastAsia" w:ascii="仿宋_GB2312" w:hAnsi="仿宋_GB2312" w:eastAsia="仿宋_GB2312" w:cs="仿宋_GB2312"/>
                <w:kern w:val="0"/>
                <w:szCs w:val="21"/>
                <w:lang w:bidi="ar"/>
              </w:rPr>
              <w:t>（5分）</w:t>
            </w:r>
          </w:p>
        </w:tc>
        <w:tc>
          <w:tcPr>
            <w:tcW w:w="3436" w:type="dxa"/>
            <w:tcBorders>
              <w:top w:val="single" w:color="000000" w:sz="4" w:space="0"/>
              <w:left w:val="single" w:color="auto" w:sz="4" w:space="0"/>
              <w:bottom w:val="single" w:color="000000" w:sz="4" w:space="0"/>
              <w:right w:val="single" w:color="auto" w:sz="4" w:space="0"/>
            </w:tcBorders>
            <w:vAlign w:val="center"/>
          </w:tcPr>
          <w:p w14:paraId="02D63214">
            <w:pPr>
              <w:widowControl/>
              <w:spacing w:line="240" w:lineRule="exact"/>
              <w:jc w:val="left"/>
              <w:textAlignment w:val="center"/>
              <w:rPr>
                <w:rFonts w:ascii="仿宋_GB2312" w:hAnsi="仿宋_GB2312" w:eastAsia="仿宋_GB2312" w:cs="仿宋_GB2312"/>
                <w:color w:val="000000"/>
                <w:kern w:val="0"/>
                <w:szCs w:val="21"/>
                <w:lang w:bidi="ar"/>
              </w:rPr>
            </w:pPr>
            <w:r>
              <w:rPr>
                <w:rFonts w:hint="eastAsia" w:ascii="仿宋_GB2312" w:hAnsi="仿宋_GB2312" w:eastAsia="仿宋_GB2312" w:cs="仿宋_GB2312"/>
                <w:color w:val="000000"/>
                <w:kern w:val="0"/>
                <w:szCs w:val="21"/>
                <w:lang w:bidi="ar"/>
              </w:rPr>
              <w:t>部门及所属二级单位通过履行职责和预算安排支出项目的实施，对我市带来的经济影响。</w:t>
            </w:r>
          </w:p>
          <w:p w14:paraId="0AD7EC15">
            <w:pPr>
              <w:widowControl/>
              <w:spacing w:line="240" w:lineRule="exact"/>
              <w:jc w:val="left"/>
              <w:textAlignment w:val="center"/>
              <w:rPr>
                <w:rFonts w:ascii="仿宋_GB2312" w:hAnsi="仿宋_GB2312" w:eastAsia="仿宋_GB2312" w:cs="仿宋_GB2312"/>
                <w:szCs w:val="21"/>
              </w:rPr>
            </w:pPr>
            <w:r>
              <w:rPr>
                <w:rFonts w:hint="eastAsia" w:ascii="仿宋_GB2312" w:hAnsi="仿宋_GB2312" w:eastAsia="仿宋_GB2312" w:cs="仿宋_GB2312"/>
                <w:color w:val="000000"/>
                <w:kern w:val="0"/>
                <w:szCs w:val="21"/>
                <w:lang w:bidi="ar"/>
              </w:rPr>
              <w:t>评价要点：</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 xml:space="preserve">1.通过部门所属企事业单位改革，促进了企事业单位效益增长情况；          </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2.通过预算支出项目的实施，促进了行业生产能力增长，从而带动行业经济效益增长；</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3.通过预算支出项目的实施，有效提高劳动效率，节约成本费用；</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4.通过预算支出项目的实施，降低了损耗，从而提高了生产效益；</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5.通过预算支出项目的实施，完善了突发情况的监测预警，保障了生产安全，降低了生产损失。</w:t>
            </w:r>
          </w:p>
        </w:tc>
        <w:tc>
          <w:tcPr>
            <w:tcW w:w="2373" w:type="dxa"/>
            <w:tcBorders>
              <w:top w:val="single" w:color="000000" w:sz="4" w:space="0"/>
              <w:left w:val="single" w:color="auto" w:sz="4" w:space="0"/>
              <w:bottom w:val="single" w:color="000000" w:sz="4" w:space="0"/>
              <w:right w:val="single" w:color="auto" w:sz="4" w:space="0"/>
            </w:tcBorders>
            <w:vAlign w:val="center"/>
          </w:tcPr>
          <w:p w14:paraId="114BA4E9">
            <w:pPr>
              <w:widowControl/>
              <w:spacing w:line="240" w:lineRule="exact"/>
              <w:jc w:val="left"/>
              <w:textAlignment w:val="center"/>
              <w:rPr>
                <w:rFonts w:ascii="仿宋_GB2312" w:hAnsi="仿宋_GB2312" w:eastAsia="仿宋_GB2312" w:cs="仿宋_GB2312"/>
                <w:szCs w:val="21"/>
              </w:rPr>
            </w:pPr>
            <w:r>
              <w:rPr>
                <w:rFonts w:hint="eastAsia" w:ascii="仿宋_GB2312" w:hAnsi="仿宋_GB2312" w:eastAsia="仿宋_GB2312" w:cs="仿宋_GB2312"/>
                <w:color w:val="000000"/>
                <w:kern w:val="0"/>
                <w:szCs w:val="21"/>
                <w:lang w:bidi="ar"/>
              </w:rPr>
              <w:t>根据不同部门履职的内容和特点，具体测算部门履职产生的经济效益。</w:t>
            </w:r>
          </w:p>
        </w:tc>
        <w:tc>
          <w:tcPr>
            <w:tcW w:w="764" w:type="dxa"/>
            <w:tcBorders>
              <w:top w:val="single" w:color="000000" w:sz="4" w:space="0"/>
              <w:left w:val="single" w:color="auto" w:sz="4" w:space="0"/>
              <w:bottom w:val="single" w:color="000000" w:sz="4" w:space="0"/>
              <w:right w:val="single" w:color="000000" w:sz="4" w:space="0"/>
            </w:tcBorders>
            <w:vAlign w:val="center"/>
          </w:tcPr>
          <w:p w14:paraId="5C3CC1D7">
            <w:pPr>
              <w:widowControl/>
              <w:spacing w:line="240" w:lineRule="exact"/>
              <w:jc w:val="left"/>
              <w:rPr>
                <w:szCs w:val="21"/>
              </w:rPr>
            </w:pPr>
            <w:r>
              <w:rPr>
                <w:rFonts w:hint="eastAsia"/>
                <w:szCs w:val="21"/>
              </w:rPr>
              <w:t>5</w:t>
            </w:r>
          </w:p>
        </w:tc>
      </w:tr>
      <w:tr w14:paraId="2044CB4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left w:val="single" w:color="000000" w:sz="4" w:space="0"/>
              <w:right w:val="single" w:color="000000" w:sz="4" w:space="0"/>
            </w:tcBorders>
            <w:vAlign w:val="center"/>
          </w:tcPr>
          <w:p w14:paraId="7B3D7D14">
            <w:pPr>
              <w:widowControl/>
              <w:spacing w:line="240" w:lineRule="exact"/>
              <w:jc w:val="left"/>
              <w:rPr>
                <w:rFonts w:ascii="仿宋_GB2312" w:hAnsi="仿宋_GB2312" w:eastAsia="仿宋_GB2312" w:cs="仿宋_GB2312"/>
                <w:kern w:val="0"/>
                <w:szCs w:val="21"/>
                <w:lang w:bidi="ar"/>
              </w:rPr>
            </w:pPr>
          </w:p>
        </w:tc>
        <w:tc>
          <w:tcPr>
            <w:tcW w:w="743" w:type="dxa"/>
            <w:vMerge w:val="continue"/>
            <w:tcBorders>
              <w:left w:val="single" w:color="000000" w:sz="4" w:space="0"/>
              <w:right w:val="single" w:color="000000" w:sz="4" w:space="0"/>
            </w:tcBorders>
            <w:vAlign w:val="center"/>
          </w:tcPr>
          <w:p w14:paraId="507CEAAE">
            <w:pPr>
              <w:widowControl/>
              <w:spacing w:line="240" w:lineRule="exact"/>
              <w:jc w:val="left"/>
              <w:rPr>
                <w:rFonts w:ascii="仿宋_GB2312" w:hAnsi="仿宋_GB2312" w:eastAsia="仿宋_GB2312" w:cs="仿宋_GB2312"/>
                <w:kern w:val="0"/>
                <w:szCs w:val="21"/>
                <w:lang w:bidi="ar"/>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25754D40">
            <w:pPr>
              <w:widowControl/>
              <w:spacing w:line="240" w:lineRule="exact"/>
              <w:rPr>
                <w:rFonts w:ascii="仿宋_GB2312" w:hAnsi="仿宋_GB2312" w:eastAsia="仿宋_GB2312" w:cs="仿宋_GB2312"/>
                <w:color w:val="000000"/>
                <w:kern w:val="0"/>
                <w:szCs w:val="21"/>
                <w:lang w:bidi="ar"/>
              </w:rPr>
            </w:pPr>
            <w:r>
              <w:rPr>
                <w:rFonts w:hint="eastAsia" w:ascii="仿宋_GB2312" w:hAnsi="仿宋_GB2312" w:eastAsia="仿宋_GB2312" w:cs="仿宋_GB2312"/>
                <w:color w:val="000000"/>
                <w:kern w:val="0"/>
                <w:szCs w:val="21"/>
                <w:lang w:bidi="ar"/>
              </w:rPr>
              <w:t>社会效益（5分）</w:t>
            </w:r>
          </w:p>
        </w:tc>
        <w:tc>
          <w:tcPr>
            <w:tcW w:w="3436" w:type="dxa"/>
            <w:tcBorders>
              <w:top w:val="single" w:color="000000" w:sz="4" w:space="0"/>
              <w:left w:val="single" w:color="auto" w:sz="4" w:space="0"/>
              <w:bottom w:val="single" w:color="000000" w:sz="4" w:space="0"/>
              <w:right w:val="single" w:color="auto" w:sz="4" w:space="0"/>
            </w:tcBorders>
            <w:vAlign w:val="center"/>
          </w:tcPr>
          <w:p w14:paraId="136A8A46">
            <w:pPr>
              <w:widowControl/>
              <w:spacing w:line="240" w:lineRule="exact"/>
              <w:textAlignment w:val="center"/>
              <w:rPr>
                <w:rFonts w:ascii="仿宋_GB2312" w:hAnsi="仿宋_GB2312" w:eastAsia="仿宋_GB2312" w:cs="仿宋_GB2312"/>
                <w:color w:val="000000"/>
                <w:kern w:val="0"/>
                <w:szCs w:val="21"/>
                <w:lang w:bidi="ar"/>
              </w:rPr>
            </w:pPr>
            <w:r>
              <w:rPr>
                <w:rFonts w:hint="eastAsia" w:ascii="仿宋_GB2312" w:hAnsi="仿宋_GB2312" w:eastAsia="仿宋_GB2312" w:cs="仿宋_GB2312"/>
                <w:color w:val="000000"/>
                <w:kern w:val="0"/>
                <w:szCs w:val="21"/>
                <w:lang w:bidi="ar"/>
              </w:rPr>
              <w:t>部门及所属二级单位履行职责对社会发展所带来的直接或间接影响。</w:t>
            </w:r>
          </w:p>
          <w:p w14:paraId="6221D2CC">
            <w:pPr>
              <w:widowControl/>
              <w:spacing w:line="240" w:lineRule="exact"/>
              <w:textAlignment w:val="center"/>
              <w:rPr>
                <w:rFonts w:ascii="仿宋_GB2312" w:hAnsi="仿宋_GB2312" w:eastAsia="仿宋_GB2312" w:cs="仿宋_GB2312"/>
                <w:color w:val="000000"/>
                <w:kern w:val="0"/>
                <w:szCs w:val="21"/>
                <w:lang w:bidi="ar"/>
              </w:rPr>
            </w:pPr>
            <w:r>
              <w:rPr>
                <w:rFonts w:hint="eastAsia" w:ascii="仿宋_GB2312" w:hAnsi="仿宋_GB2312" w:eastAsia="仿宋_GB2312" w:cs="仿宋_GB2312"/>
                <w:color w:val="000000"/>
                <w:kern w:val="0"/>
                <w:szCs w:val="21"/>
                <w:lang w:bidi="ar"/>
              </w:rPr>
              <w:t>评价要点：</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 xml:space="preserve">1.通过部门所属企事业单位的改革，促进了企事业单位可持续发展，带动就业增长情况；          </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2.通过预算支出项目的实施，是否明显促进了行业精神文明建设；</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3.通过部门履职是否明显提高城乡居民生活水平，满足了人们日益增长的物质与文化生活需求；</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4.通过预算项目的实施，是否提高了劳动生产率，降低了劳动强度，促进了劳动人民的身心健康；</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5.通过部门履职行业形象是否得到了大大提升了，增强了部门影响力。</w:t>
            </w:r>
          </w:p>
        </w:tc>
        <w:tc>
          <w:tcPr>
            <w:tcW w:w="2373" w:type="dxa"/>
            <w:tcBorders>
              <w:top w:val="single" w:color="000000" w:sz="4" w:space="0"/>
              <w:left w:val="single" w:color="auto" w:sz="4" w:space="0"/>
              <w:bottom w:val="single" w:color="000000" w:sz="4" w:space="0"/>
              <w:right w:val="single" w:color="auto" w:sz="4" w:space="0"/>
            </w:tcBorders>
            <w:vAlign w:val="center"/>
          </w:tcPr>
          <w:p w14:paraId="1B92E581">
            <w:pPr>
              <w:widowControl/>
              <w:spacing w:line="240" w:lineRule="exact"/>
              <w:textAlignment w:val="center"/>
              <w:rPr>
                <w:rFonts w:ascii="仿宋_GB2312" w:hAnsi="仿宋_GB2312" w:eastAsia="仿宋_GB2312" w:cs="仿宋_GB2312"/>
                <w:szCs w:val="21"/>
              </w:rPr>
            </w:pPr>
            <w:r>
              <w:rPr>
                <w:rFonts w:hint="eastAsia" w:ascii="仿宋_GB2312" w:hAnsi="仿宋_GB2312" w:eastAsia="仿宋_GB2312" w:cs="仿宋_GB2312"/>
                <w:color w:val="000000"/>
                <w:kern w:val="0"/>
                <w:szCs w:val="21"/>
                <w:lang w:bidi="ar"/>
              </w:rPr>
              <w:t>根据不同部门履职的内容和特点，具体测算部门履职产生的社会效益。</w:t>
            </w:r>
          </w:p>
        </w:tc>
        <w:tc>
          <w:tcPr>
            <w:tcW w:w="764" w:type="dxa"/>
            <w:tcBorders>
              <w:top w:val="single" w:color="000000" w:sz="4" w:space="0"/>
              <w:left w:val="single" w:color="auto" w:sz="4" w:space="0"/>
              <w:bottom w:val="single" w:color="000000" w:sz="4" w:space="0"/>
              <w:right w:val="single" w:color="000000" w:sz="4" w:space="0"/>
            </w:tcBorders>
            <w:vAlign w:val="center"/>
          </w:tcPr>
          <w:p w14:paraId="18A539DB">
            <w:pPr>
              <w:widowControl/>
              <w:spacing w:line="240" w:lineRule="exact"/>
              <w:jc w:val="left"/>
              <w:rPr>
                <w:szCs w:val="21"/>
              </w:rPr>
            </w:pPr>
            <w:r>
              <w:rPr>
                <w:rFonts w:hint="eastAsia"/>
                <w:szCs w:val="21"/>
              </w:rPr>
              <w:t>5</w:t>
            </w:r>
          </w:p>
        </w:tc>
      </w:tr>
      <w:tr w14:paraId="5CD89E5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left w:val="single" w:color="000000" w:sz="4" w:space="0"/>
              <w:right w:val="single" w:color="000000" w:sz="4" w:space="0"/>
            </w:tcBorders>
            <w:vAlign w:val="center"/>
          </w:tcPr>
          <w:p w14:paraId="545533F5">
            <w:pPr>
              <w:widowControl/>
              <w:spacing w:line="240" w:lineRule="exact"/>
              <w:jc w:val="left"/>
              <w:rPr>
                <w:rFonts w:ascii="仿宋_GB2312" w:hAnsi="仿宋_GB2312" w:eastAsia="仿宋_GB2312" w:cs="仿宋_GB2312"/>
                <w:kern w:val="0"/>
                <w:szCs w:val="21"/>
                <w:lang w:bidi="ar"/>
              </w:rPr>
            </w:pPr>
          </w:p>
        </w:tc>
        <w:tc>
          <w:tcPr>
            <w:tcW w:w="743" w:type="dxa"/>
            <w:vMerge w:val="continue"/>
            <w:tcBorders>
              <w:left w:val="single" w:color="000000" w:sz="4" w:space="0"/>
              <w:right w:val="single" w:color="000000" w:sz="4" w:space="0"/>
            </w:tcBorders>
            <w:vAlign w:val="center"/>
          </w:tcPr>
          <w:p w14:paraId="3E117713">
            <w:pPr>
              <w:widowControl/>
              <w:spacing w:line="240" w:lineRule="exact"/>
              <w:jc w:val="left"/>
              <w:rPr>
                <w:rFonts w:ascii="仿宋_GB2312" w:hAnsi="仿宋_GB2312" w:eastAsia="仿宋_GB2312" w:cs="仿宋_GB2312"/>
                <w:kern w:val="0"/>
                <w:szCs w:val="21"/>
                <w:lang w:bidi="ar"/>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333372EE">
            <w:pPr>
              <w:widowControl/>
              <w:spacing w:line="240" w:lineRule="exact"/>
              <w:jc w:val="left"/>
              <w:rPr>
                <w:rFonts w:ascii="仿宋_GB2312" w:hAnsi="仿宋_GB2312" w:eastAsia="仿宋_GB2312" w:cs="仿宋_GB2312"/>
                <w:color w:val="000000"/>
                <w:kern w:val="0"/>
                <w:szCs w:val="21"/>
                <w:lang w:bidi="ar"/>
              </w:rPr>
            </w:pPr>
            <w:r>
              <w:rPr>
                <w:rFonts w:hint="eastAsia" w:ascii="仿宋_GB2312" w:hAnsi="仿宋_GB2312" w:eastAsia="仿宋_GB2312" w:cs="仿宋_GB2312"/>
                <w:color w:val="000000"/>
                <w:kern w:val="0"/>
                <w:szCs w:val="21"/>
                <w:lang w:bidi="ar"/>
              </w:rPr>
              <w:t>生态效益（5分）</w:t>
            </w:r>
          </w:p>
        </w:tc>
        <w:tc>
          <w:tcPr>
            <w:tcW w:w="3436" w:type="dxa"/>
            <w:tcBorders>
              <w:top w:val="single" w:color="000000" w:sz="4" w:space="0"/>
              <w:left w:val="single" w:color="auto" w:sz="4" w:space="0"/>
              <w:bottom w:val="single" w:color="000000" w:sz="4" w:space="0"/>
              <w:right w:val="single" w:color="auto" w:sz="4" w:space="0"/>
            </w:tcBorders>
            <w:vAlign w:val="center"/>
          </w:tcPr>
          <w:p w14:paraId="4E82DC0D">
            <w:pPr>
              <w:widowControl/>
              <w:spacing w:line="240" w:lineRule="exact"/>
              <w:jc w:val="left"/>
              <w:textAlignment w:val="center"/>
              <w:rPr>
                <w:rFonts w:ascii="仿宋_GB2312" w:hAnsi="仿宋_GB2312" w:eastAsia="仿宋_GB2312" w:cs="仿宋_GB2312"/>
                <w:color w:val="000000"/>
                <w:kern w:val="0"/>
                <w:szCs w:val="21"/>
                <w:lang w:bidi="ar"/>
              </w:rPr>
            </w:pPr>
            <w:r>
              <w:rPr>
                <w:rFonts w:hint="eastAsia" w:ascii="仿宋_GB2312" w:hAnsi="仿宋_GB2312" w:eastAsia="仿宋_GB2312" w:cs="仿宋_GB2312"/>
                <w:color w:val="000000"/>
                <w:kern w:val="0"/>
                <w:szCs w:val="21"/>
                <w:lang w:bidi="ar"/>
              </w:rPr>
              <w:t>部门及所属二级单位履行职责对生态环境所带来的直接或间接影响。</w:t>
            </w:r>
          </w:p>
          <w:p w14:paraId="7EDC4BC2">
            <w:pPr>
              <w:widowControl/>
              <w:spacing w:line="240" w:lineRule="exact"/>
              <w:jc w:val="left"/>
              <w:textAlignment w:val="center"/>
              <w:rPr>
                <w:rFonts w:ascii="仿宋_GB2312" w:hAnsi="仿宋_GB2312" w:eastAsia="仿宋_GB2312" w:cs="仿宋_GB2312"/>
                <w:color w:val="000000"/>
                <w:kern w:val="0"/>
                <w:szCs w:val="21"/>
                <w:lang w:bidi="ar"/>
              </w:rPr>
            </w:pPr>
            <w:r>
              <w:rPr>
                <w:rFonts w:hint="eastAsia" w:ascii="仿宋_GB2312" w:hAnsi="仿宋_GB2312" w:eastAsia="仿宋_GB2312" w:cs="仿宋_GB2312"/>
                <w:color w:val="000000"/>
                <w:kern w:val="0"/>
                <w:szCs w:val="21"/>
                <w:lang w:bidi="ar"/>
              </w:rPr>
              <w:t>评价要点：</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1.通过预算支出项目的实施，绿色、节能环保新技术的应用和推广，明显带动各环节的节能减排，也具有一定的环境效益；</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2.通过履职有效地控制虚假、伪劣、霉变等劣质产品进入市场，影响了人民生活质量，净化地市场环境；</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3.通过预算支出项目的实施，是否达到减少污染物排放；</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4.通过预算支出项目的实施，周围环境得到了整治，面貌得到了改善。</w:t>
            </w:r>
          </w:p>
        </w:tc>
        <w:tc>
          <w:tcPr>
            <w:tcW w:w="2373" w:type="dxa"/>
            <w:tcBorders>
              <w:top w:val="single" w:color="000000" w:sz="4" w:space="0"/>
              <w:left w:val="single" w:color="auto" w:sz="4" w:space="0"/>
              <w:bottom w:val="single" w:color="000000" w:sz="4" w:space="0"/>
              <w:right w:val="single" w:color="auto" w:sz="4" w:space="0"/>
            </w:tcBorders>
            <w:vAlign w:val="center"/>
          </w:tcPr>
          <w:p w14:paraId="21F4BD01">
            <w:pPr>
              <w:widowControl/>
              <w:spacing w:line="240" w:lineRule="exact"/>
              <w:jc w:val="left"/>
              <w:textAlignment w:val="center"/>
              <w:rPr>
                <w:rFonts w:ascii="仿宋_GB2312" w:hAnsi="仿宋_GB2312" w:eastAsia="仿宋_GB2312" w:cs="仿宋_GB2312"/>
                <w:szCs w:val="21"/>
              </w:rPr>
            </w:pPr>
            <w:r>
              <w:rPr>
                <w:rFonts w:hint="eastAsia" w:ascii="仿宋_GB2312" w:hAnsi="仿宋_GB2312" w:eastAsia="仿宋_GB2312" w:cs="仿宋_GB2312"/>
                <w:color w:val="000000"/>
                <w:kern w:val="0"/>
                <w:szCs w:val="21"/>
                <w:lang w:bidi="ar"/>
              </w:rPr>
              <w:t>根据不同部门履职的内容和特点，具体测算部门履职产生的生态效益。</w:t>
            </w:r>
          </w:p>
        </w:tc>
        <w:tc>
          <w:tcPr>
            <w:tcW w:w="764" w:type="dxa"/>
            <w:tcBorders>
              <w:top w:val="single" w:color="000000" w:sz="4" w:space="0"/>
              <w:left w:val="single" w:color="auto" w:sz="4" w:space="0"/>
              <w:bottom w:val="single" w:color="000000" w:sz="4" w:space="0"/>
              <w:right w:val="single" w:color="000000" w:sz="4" w:space="0"/>
            </w:tcBorders>
            <w:vAlign w:val="center"/>
          </w:tcPr>
          <w:p w14:paraId="39C97D62">
            <w:pPr>
              <w:widowControl/>
              <w:spacing w:line="240" w:lineRule="exact"/>
              <w:jc w:val="left"/>
              <w:rPr>
                <w:szCs w:val="21"/>
              </w:rPr>
            </w:pPr>
            <w:r>
              <w:rPr>
                <w:rFonts w:hint="eastAsia"/>
                <w:szCs w:val="21"/>
              </w:rPr>
              <w:t>5</w:t>
            </w:r>
          </w:p>
        </w:tc>
      </w:tr>
      <w:tr w14:paraId="2EBACA6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19B2E667">
            <w:pPr>
              <w:spacing w:line="240" w:lineRule="exact"/>
              <w:rPr>
                <w:rFonts w:ascii="仿宋_GB2312" w:hAnsi="仿宋_GB2312" w:eastAsia="仿宋_GB2312" w:cs="仿宋_GB2312"/>
                <w:szCs w:val="21"/>
              </w:rPr>
            </w:pPr>
          </w:p>
        </w:tc>
        <w:tc>
          <w:tcPr>
            <w:tcW w:w="743" w:type="dxa"/>
            <w:vMerge w:val="continue"/>
            <w:tcBorders>
              <w:left w:val="single" w:color="000000" w:sz="4" w:space="0"/>
              <w:bottom w:val="single" w:color="auto" w:sz="4" w:space="0"/>
              <w:right w:val="single" w:color="000000" w:sz="4" w:space="0"/>
            </w:tcBorders>
            <w:vAlign w:val="center"/>
          </w:tcPr>
          <w:p w14:paraId="75E8C37B">
            <w:pPr>
              <w:widowControl/>
              <w:spacing w:line="240" w:lineRule="exact"/>
              <w:jc w:val="left"/>
              <w:rPr>
                <w:rFonts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14:paraId="238951ED">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服务对象满意度（5）</w:t>
            </w:r>
          </w:p>
        </w:tc>
        <w:tc>
          <w:tcPr>
            <w:tcW w:w="3436" w:type="dxa"/>
            <w:tcBorders>
              <w:top w:val="single" w:color="000000" w:sz="4" w:space="0"/>
              <w:left w:val="single" w:color="auto" w:sz="4" w:space="0"/>
              <w:bottom w:val="single" w:color="000000" w:sz="4" w:space="0"/>
              <w:right w:val="single" w:color="auto" w:sz="4" w:space="0"/>
            </w:tcBorders>
            <w:vAlign w:val="center"/>
          </w:tcPr>
          <w:p w14:paraId="58370499">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lang w:bidi="ar"/>
              </w:rPr>
              <w:t>通过对部门（单位）的服务对象对部门履职效果的满意程度调查，反映和考核社会公众或服务对象对部门履职的满意度。</w:t>
            </w:r>
          </w:p>
        </w:tc>
        <w:tc>
          <w:tcPr>
            <w:tcW w:w="2373" w:type="dxa"/>
            <w:tcBorders>
              <w:top w:val="single" w:color="000000" w:sz="4" w:space="0"/>
              <w:left w:val="single" w:color="auto" w:sz="4" w:space="0"/>
              <w:bottom w:val="single" w:color="000000" w:sz="4" w:space="0"/>
              <w:right w:val="single" w:color="auto" w:sz="4" w:space="0"/>
            </w:tcBorders>
            <w:vAlign w:val="center"/>
          </w:tcPr>
          <w:p w14:paraId="4ABB4372">
            <w:pPr>
              <w:widowControl/>
              <w:spacing w:line="240" w:lineRule="exact"/>
              <w:rPr>
                <w:rFonts w:ascii="仿宋_GB2312" w:hAnsi="仿宋_GB2312" w:eastAsia="仿宋_GB2312" w:cs="仿宋_GB2312"/>
                <w:kern w:val="0"/>
                <w:szCs w:val="21"/>
              </w:rPr>
            </w:pPr>
            <w:r>
              <w:rPr>
                <w:rFonts w:hint="eastAsia" w:ascii="仿宋_GB2312" w:hAnsi="仿宋_GB2312" w:eastAsia="仿宋_GB2312" w:cs="仿宋_GB2312"/>
                <w:kern w:val="0"/>
                <w:szCs w:val="21"/>
              </w:rPr>
              <w:t>按照满意度调查的优秀、良好、合格、不合格给予该项指标打分：</w:t>
            </w:r>
          </w:p>
          <w:p w14:paraId="79987E62">
            <w:pPr>
              <w:widowControl/>
              <w:spacing w:line="240" w:lineRule="exact"/>
              <w:rPr>
                <w:rFonts w:ascii="仿宋_GB2312" w:hAnsi="仿宋_GB2312" w:eastAsia="仿宋_GB2312" w:cs="仿宋_GB2312"/>
                <w:szCs w:val="21"/>
              </w:rPr>
            </w:pPr>
            <w:r>
              <w:rPr>
                <w:rFonts w:hint="eastAsia" w:ascii="仿宋_GB2312" w:hAnsi="仿宋_GB2312" w:eastAsia="仿宋_GB2312" w:cs="仿宋_GB2312"/>
                <w:kern w:val="0"/>
                <w:szCs w:val="21"/>
              </w:rPr>
              <w:t>优秀（5）；良好（3）；合格（1）；不合格（0）。</w:t>
            </w:r>
          </w:p>
        </w:tc>
        <w:tc>
          <w:tcPr>
            <w:tcW w:w="764" w:type="dxa"/>
            <w:tcBorders>
              <w:top w:val="single" w:color="000000" w:sz="4" w:space="0"/>
              <w:left w:val="single" w:color="auto" w:sz="4" w:space="0"/>
              <w:bottom w:val="single" w:color="000000" w:sz="4" w:space="0"/>
              <w:right w:val="single" w:color="000000" w:sz="4" w:space="0"/>
            </w:tcBorders>
            <w:vAlign w:val="center"/>
          </w:tcPr>
          <w:p w14:paraId="50ECC1B7">
            <w:pPr>
              <w:widowControl/>
              <w:spacing w:line="240" w:lineRule="exact"/>
              <w:jc w:val="left"/>
              <w:rPr>
                <w:szCs w:val="21"/>
              </w:rPr>
            </w:pPr>
            <w:r>
              <w:rPr>
                <w:rFonts w:hint="eastAsia"/>
                <w:szCs w:val="21"/>
              </w:rPr>
              <w:t>5</w:t>
            </w:r>
          </w:p>
        </w:tc>
      </w:tr>
    </w:tbl>
    <w:p w14:paraId="2216B86A">
      <w:pPr>
        <w:rPr>
          <w:rFonts w:ascii="仿宋" w:hAnsi="仿宋" w:eastAsia="仿宋" w:cs="仿宋"/>
          <w:sz w:val="32"/>
          <w:szCs w:val="32"/>
        </w:rPr>
      </w:pPr>
    </w:p>
    <w:sectPr>
      <w:footerReference r:id="rId3" w:type="default"/>
      <w:footerReference r:id="rId4" w:type="even"/>
      <w:pgSz w:w="11906" w:h="16838"/>
      <w:pgMar w:top="1985" w:right="1418" w:bottom="1985" w:left="1418" w:header="851" w:footer="1701" w:gutter="0"/>
      <w:cols w:space="425" w:num="1"/>
      <w:docGrid w:type="lines" w:linePitch="313"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新宋体">
    <w:panose1 w:val="02010609030101010101"/>
    <w:charset w:val="86"/>
    <w:family w:val="modern"/>
    <w:pitch w:val="default"/>
    <w:sig w:usb0="00000003" w:usb1="288F0000" w:usb2="0000000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24CBAD">
    <w:pPr>
      <w:pStyle w:val="8"/>
      <w:framePr w:wrap="around" w:vAnchor="text" w:hAnchor="margin" w:xAlign="outside" w:y="1"/>
      <w:rPr>
        <w:rStyle w:val="14"/>
        <w:rFonts w:ascii="宋体" w:hAnsi="宋体" w:eastAsia="宋体"/>
        <w:sz w:val="28"/>
        <w:szCs w:val="28"/>
      </w:rPr>
    </w:pPr>
    <w:r>
      <w:rPr>
        <w:rStyle w:val="14"/>
        <w:rFonts w:hint="eastAsia" w:ascii="宋体" w:hAnsi="宋体" w:eastAsia="宋体"/>
        <w:sz w:val="28"/>
        <w:szCs w:val="28"/>
      </w:rPr>
      <w:t>-</w:t>
    </w:r>
    <w:r>
      <w:rPr>
        <w:rStyle w:val="14"/>
        <w:rFonts w:ascii="宋体" w:hAnsi="宋体" w:eastAsia="宋体"/>
        <w:sz w:val="28"/>
        <w:szCs w:val="28"/>
      </w:rPr>
      <w:fldChar w:fldCharType="begin"/>
    </w:r>
    <w:r>
      <w:rPr>
        <w:rStyle w:val="14"/>
        <w:rFonts w:ascii="宋体" w:hAnsi="宋体" w:eastAsia="宋体"/>
        <w:sz w:val="28"/>
        <w:szCs w:val="28"/>
      </w:rPr>
      <w:instrText xml:space="preserve">PAGE  </w:instrText>
    </w:r>
    <w:r>
      <w:rPr>
        <w:rStyle w:val="14"/>
        <w:rFonts w:ascii="宋体" w:hAnsi="宋体" w:eastAsia="宋体"/>
        <w:sz w:val="28"/>
        <w:szCs w:val="28"/>
      </w:rPr>
      <w:fldChar w:fldCharType="separate"/>
    </w:r>
    <w:r>
      <w:rPr>
        <w:rStyle w:val="14"/>
        <w:rFonts w:ascii="宋体" w:hAnsi="宋体" w:eastAsia="宋体"/>
        <w:sz w:val="28"/>
        <w:szCs w:val="28"/>
      </w:rPr>
      <w:t>1</w:t>
    </w:r>
    <w:r>
      <w:rPr>
        <w:rStyle w:val="14"/>
        <w:rFonts w:ascii="宋体" w:hAnsi="宋体" w:eastAsia="宋体"/>
        <w:sz w:val="28"/>
        <w:szCs w:val="28"/>
      </w:rPr>
      <w:fldChar w:fldCharType="end"/>
    </w:r>
    <w:r>
      <w:rPr>
        <w:rStyle w:val="14"/>
        <w:rFonts w:hint="eastAsia" w:ascii="宋体" w:hAnsi="宋体" w:eastAsia="宋体"/>
        <w:sz w:val="28"/>
        <w:szCs w:val="28"/>
      </w:rPr>
      <w:t>-</w:t>
    </w:r>
  </w:p>
  <w:p w14:paraId="04597E81">
    <w:pPr>
      <w:pStyle w:val="8"/>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E218EF">
    <w:pPr>
      <w:pStyle w:val="8"/>
      <w:framePr w:wrap="around" w:vAnchor="text" w:hAnchor="margin" w:xAlign="outside" w:y="1"/>
      <w:rPr>
        <w:rStyle w:val="14"/>
      </w:rPr>
    </w:pPr>
    <w:r>
      <w:rPr>
        <w:rStyle w:val="14"/>
      </w:rPr>
      <w:fldChar w:fldCharType="begin"/>
    </w:r>
    <w:r>
      <w:rPr>
        <w:rStyle w:val="14"/>
      </w:rPr>
      <w:instrText xml:space="preserve">PAGE  </w:instrText>
    </w:r>
    <w:r>
      <w:rPr>
        <w:rStyle w:val="14"/>
      </w:rPr>
      <w:fldChar w:fldCharType="end"/>
    </w:r>
  </w:p>
  <w:p w14:paraId="150BED1A">
    <w:pPr>
      <w:pStyle w:val="8"/>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65442DE"/>
    <w:multiLevelType w:val="singleLevel"/>
    <w:tmpl w:val="A65442DE"/>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2"/>
  <w:bordersDoNotSurroundHeader w:val="1"/>
  <w:bordersDoNotSurroundFooter w:val="1"/>
  <w:documentProtection w:enforcement="0"/>
  <w:defaultTabStop w:val="420"/>
  <w:drawingGridHorizontalSpacing w:val="105"/>
  <w:drawingGridVerticalSpacing w:val="313"/>
  <w:displayHorizontalDrawingGridEvery w:val="0"/>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OWFiZjdhYmNlNmQ5MWJkYzUyMjMxNTViNTkxZWJlMGUifQ=="/>
  </w:docVars>
  <w:rsids>
    <w:rsidRoot w:val="00042933"/>
    <w:rsid w:val="00002F2C"/>
    <w:rsid w:val="000070A8"/>
    <w:rsid w:val="00016CA4"/>
    <w:rsid w:val="000324AE"/>
    <w:rsid w:val="00042933"/>
    <w:rsid w:val="0008033E"/>
    <w:rsid w:val="0008759D"/>
    <w:rsid w:val="00094F2B"/>
    <w:rsid w:val="000B0A83"/>
    <w:rsid w:val="000B6322"/>
    <w:rsid w:val="000C2CC1"/>
    <w:rsid w:val="000E4A5A"/>
    <w:rsid w:val="00103547"/>
    <w:rsid w:val="00103C04"/>
    <w:rsid w:val="0017068B"/>
    <w:rsid w:val="00185A3C"/>
    <w:rsid w:val="00192D5A"/>
    <w:rsid w:val="001C59B3"/>
    <w:rsid w:val="001E0886"/>
    <w:rsid w:val="001F7E31"/>
    <w:rsid w:val="002071BC"/>
    <w:rsid w:val="00225AE6"/>
    <w:rsid w:val="00235F0F"/>
    <w:rsid w:val="00255783"/>
    <w:rsid w:val="00290BA1"/>
    <w:rsid w:val="002A6AEA"/>
    <w:rsid w:val="002F2268"/>
    <w:rsid w:val="00387028"/>
    <w:rsid w:val="003C36E3"/>
    <w:rsid w:val="003C50C2"/>
    <w:rsid w:val="0041099F"/>
    <w:rsid w:val="00436A1D"/>
    <w:rsid w:val="004379D7"/>
    <w:rsid w:val="004A68B1"/>
    <w:rsid w:val="004B64F3"/>
    <w:rsid w:val="004E3B64"/>
    <w:rsid w:val="005020C5"/>
    <w:rsid w:val="00567FE6"/>
    <w:rsid w:val="0058162A"/>
    <w:rsid w:val="005B3616"/>
    <w:rsid w:val="005E12FA"/>
    <w:rsid w:val="00683167"/>
    <w:rsid w:val="006A5056"/>
    <w:rsid w:val="006E64C9"/>
    <w:rsid w:val="007048FF"/>
    <w:rsid w:val="00712100"/>
    <w:rsid w:val="0071700D"/>
    <w:rsid w:val="00742652"/>
    <w:rsid w:val="00772600"/>
    <w:rsid w:val="007D5D41"/>
    <w:rsid w:val="007F01F9"/>
    <w:rsid w:val="00856BA1"/>
    <w:rsid w:val="00867620"/>
    <w:rsid w:val="008709E0"/>
    <w:rsid w:val="008A6A10"/>
    <w:rsid w:val="008A6A31"/>
    <w:rsid w:val="008F5BB0"/>
    <w:rsid w:val="00904AF4"/>
    <w:rsid w:val="00905542"/>
    <w:rsid w:val="00917700"/>
    <w:rsid w:val="00956F74"/>
    <w:rsid w:val="009B0B5F"/>
    <w:rsid w:val="009C04DA"/>
    <w:rsid w:val="009C4C62"/>
    <w:rsid w:val="009E3627"/>
    <w:rsid w:val="009F53E7"/>
    <w:rsid w:val="00A11BF8"/>
    <w:rsid w:val="00A14A33"/>
    <w:rsid w:val="00A6449D"/>
    <w:rsid w:val="00A768DB"/>
    <w:rsid w:val="00AA09C8"/>
    <w:rsid w:val="00AD5F30"/>
    <w:rsid w:val="00B0681D"/>
    <w:rsid w:val="00B9023F"/>
    <w:rsid w:val="00BC1FDC"/>
    <w:rsid w:val="00BD0FD8"/>
    <w:rsid w:val="00C44804"/>
    <w:rsid w:val="00C6362A"/>
    <w:rsid w:val="00C81363"/>
    <w:rsid w:val="00CB27A5"/>
    <w:rsid w:val="00CD55ED"/>
    <w:rsid w:val="00CD63C0"/>
    <w:rsid w:val="00CE62A0"/>
    <w:rsid w:val="00D21F0C"/>
    <w:rsid w:val="00D366C1"/>
    <w:rsid w:val="00D877F7"/>
    <w:rsid w:val="00DB2D43"/>
    <w:rsid w:val="00E266F1"/>
    <w:rsid w:val="00EB16A8"/>
    <w:rsid w:val="00EB59BB"/>
    <w:rsid w:val="00EC7904"/>
    <w:rsid w:val="00F72E93"/>
    <w:rsid w:val="00F87A11"/>
    <w:rsid w:val="00FB7E01"/>
    <w:rsid w:val="00FE5F4C"/>
    <w:rsid w:val="00FF2C68"/>
    <w:rsid w:val="00FF39F6"/>
    <w:rsid w:val="05374814"/>
    <w:rsid w:val="0EFF7773"/>
    <w:rsid w:val="0F447F67"/>
    <w:rsid w:val="0F8F6BFC"/>
    <w:rsid w:val="1DC40A0D"/>
    <w:rsid w:val="3791647A"/>
    <w:rsid w:val="455969D8"/>
    <w:rsid w:val="499F4DE3"/>
    <w:rsid w:val="526A3656"/>
    <w:rsid w:val="538405E3"/>
    <w:rsid w:val="552F71C9"/>
    <w:rsid w:val="5D643D56"/>
    <w:rsid w:val="69BD0A47"/>
    <w:rsid w:val="71A911C9"/>
    <w:rsid w:val="77A86A4F"/>
    <w:rsid w:val="7CCC213E"/>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99"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4">
    <w:name w:val="heading 1"/>
    <w:basedOn w:val="1"/>
    <w:next w:val="1"/>
    <w:link w:val="18"/>
    <w:qFormat/>
    <w:uiPriority w:val="9"/>
    <w:pPr>
      <w:spacing w:before="100" w:beforeAutospacing="1" w:after="100" w:afterAutospacing="1"/>
      <w:jc w:val="left"/>
      <w:outlineLvl w:val="0"/>
    </w:pPr>
    <w:rPr>
      <w:rFonts w:hint="eastAsia" w:ascii="宋体" w:hAnsi="宋体" w:eastAsia="宋体" w:cs="宋体"/>
      <w:b/>
      <w:kern w:val="44"/>
      <w:sz w:val="48"/>
      <w:szCs w:val="48"/>
    </w:rPr>
  </w:style>
  <w:style w:type="character" w:default="1" w:styleId="12">
    <w:name w:val="Default Paragraph Font"/>
    <w:semiHidden/>
    <w:unhideWhenUsed/>
    <w:qFormat/>
    <w:uiPriority w:val="1"/>
  </w:style>
  <w:style w:type="table" w:default="1" w:styleId="11">
    <w:name w:val="Normal Table"/>
    <w:semiHidden/>
    <w:unhideWhenUsed/>
    <w:uiPriority w:val="99"/>
    <w:tblPr>
      <w:tblCellMar>
        <w:top w:w="0" w:type="dxa"/>
        <w:left w:w="108" w:type="dxa"/>
        <w:bottom w:w="0" w:type="dxa"/>
        <w:right w:w="108" w:type="dxa"/>
      </w:tblCellMar>
    </w:tblPr>
  </w:style>
  <w:style w:type="paragraph" w:styleId="2">
    <w:name w:val="Body Text First Indent 2"/>
    <w:basedOn w:val="3"/>
    <w:qFormat/>
    <w:uiPriority w:val="0"/>
    <w:pPr>
      <w:ind w:firstLine="420"/>
    </w:pPr>
  </w:style>
  <w:style w:type="paragraph" w:styleId="3">
    <w:name w:val="Body Text Indent"/>
    <w:basedOn w:val="1"/>
    <w:qFormat/>
    <w:uiPriority w:val="0"/>
    <w:pPr>
      <w:spacing w:line="600" w:lineRule="exact"/>
      <w:ind w:firstLine="560" w:firstLineChars="200"/>
      <w:textAlignment w:val="center"/>
    </w:pPr>
    <w:rPr>
      <w:rFonts w:ascii="宋体" w:hAnsi="宋体"/>
      <w:color w:val="FF0000"/>
      <w:sz w:val="28"/>
      <w:szCs w:val="28"/>
    </w:rPr>
  </w:style>
  <w:style w:type="paragraph" w:styleId="5">
    <w:name w:val="Body Text"/>
    <w:basedOn w:val="1"/>
    <w:qFormat/>
    <w:uiPriority w:val="99"/>
    <w:pPr>
      <w:autoSpaceDE w:val="0"/>
      <w:autoSpaceDN w:val="0"/>
      <w:adjustRightInd w:val="0"/>
      <w:snapToGrid w:val="0"/>
      <w:spacing w:line="588" w:lineRule="atLeast"/>
    </w:pPr>
    <w:rPr>
      <w:rFonts w:ascii="宋体" w:hAnsi="宋体" w:eastAsia="仿宋_GB2312"/>
      <w:spacing w:val="-2"/>
      <w:sz w:val="32"/>
      <w:szCs w:val="24"/>
    </w:rPr>
  </w:style>
  <w:style w:type="paragraph" w:styleId="6">
    <w:name w:val="Plain Text"/>
    <w:basedOn w:val="1"/>
    <w:link w:val="17"/>
    <w:qFormat/>
    <w:uiPriority w:val="0"/>
    <w:rPr>
      <w:rFonts w:ascii="宋体" w:hAnsi="Courier New" w:eastAsia="宋体" w:cs="Courier New"/>
      <w:szCs w:val="21"/>
    </w:rPr>
  </w:style>
  <w:style w:type="paragraph" w:styleId="7">
    <w:name w:val="Balloon Text"/>
    <w:basedOn w:val="1"/>
    <w:link w:val="20"/>
    <w:semiHidden/>
    <w:unhideWhenUsed/>
    <w:uiPriority w:val="99"/>
    <w:rPr>
      <w:sz w:val="18"/>
      <w:szCs w:val="18"/>
    </w:rPr>
  </w:style>
  <w:style w:type="paragraph" w:styleId="8">
    <w:name w:val="footer"/>
    <w:basedOn w:val="1"/>
    <w:link w:val="16"/>
    <w:unhideWhenUsed/>
    <w:qFormat/>
    <w:uiPriority w:val="99"/>
    <w:pPr>
      <w:tabs>
        <w:tab w:val="center" w:pos="4153"/>
        <w:tab w:val="right" w:pos="8306"/>
      </w:tabs>
      <w:snapToGrid w:val="0"/>
      <w:jc w:val="left"/>
    </w:pPr>
    <w:rPr>
      <w:sz w:val="18"/>
      <w:szCs w:val="18"/>
    </w:rPr>
  </w:style>
  <w:style w:type="paragraph" w:styleId="9">
    <w:name w:val="header"/>
    <w:basedOn w:val="1"/>
    <w:link w:val="15"/>
    <w:unhideWhenUsed/>
    <w:qFormat/>
    <w:uiPriority w:val="99"/>
    <w:pPr>
      <w:pBdr>
        <w:bottom w:val="single" w:color="auto" w:sz="6" w:space="1"/>
      </w:pBdr>
      <w:tabs>
        <w:tab w:val="center" w:pos="4153"/>
        <w:tab w:val="right" w:pos="8306"/>
      </w:tabs>
      <w:snapToGrid w:val="0"/>
      <w:jc w:val="center"/>
    </w:pPr>
    <w:rPr>
      <w:sz w:val="18"/>
      <w:szCs w:val="18"/>
    </w:rPr>
  </w:style>
  <w:style w:type="paragraph" w:styleId="10">
    <w:name w:val="Normal (Web)"/>
    <w:basedOn w:val="1"/>
    <w:qFormat/>
    <w:uiPriority w:val="99"/>
    <w:pPr>
      <w:widowControl/>
      <w:spacing w:before="100" w:beforeAutospacing="1" w:after="100" w:afterAutospacing="1"/>
      <w:jc w:val="left"/>
    </w:pPr>
    <w:rPr>
      <w:rFonts w:ascii="宋体" w:hAnsi="宋体" w:eastAsia="宋体" w:cs="宋体"/>
      <w:kern w:val="0"/>
      <w:sz w:val="24"/>
      <w:szCs w:val="24"/>
    </w:rPr>
  </w:style>
  <w:style w:type="character" w:styleId="13">
    <w:name w:val="Strong"/>
    <w:basedOn w:val="12"/>
    <w:qFormat/>
    <w:uiPriority w:val="22"/>
    <w:rPr>
      <w:b/>
      <w:bCs/>
    </w:rPr>
  </w:style>
  <w:style w:type="character" w:styleId="14">
    <w:name w:val="page number"/>
    <w:basedOn w:val="12"/>
    <w:semiHidden/>
    <w:unhideWhenUsed/>
    <w:qFormat/>
    <w:uiPriority w:val="99"/>
  </w:style>
  <w:style w:type="character" w:customStyle="1" w:styleId="15">
    <w:name w:val="页眉 Char"/>
    <w:basedOn w:val="12"/>
    <w:link w:val="9"/>
    <w:qFormat/>
    <w:uiPriority w:val="99"/>
    <w:rPr>
      <w:sz w:val="18"/>
      <w:szCs w:val="18"/>
    </w:rPr>
  </w:style>
  <w:style w:type="character" w:customStyle="1" w:styleId="16">
    <w:name w:val="页脚 Char"/>
    <w:basedOn w:val="12"/>
    <w:link w:val="8"/>
    <w:qFormat/>
    <w:uiPriority w:val="99"/>
    <w:rPr>
      <w:sz w:val="18"/>
      <w:szCs w:val="18"/>
    </w:rPr>
  </w:style>
  <w:style w:type="character" w:customStyle="1" w:styleId="17">
    <w:name w:val="纯文本 Char"/>
    <w:basedOn w:val="12"/>
    <w:link w:val="6"/>
    <w:qFormat/>
    <w:uiPriority w:val="0"/>
    <w:rPr>
      <w:rFonts w:ascii="宋体" w:hAnsi="Courier New" w:eastAsia="宋体" w:cs="Courier New"/>
      <w:szCs w:val="21"/>
    </w:rPr>
  </w:style>
  <w:style w:type="character" w:customStyle="1" w:styleId="18">
    <w:name w:val="标题 1 Char"/>
    <w:basedOn w:val="12"/>
    <w:link w:val="4"/>
    <w:qFormat/>
    <w:uiPriority w:val="9"/>
    <w:rPr>
      <w:rFonts w:ascii="宋体" w:hAnsi="宋体" w:eastAsia="宋体" w:cs="宋体"/>
      <w:b/>
      <w:kern w:val="44"/>
      <w:sz w:val="48"/>
      <w:szCs w:val="48"/>
    </w:rPr>
  </w:style>
  <w:style w:type="character" w:customStyle="1" w:styleId="19">
    <w:name w:val="font31"/>
    <w:basedOn w:val="12"/>
    <w:qFormat/>
    <w:uiPriority w:val="0"/>
    <w:rPr>
      <w:rFonts w:hint="eastAsia" w:ascii="宋体" w:hAnsi="宋体" w:eastAsia="宋体" w:cs="宋体"/>
      <w:b/>
      <w:color w:val="000000"/>
      <w:sz w:val="36"/>
      <w:szCs w:val="36"/>
      <w:u w:val="none"/>
    </w:rPr>
  </w:style>
  <w:style w:type="character" w:customStyle="1" w:styleId="20">
    <w:name w:val="批注框文本 Char"/>
    <w:basedOn w:val="12"/>
    <w:link w:val="7"/>
    <w:semiHidden/>
    <w:uiPriority w:val="99"/>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微软中国</Company>
  <Pages>9</Pages>
  <Words>6365</Words>
  <Characters>6778</Characters>
  <Lines>50</Lines>
  <Paragraphs>14</Paragraphs>
  <TotalTime>24</TotalTime>
  <ScaleCrop>false</ScaleCrop>
  <LinksUpToDate>false</LinksUpToDate>
  <CharactersWithSpaces>6839</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2016-02-22T07:07:00Z</dcterms:created>
  <dc:creator>Administrator</dc:creator>
  <cp:lastModifiedBy>(ಥ_ಥ)</cp:lastModifiedBy>
  <cp:lastPrinted>2020-06-03T09:28:00Z</cp:lastPrinted>
  <dcterms:modified xsi:type="dcterms:W3CDTF">2025-02-28T12:40:02Z</dcterms:modified>
  <cp:revision>76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F8235BB80C3F4883BCC5397E54C7BA17_12</vt:lpwstr>
  </property>
  <property fmtid="{D5CDD505-2E9C-101B-9397-08002B2CF9AE}" pid="4" name="KSOTemplateDocerSaveRecord">
    <vt:lpwstr>eyJoZGlkIjoiODQ0ZTNmNDYyYjBlMGE4NDJjMTRjODIyNDFiNWNiNjMiLCJ1c2VySWQiOiIzMjY5NjAxMTIifQ==</vt:lpwstr>
  </property>
</Properties>
</file>