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818隆尧县柳行农场事务中心</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237.50</w:t>
            </w:r>
          </w:p>
        </w:tc>
        <w:tc>
          <w:tcPr>
            <w:tcW w:w="4535" w:type="dxa"/>
            <w:vAlign w:val="center"/>
          </w:tcPr>
          <w:p>
            <w:pPr>
              <w:pStyle w:val="13"/>
            </w:pPr>
            <w:r>
              <w:t>一、一般公共服务支出</w:t>
            </w:r>
          </w:p>
        </w:tc>
        <w:tc>
          <w:tcPr>
            <w:tcW w:w="2126" w:type="dxa"/>
            <w:vAlign w:val="center"/>
          </w:tcPr>
          <w:p>
            <w:pPr>
              <w:pStyle w:val="12"/>
            </w:pPr>
            <w:r>
              <w:t>16.47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815.65</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195.62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1053.15</w:t>
            </w:r>
          </w:p>
        </w:tc>
        <w:tc>
          <w:tcPr>
            <w:tcW w:w="4535" w:type="dxa"/>
            <w:vAlign w:val="center"/>
          </w:tcPr>
          <w:p>
            <w:pPr>
              <w:pStyle w:val="15"/>
            </w:pPr>
            <w:r>
              <w:t>本年支出合计</w:t>
            </w:r>
          </w:p>
        </w:tc>
        <w:tc>
          <w:tcPr>
            <w:tcW w:w="2126" w:type="dxa"/>
            <w:vAlign w:val="center"/>
          </w:tcPr>
          <w:p>
            <w:pPr>
              <w:pStyle w:val="16"/>
            </w:pPr>
            <w:r>
              <w:t>1053.15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1053.15</w:t>
            </w:r>
          </w:p>
        </w:tc>
        <w:tc>
          <w:tcPr>
            <w:tcW w:w="4535" w:type="dxa"/>
            <w:vAlign w:val="center"/>
          </w:tcPr>
          <w:p>
            <w:pPr>
              <w:pStyle w:val="15"/>
            </w:pPr>
            <w:r>
              <w:t>支出总计</w:t>
            </w:r>
          </w:p>
        </w:tc>
        <w:tc>
          <w:tcPr>
            <w:tcW w:w="2126" w:type="dxa"/>
            <w:vAlign w:val="center"/>
          </w:tcPr>
          <w:p>
            <w:pPr>
              <w:pStyle w:val="16"/>
            </w:pPr>
            <w:r>
              <w:t>1053.15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818隆尧县柳行农场事务中心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1053.15</w:t>
            </w:r>
          </w:p>
        </w:tc>
        <w:tc>
          <w:tcPr>
            <w:tcW w:w="1134" w:type="dxa"/>
            <w:vAlign w:val="center"/>
          </w:tcPr>
          <w:p>
            <w:pPr>
              <w:pStyle w:val="16"/>
            </w:pPr>
            <w:r>
              <w:t>1053.15</w:t>
            </w:r>
          </w:p>
        </w:tc>
        <w:tc>
          <w:tcPr>
            <w:tcW w:w="1134" w:type="dxa"/>
            <w:vAlign w:val="center"/>
          </w:tcPr>
          <w:p>
            <w:pPr>
              <w:pStyle w:val="16"/>
            </w:pPr>
            <w:r>
              <w:t>1053.15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16.47</w:t>
            </w:r>
          </w:p>
        </w:tc>
        <w:tc>
          <w:tcPr>
            <w:tcW w:w="1134" w:type="dxa"/>
            <w:vAlign w:val="center"/>
          </w:tcPr>
          <w:p>
            <w:pPr>
              <w:pStyle w:val="12"/>
            </w:pPr>
            <w:r>
              <w:t>16.47</w:t>
            </w:r>
          </w:p>
        </w:tc>
        <w:tc>
          <w:tcPr>
            <w:tcW w:w="1134" w:type="dxa"/>
            <w:vAlign w:val="center"/>
          </w:tcPr>
          <w:p>
            <w:pPr>
              <w:pStyle w:val="12"/>
            </w:pPr>
            <w:r>
              <w:t>16.47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20107</w:t>
            </w:r>
          </w:p>
        </w:tc>
        <w:tc>
          <w:tcPr>
            <w:tcW w:w="1559" w:type="dxa"/>
            <w:vAlign w:val="center"/>
          </w:tcPr>
          <w:p>
            <w:pPr>
              <w:pStyle w:val="13"/>
            </w:pPr>
            <w:r>
              <w:t>税收事务</w:t>
            </w:r>
          </w:p>
        </w:tc>
        <w:tc>
          <w:tcPr>
            <w:tcW w:w="1134" w:type="dxa"/>
            <w:vAlign w:val="center"/>
          </w:tcPr>
          <w:p>
            <w:pPr>
              <w:pStyle w:val="12"/>
            </w:pPr>
            <w:r>
              <w:t>16.47</w:t>
            </w:r>
          </w:p>
        </w:tc>
        <w:tc>
          <w:tcPr>
            <w:tcW w:w="1134" w:type="dxa"/>
            <w:vAlign w:val="center"/>
          </w:tcPr>
          <w:p>
            <w:pPr>
              <w:pStyle w:val="12"/>
            </w:pPr>
            <w:r>
              <w:t>16.47</w:t>
            </w:r>
          </w:p>
        </w:tc>
        <w:tc>
          <w:tcPr>
            <w:tcW w:w="1134" w:type="dxa"/>
            <w:vAlign w:val="center"/>
          </w:tcPr>
          <w:p>
            <w:pPr>
              <w:pStyle w:val="12"/>
            </w:pPr>
            <w:r>
              <w:t>16.47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2010701</w:t>
            </w:r>
          </w:p>
        </w:tc>
        <w:tc>
          <w:tcPr>
            <w:tcW w:w="1559" w:type="dxa"/>
            <w:vAlign w:val="center"/>
          </w:tcPr>
          <w:p>
            <w:pPr>
              <w:pStyle w:val="13"/>
            </w:pPr>
            <w:r>
              <w:t>行政运行</w:t>
            </w:r>
          </w:p>
        </w:tc>
        <w:tc>
          <w:tcPr>
            <w:tcW w:w="1134" w:type="dxa"/>
            <w:vAlign w:val="center"/>
          </w:tcPr>
          <w:p>
            <w:pPr>
              <w:pStyle w:val="12"/>
            </w:pPr>
            <w:r>
              <w:t>16.47</w:t>
            </w:r>
          </w:p>
        </w:tc>
        <w:tc>
          <w:tcPr>
            <w:tcW w:w="1134" w:type="dxa"/>
            <w:vAlign w:val="center"/>
          </w:tcPr>
          <w:p>
            <w:pPr>
              <w:pStyle w:val="12"/>
            </w:pPr>
            <w:r>
              <w:t>16.47</w:t>
            </w:r>
          </w:p>
        </w:tc>
        <w:tc>
          <w:tcPr>
            <w:tcW w:w="1134" w:type="dxa"/>
            <w:vAlign w:val="center"/>
          </w:tcPr>
          <w:p>
            <w:pPr>
              <w:pStyle w:val="12"/>
            </w:pPr>
            <w:r>
              <w:t>16.47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5.71</w:t>
            </w:r>
          </w:p>
        </w:tc>
        <w:tc>
          <w:tcPr>
            <w:tcW w:w="1134" w:type="dxa"/>
            <w:vAlign w:val="center"/>
          </w:tcPr>
          <w:p>
            <w:pPr>
              <w:pStyle w:val="12"/>
            </w:pPr>
            <w:r>
              <w:t>5.71</w:t>
            </w:r>
          </w:p>
        </w:tc>
        <w:tc>
          <w:tcPr>
            <w:tcW w:w="1134" w:type="dxa"/>
            <w:vAlign w:val="center"/>
          </w:tcPr>
          <w:p>
            <w:pPr>
              <w:pStyle w:val="12"/>
            </w:pPr>
            <w:r>
              <w:t>5.71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5.71</w:t>
            </w:r>
          </w:p>
        </w:tc>
        <w:tc>
          <w:tcPr>
            <w:tcW w:w="1134" w:type="dxa"/>
            <w:vAlign w:val="center"/>
          </w:tcPr>
          <w:p>
            <w:pPr>
              <w:pStyle w:val="12"/>
            </w:pPr>
            <w:r>
              <w:t>5.71</w:t>
            </w:r>
          </w:p>
        </w:tc>
        <w:tc>
          <w:tcPr>
            <w:tcW w:w="1134" w:type="dxa"/>
            <w:vAlign w:val="center"/>
          </w:tcPr>
          <w:p>
            <w:pPr>
              <w:pStyle w:val="12"/>
            </w:pPr>
            <w:r>
              <w:t>5.71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5.71</w:t>
            </w:r>
          </w:p>
        </w:tc>
        <w:tc>
          <w:tcPr>
            <w:tcW w:w="1134" w:type="dxa"/>
            <w:vAlign w:val="center"/>
          </w:tcPr>
          <w:p>
            <w:pPr>
              <w:pStyle w:val="12"/>
            </w:pPr>
            <w:r>
              <w:t>5.71</w:t>
            </w:r>
          </w:p>
        </w:tc>
        <w:tc>
          <w:tcPr>
            <w:tcW w:w="1134" w:type="dxa"/>
            <w:vAlign w:val="center"/>
          </w:tcPr>
          <w:p>
            <w:pPr>
              <w:pStyle w:val="12"/>
            </w:pPr>
            <w:r>
              <w:t>5.71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195.62</w:t>
            </w:r>
          </w:p>
        </w:tc>
        <w:tc>
          <w:tcPr>
            <w:tcW w:w="1134" w:type="dxa"/>
            <w:vAlign w:val="center"/>
          </w:tcPr>
          <w:p>
            <w:pPr>
              <w:pStyle w:val="12"/>
            </w:pPr>
            <w:r>
              <w:t>195.62</w:t>
            </w:r>
          </w:p>
        </w:tc>
        <w:tc>
          <w:tcPr>
            <w:tcW w:w="1134" w:type="dxa"/>
            <w:vAlign w:val="center"/>
          </w:tcPr>
          <w:p>
            <w:pPr>
              <w:pStyle w:val="12"/>
            </w:pPr>
            <w:r>
              <w:t>195.62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77.62</w:t>
            </w:r>
          </w:p>
        </w:tc>
        <w:tc>
          <w:tcPr>
            <w:tcW w:w="1134" w:type="dxa"/>
            <w:vAlign w:val="center"/>
          </w:tcPr>
          <w:p>
            <w:pPr>
              <w:pStyle w:val="12"/>
            </w:pPr>
            <w:r>
              <w:t>77.62</w:t>
            </w:r>
          </w:p>
        </w:tc>
        <w:tc>
          <w:tcPr>
            <w:tcW w:w="1134" w:type="dxa"/>
            <w:vAlign w:val="center"/>
          </w:tcPr>
          <w:p>
            <w:pPr>
              <w:pStyle w:val="12"/>
            </w:pPr>
            <w:r>
              <w:t>77.62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2130104</w:t>
            </w:r>
          </w:p>
        </w:tc>
        <w:tc>
          <w:tcPr>
            <w:tcW w:w="1559" w:type="dxa"/>
            <w:vAlign w:val="center"/>
          </w:tcPr>
          <w:p>
            <w:pPr>
              <w:pStyle w:val="13"/>
            </w:pPr>
            <w:r>
              <w:t>事业运行</w:t>
            </w:r>
          </w:p>
        </w:tc>
        <w:tc>
          <w:tcPr>
            <w:tcW w:w="1134" w:type="dxa"/>
            <w:vAlign w:val="center"/>
          </w:tcPr>
          <w:p>
            <w:pPr>
              <w:pStyle w:val="12"/>
            </w:pPr>
            <w:r>
              <w:t>77.62</w:t>
            </w:r>
          </w:p>
        </w:tc>
        <w:tc>
          <w:tcPr>
            <w:tcW w:w="1134" w:type="dxa"/>
            <w:vAlign w:val="center"/>
          </w:tcPr>
          <w:p>
            <w:pPr>
              <w:pStyle w:val="12"/>
            </w:pPr>
            <w:r>
              <w:t>77.62</w:t>
            </w:r>
          </w:p>
        </w:tc>
        <w:tc>
          <w:tcPr>
            <w:tcW w:w="1134" w:type="dxa"/>
            <w:vAlign w:val="center"/>
          </w:tcPr>
          <w:p>
            <w:pPr>
              <w:pStyle w:val="12"/>
            </w:pPr>
            <w:r>
              <w:t>77.62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1053.15</w:t>
            </w:r>
          </w:p>
        </w:tc>
        <w:tc>
          <w:tcPr>
            <w:tcW w:w="1361" w:type="dxa"/>
            <w:vAlign w:val="center"/>
          </w:tcPr>
          <w:p>
            <w:pPr>
              <w:pStyle w:val="16"/>
            </w:pPr>
            <w:r>
              <w:t>119.50</w:t>
            </w:r>
          </w:p>
        </w:tc>
        <w:tc>
          <w:tcPr>
            <w:tcW w:w="1361" w:type="dxa"/>
            <w:vAlign w:val="center"/>
          </w:tcPr>
          <w:p>
            <w:pPr>
              <w:pStyle w:val="16"/>
            </w:pPr>
            <w:r>
              <w:t>933.65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16.47</w:t>
            </w:r>
          </w:p>
        </w:tc>
        <w:tc>
          <w:tcPr>
            <w:tcW w:w="1361" w:type="dxa"/>
            <w:vAlign w:val="center"/>
          </w:tcPr>
          <w:p>
            <w:pPr>
              <w:pStyle w:val="12"/>
            </w:pPr>
            <w:r>
              <w:t>16.47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20107</w:t>
            </w:r>
          </w:p>
        </w:tc>
        <w:tc>
          <w:tcPr>
            <w:tcW w:w="4535" w:type="dxa"/>
            <w:vAlign w:val="center"/>
          </w:tcPr>
          <w:p>
            <w:pPr>
              <w:pStyle w:val="13"/>
            </w:pPr>
            <w:r>
              <w:t>税收事务</w:t>
            </w:r>
          </w:p>
        </w:tc>
        <w:tc>
          <w:tcPr>
            <w:tcW w:w="1361" w:type="dxa"/>
            <w:vAlign w:val="center"/>
          </w:tcPr>
          <w:p>
            <w:pPr>
              <w:pStyle w:val="12"/>
            </w:pPr>
            <w:r>
              <w:t>16.47</w:t>
            </w:r>
          </w:p>
        </w:tc>
        <w:tc>
          <w:tcPr>
            <w:tcW w:w="1361" w:type="dxa"/>
            <w:vAlign w:val="center"/>
          </w:tcPr>
          <w:p>
            <w:pPr>
              <w:pStyle w:val="12"/>
            </w:pPr>
            <w:r>
              <w:t>16.47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2010701</w:t>
            </w:r>
          </w:p>
        </w:tc>
        <w:tc>
          <w:tcPr>
            <w:tcW w:w="4535" w:type="dxa"/>
            <w:vAlign w:val="center"/>
          </w:tcPr>
          <w:p>
            <w:pPr>
              <w:pStyle w:val="13"/>
            </w:pPr>
            <w:r>
              <w:t>行政运行</w:t>
            </w:r>
          </w:p>
        </w:tc>
        <w:tc>
          <w:tcPr>
            <w:tcW w:w="1361" w:type="dxa"/>
            <w:vAlign w:val="center"/>
          </w:tcPr>
          <w:p>
            <w:pPr>
              <w:pStyle w:val="12"/>
            </w:pPr>
            <w:r>
              <w:t>16.47</w:t>
            </w:r>
          </w:p>
        </w:tc>
        <w:tc>
          <w:tcPr>
            <w:tcW w:w="1361" w:type="dxa"/>
            <w:vAlign w:val="center"/>
          </w:tcPr>
          <w:p>
            <w:pPr>
              <w:pStyle w:val="12"/>
            </w:pPr>
            <w:r>
              <w:t>16.47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11.10</w:t>
            </w:r>
          </w:p>
        </w:tc>
        <w:tc>
          <w:tcPr>
            <w:tcW w:w="1361" w:type="dxa"/>
            <w:vAlign w:val="center"/>
          </w:tcPr>
          <w:p>
            <w:pPr>
              <w:pStyle w:val="12"/>
            </w:pPr>
            <w:r>
              <w:t>11.10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11.10</w:t>
            </w:r>
          </w:p>
        </w:tc>
        <w:tc>
          <w:tcPr>
            <w:tcW w:w="1361" w:type="dxa"/>
            <w:vAlign w:val="center"/>
          </w:tcPr>
          <w:p>
            <w:pPr>
              <w:pStyle w:val="12"/>
            </w:pPr>
            <w:r>
              <w:t>11.10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11.10</w:t>
            </w:r>
          </w:p>
        </w:tc>
        <w:tc>
          <w:tcPr>
            <w:tcW w:w="1361" w:type="dxa"/>
            <w:vAlign w:val="center"/>
          </w:tcPr>
          <w:p>
            <w:pPr>
              <w:pStyle w:val="12"/>
            </w:pPr>
            <w:r>
              <w:t>11.10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5.71</w:t>
            </w:r>
          </w:p>
        </w:tc>
        <w:tc>
          <w:tcPr>
            <w:tcW w:w="1361" w:type="dxa"/>
            <w:vAlign w:val="center"/>
          </w:tcPr>
          <w:p>
            <w:pPr>
              <w:pStyle w:val="12"/>
            </w:pPr>
            <w:r>
              <w:t>5.71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5.71</w:t>
            </w:r>
          </w:p>
        </w:tc>
        <w:tc>
          <w:tcPr>
            <w:tcW w:w="1361" w:type="dxa"/>
            <w:vAlign w:val="center"/>
          </w:tcPr>
          <w:p>
            <w:pPr>
              <w:pStyle w:val="12"/>
            </w:pPr>
            <w:r>
              <w:t>5.71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5.71</w:t>
            </w:r>
          </w:p>
        </w:tc>
        <w:tc>
          <w:tcPr>
            <w:tcW w:w="1361" w:type="dxa"/>
            <w:vAlign w:val="center"/>
          </w:tcPr>
          <w:p>
            <w:pPr>
              <w:pStyle w:val="12"/>
            </w:pPr>
            <w:r>
              <w:t>5.71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195.62</w:t>
            </w:r>
          </w:p>
        </w:tc>
        <w:tc>
          <w:tcPr>
            <w:tcW w:w="1361" w:type="dxa"/>
            <w:vAlign w:val="center"/>
          </w:tcPr>
          <w:p>
            <w:pPr>
              <w:pStyle w:val="12"/>
            </w:pPr>
            <w:r>
              <w:t>77.62</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77.62</w:t>
            </w:r>
          </w:p>
        </w:tc>
        <w:tc>
          <w:tcPr>
            <w:tcW w:w="1361" w:type="dxa"/>
            <w:vAlign w:val="center"/>
          </w:tcPr>
          <w:p>
            <w:pPr>
              <w:pStyle w:val="12"/>
            </w:pPr>
            <w:r>
              <w:t>77.62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2130104</w:t>
            </w:r>
          </w:p>
        </w:tc>
        <w:tc>
          <w:tcPr>
            <w:tcW w:w="4535" w:type="dxa"/>
            <w:vAlign w:val="center"/>
          </w:tcPr>
          <w:p>
            <w:pPr>
              <w:pStyle w:val="13"/>
            </w:pPr>
            <w:r>
              <w:t>事业运行</w:t>
            </w:r>
          </w:p>
        </w:tc>
        <w:tc>
          <w:tcPr>
            <w:tcW w:w="1361" w:type="dxa"/>
            <w:vAlign w:val="center"/>
          </w:tcPr>
          <w:p>
            <w:pPr>
              <w:pStyle w:val="12"/>
            </w:pPr>
            <w:r>
              <w:t>77.62</w:t>
            </w:r>
          </w:p>
        </w:tc>
        <w:tc>
          <w:tcPr>
            <w:tcW w:w="1361" w:type="dxa"/>
            <w:vAlign w:val="center"/>
          </w:tcPr>
          <w:p>
            <w:pPr>
              <w:pStyle w:val="12"/>
            </w:pPr>
            <w:r>
              <w:t>77.62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8.60</w:t>
            </w:r>
          </w:p>
        </w:tc>
        <w:tc>
          <w:tcPr>
            <w:tcW w:w="1361" w:type="dxa"/>
            <w:vAlign w:val="center"/>
          </w:tcPr>
          <w:p>
            <w:pPr>
              <w:pStyle w:val="12"/>
            </w:pPr>
            <w:r>
              <w:t>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8.60</w:t>
            </w:r>
          </w:p>
        </w:tc>
        <w:tc>
          <w:tcPr>
            <w:tcW w:w="1361" w:type="dxa"/>
            <w:vAlign w:val="center"/>
          </w:tcPr>
          <w:p>
            <w:pPr>
              <w:pStyle w:val="12"/>
            </w:pPr>
            <w:r>
              <w:t>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8.60</w:t>
            </w:r>
          </w:p>
        </w:tc>
        <w:tc>
          <w:tcPr>
            <w:tcW w:w="1361" w:type="dxa"/>
            <w:vAlign w:val="center"/>
          </w:tcPr>
          <w:p>
            <w:pPr>
              <w:pStyle w:val="12"/>
            </w:pPr>
            <w:r>
              <w:t>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237.50</w:t>
            </w:r>
          </w:p>
        </w:tc>
        <w:tc>
          <w:tcPr>
            <w:tcW w:w="3402" w:type="dxa"/>
            <w:vAlign w:val="center"/>
          </w:tcPr>
          <w:p>
            <w:pPr>
              <w:pStyle w:val="13"/>
            </w:pPr>
            <w:r>
              <w:t>一、一般公共服务支出</w:t>
            </w:r>
          </w:p>
        </w:tc>
        <w:tc>
          <w:tcPr>
            <w:tcW w:w="1474" w:type="dxa"/>
            <w:vAlign w:val="center"/>
          </w:tcPr>
          <w:p>
            <w:pPr>
              <w:pStyle w:val="12"/>
            </w:pPr>
            <w:r>
              <w:t>16.47</w:t>
            </w:r>
          </w:p>
        </w:tc>
        <w:tc>
          <w:tcPr>
            <w:tcW w:w="1474" w:type="dxa"/>
            <w:vAlign w:val="center"/>
          </w:tcPr>
          <w:p>
            <w:pPr>
              <w:pStyle w:val="12"/>
            </w:pPr>
            <w:r>
              <w:t>16.47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815.65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11.10</w:t>
            </w:r>
          </w:p>
        </w:tc>
        <w:tc>
          <w:tcPr>
            <w:tcW w:w="1474" w:type="dxa"/>
            <w:vAlign w:val="center"/>
          </w:tcPr>
          <w:p>
            <w:pPr>
              <w:pStyle w:val="12"/>
            </w:pPr>
            <w:r>
              <w:t>11.10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5.71</w:t>
            </w:r>
          </w:p>
        </w:tc>
        <w:tc>
          <w:tcPr>
            <w:tcW w:w="1474" w:type="dxa"/>
            <w:vAlign w:val="center"/>
          </w:tcPr>
          <w:p>
            <w:pPr>
              <w:pStyle w:val="12"/>
            </w:pPr>
            <w:r>
              <w:t>5.71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815.65</w:t>
            </w:r>
          </w:p>
        </w:tc>
        <w:tc>
          <w:tcPr>
            <w:tcW w:w="1474" w:type="dxa"/>
            <w:vAlign w:val="center"/>
          </w:tcPr>
          <w:p>
            <w:pPr>
              <w:pStyle w:val="12"/>
            </w:pPr>
          </w:p>
        </w:tc>
        <w:tc>
          <w:tcPr>
            <w:tcW w:w="1474" w:type="dxa"/>
            <w:vAlign w:val="center"/>
          </w:tcPr>
          <w:p>
            <w:pPr>
              <w:pStyle w:val="12"/>
            </w:pPr>
            <w:r>
              <w:t>815.65</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195.62</w:t>
            </w:r>
          </w:p>
        </w:tc>
        <w:tc>
          <w:tcPr>
            <w:tcW w:w="1474" w:type="dxa"/>
            <w:vAlign w:val="center"/>
          </w:tcPr>
          <w:p>
            <w:pPr>
              <w:pStyle w:val="12"/>
            </w:pPr>
            <w:r>
              <w:t>195.62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8.60</w:t>
            </w:r>
          </w:p>
        </w:tc>
        <w:tc>
          <w:tcPr>
            <w:tcW w:w="1474" w:type="dxa"/>
            <w:vAlign w:val="center"/>
          </w:tcPr>
          <w:p>
            <w:pPr>
              <w:pStyle w:val="12"/>
            </w:pPr>
            <w:r>
              <w:t>8.60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1053.15</w:t>
            </w:r>
          </w:p>
        </w:tc>
        <w:tc>
          <w:tcPr>
            <w:tcW w:w="3402" w:type="dxa"/>
            <w:vAlign w:val="center"/>
          </w:tcPr>
          <w:p>
            <w:pPr>
              <w:pStyle w:val="15"/>
            </w:pPr>
            <w:r>
              <w:t>本年支出合计</w:t>
            </w:r>
          </w:p>
        </w:tc>
        <w:tc>
          <w:tcPr>
            <w:tcW w:w="1474" w:type="dxa"/>
            <w:vAlign w:val="center"/>
          </w:tcPr>
          <w:p>
            <w:pPr>
              <w:pStyle w:val="16"/>
            </w:pPr>
            <w:r>
              <w:t>1053.15</w:t>
            </w:r>
          </w:p>
        </w:tc>
        <w:tc>
          <w:tcPr>
            <w:tcW w:w="1474" w:type="dxa"/>
            <w:vAlign w:val="center"/>
          </w:tcPr>
          <w:p>
            <w:pPr>
              <w:pStyle w:val="16"/>
            </w:pPr>
            <w:r>
              <w:t>237.50</w:t>
            </w:r>
          </w:p>
        </w:tc>
        <w:tc>
          <w:tcPr>
            <w:tcW w:w="1474" w:type="dxa"/>
            <w:vAlign w:val="center"/>
          </w:tcPr>
          <w:p>
            <w:pPr>
              <w:pStyle w:val="16"/>
            </w:pPr>
            <w:r>
              <w:t>815.65</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1053.15</w:t>
            </w:r>
          </w:p>
        </w:tc>
        <w:tc>
          <w:tcPr>
            <w:tcW w:w="3402" w:type="dxa"/>
            <w:vAlign w:val="center"/>
          </w:tcPr>
          <w:p>
            <w:pPr>
              <w:pStyle w:val="15"/>
            </w:pPr>
            <w:r>
              <w:t>支出总计</w:t>
            </w:r>
          </w:p>
        </w:tc>
        <w:tc>
          <w:tcPr>
            <w:tcW w:w="1474" w:type="dxa"/>
            <w:vAlign w:val="center"/>
          </w:tcPr>
          <w:p>
            <w:pPr>
              <w:pStyle w:val="16"/>
            </w:pPr>
            <w:r>
              <w:t>1053.15</w:t>
            </w:r>
          </w:p>
        </w:tc>
        <w:tc>
          <w:tcPr>
            <w:tcW w:w="1474" w:type="dxa"/>
            <w:vAlign w:val="center"/>
          </w:tcPr>
          <w:p>
            <w:pPr>
              <w:pStyle w:val="16"/>
            </w:pPr>
            <w:r>
              <w:t>237.50</w:t>
            </w:r>
          </w:p>
        </w:tc>
        <w:tc>
          <w:tcPr>
            <w:tcW w:w="1474" w:type="dxa"/>
            <w:vAlign w:val="center"/>
          </w:tcPr>
          <w:p>
            <w:pPr>
              <w:pStyle w:val="16"/>
            </w:pPr>
            <w:r>
              <w:t>815.65</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237.50</w:t>
            </w:r>
          </w:p>
        </w:tc>
        <w:tc>
          <w:tcPr>
            <w:tcW w:w="2551" w:type="dxa"/>
            <w:vAlign w:val="center"/>
          </w:tcPr>
          <w:p>
            <w:pPr>
              <w:pStyle w:val="16"/>
            </w:pPr>
            <w:r>
              <w:t>119.50</w:t>
            </w:r>
          </w:p>
        </w:tc>
        <w:tc>
          <w:tcPr>
            <w:tcW w:w="2551" w:type="dxa"/>
            <w:vAlign w:val="center"/>
          </w:tcPr>
          <w:p>
            <w:pPr>
              <w:pStyle w:val="16"/>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16.47</w:t>
            </w:r>
          </w:p>
        </w:tc>
        <w:tc>
          <w:tcPr>
            <w:tcW w:w="2551" w:type="dxa"/>
            <w:vAlign w:val="center"/>
          </w:tcPr>
          <w:p>
            <w:pPr>
              <w:pStyle w:val="12"/>
            </w:pPr>
            <w:r>
              <w:t>16.47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20107</w:t>
            </w:r>
          </w:p>
        </w:tc>
        <w:tc>
          <w:tcPr>
            <w:tcW w:w="4535" w:type="dxa"/>
            <w:vAlign w:val="center"/>
          </w:tcPr>
          <w:p>
            <w:pPr>
              <w:pStyle w:val="13"/>
            </w:pPr>
            <w:r>
              <w:t>税收事务</w:t>
            </w:r>
          </w:p>
        </w:tc>
        <w:tc>
          <w:tcPr>
            <w:tcW w:w="2551" w:type="dxa"/>
            <w:vAlign w:val="center"/>
          </w:tcPr>
          <w:p>
            <w:pPr>
              <w:pStyle w:val="12"/>
            </w:pPr>
            <w:r>
              <w:t>16.47</w:t>
            </w:r>
          </w:p>
        </w:tc>
        <w:tc>
          <w:tcPr>
            <w:tcW w:w="2551" w:type="dxa"/>
            <w:vAlign w:val="center"/>
          </w:tcPr>
          <w:p>
            <w:pPr>
              <w:pStyle w:val="12"/>
            </w:pPr>
            <w:r>
              <w:t>16.47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2010701</w:t>
            </w:r>
          </w:p>
        </w:tc>
        <w:tc>
          <w:tcPr>
            <w:tcW w:w="4535" w:type="dxa"/>
            <w:vAlign w:val="center"/>
          </w:tcPr>
          <w:p>
            <w:pPr>
              <w:pStyle w:val="13"/>
            </w:pPr>
            <w:r>
              <w:t>行政运行</w:t>
            </w:r>
          </w:p>
        </w:tc>
        <w:tc>
          <w:tcPr>
            <w:tcW w:w="2551" w:type="dxa"/>
            <w:vAlign w:val="center"/>
          </w:tcPr>
          <w:p>
            <w:pPr>
              <w:pStyle w:val="12"/>
            </w:pPr>
            <w:r>
              <w:t>16.47</w:t>
            </w:r>
          </w:p>
        </w:tc>
        <w:tc>
          <w:tcPr>
            <w:tcW w:w="2551" w:type="dxa"/>
            <w:vAlign w:val="center"/>
          </w:tcPr>
          <w:p>
            <w:pPr>
              <w:pStyle w:val="12"/>
            </w:pPr>
            <w:r>
              <w:t>16.47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11.10</w:t>
            </w:r>
          </w:p>
        </w:tc>
        <w:tc>
          <w:tcPr>
            <w:tcW w:w="2551" w:type="dxa"/>
            <w:vAlign w:val="center"/>
          </w:tcPr>
          <w:p>
            <w:pPr>
              <w:pStyle w:val="12"/>
            </w:pPr>
            <w:r>
              <w:t>11.10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11.10</w:t>
            </w:r>
          </w:p>
        </w:tc>
        <w:tc>
          <w:tcPr>
            <w:tcW w:w="2551" w:type="dxa"/>
            <w:vAlign w:val="center"/>
          </w:tcPr>
          <w:p>
            <w:pPr>
              <w:pStyle w:val="12"/>
            </w:pPr>
            <w:r>
              <w:t>11.10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11.10</w:t>
            </w:r>
          </w:p>
        </w:tc>
        <w:tc>
          <w:tcPr>
            <w:tcW w:w="2551" w:type="dxa"/>
            <w:vAlign w:val="center"/>
          </w:tcPr>
          <w:p>
            <w:pPr>
              <w:pStyle w:val="12"/>
            </w:pPr>
            <w:r>
              <w:t>11.10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5.71</w:t>
            </w:r>
          </w:p>
        </w:tc>
        <w:tc>
          <w:tcPr>
            <w:tcW w:w="2551" w:type="dxa"/>
            <w:vAlign w:val="center"/>
          </w:tcPr>
          <w:p>
            <w:pPr>
              <w:pStyle w:val="12"/>
            </w:pPr>
            <w:r>
              <w:t>5.71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5.71</w:t>
            </w:r>
          </w:p>
        </w:tc>
        <w:tc>
          <w:tcPr>
            <w:tcW w:w="2551" w:type="dxa"/>
            <w:vAlign w:val="center"/>
          </w:tcPr>
          <w:p>
            <w:pPr>
              <w:pStyle w:val="12"/>
            </w:pPr>
            <w:r>
              <w:t>5.71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5.71</w:t>
            </w:r>
          </w:p>
        </w:tc>
        <w:tc>
          <w:tcPr>
            <w:tcW w:w="2551" w:type="dxa"/>
            <w:vAlign w:val="center"/>
          </w:tcPr>
          <w:p>
            <w:pPr>
              <w:pStyle w:val="12"/>
            </w:pPr>
            <w:r>
              <w:t>5.71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195.62</w:t>
            </w:r>
          </w:p>
        </w:tc>
        <w:tc>
          <w:tcPr>
            <w:tcW w:w="2551" w:type="dxa"/>
            <w:vAlign w:val="center"/>
          </w:tcPr>
          <w:p>
            <w:pPr>
              <w:pStyle w:val="12"/>
            </w:pPr>
            <w:r>
              <w:t>77.62</w:t>
            </w:r>
          </w:p>
        </w:tc>
        <w:tc>
          <w:tcPr>
            <w:tcW w:w="2551" w:type="dxa"/>
            <w:vAlign w:val="center"/>
          </w:tcPr>
          <w:p>
            <w:pPr>
              <w:pStyle w:val="12"/>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77.62</w:t>
            </w:r>
          </w:p>
        </w:tc>
        <w:tc>
          <w:tcPr>
            <w:tcW w:w="2551" w:type="dxa"/>
            <w:vAlign w:val="center"/>
          </w:tcPr>
          <w:p>
            <w:pPr>
              <w:pStyle w:val="12"/>
            </w:pPr>
            <w:r>
              <w:t>77.62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2130104</w:t>
            </w:r>
          </w:p>
        </w:tc>
        <w:tc>
          <w:tcPr>
            <w:tcW w:w="4535" w:type="dxa"/>
            <w:vAlign w:val="center"/>
          </w:tcPr>
          <w:p>
            <w:pPr>
              <w:pStyle w:val="13"/>
            </w:pPr>
            <w:r>
              <w:t>事业运行</w:t>
            </w:r>
          </w:p>
        </w:tc>
        <w:tc>
          <w:tcPr>
            <w:tcW w:w="2551" w:type="dxa"/>
            <w:vAlign w:val="center"/>
          </w:tcPr>
          <w:p>
            <w:pPr>
              <w:pStyle w:val="12"/>
            </w:pPr>
            <w:r>
              <w:t>77.62</w:t>
            </w:r>
          </w:p>
        </w:tc>
        <w:tc>
          <w:tcPr>
            <w:tcW w:w="2551" w:type="dxa"/>
            <w:vAlign w:val="center"/>
          </w:tcPr>
          <w:p>
            <w:pPr>
              <w:pStyle w:val="12"/>
            </w:pPr>
            <w:r>
              <w:t>77.62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118.00</w:t>
            </w:r>
          </w:p>
        </w:tc>
        <w:tc>
          <w:tcPr>
            <w:tcW w:w="2551" w:type="dxa"/>
            <w:vAlign w:val="center"/>
          </w:tcPr>
          <w:p>
            <w:pPr>
              <w:pStyle w:val="12"/>
            </w:pPr>
          </w:p>
        </w:tc>
        <w:tc>
          <w:tcPr>
            <w:tcW w:w="2551" w:type="dxa"/>
            <w:vAlign w:val="center"/>
          </w:tcPr>
          <w:p>
            <w:pPr>
              <w:pStyle w:val="12"/>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118.00</w:t>
            </w:r>
          </w:p>
        </w:tc>
        <w:tc>
          <w:tcPr>
            <w:tcW w:w="2551" w:type="dxa"/>
            <w:vAlign w:val="center"/>
          </w:tcPr>
          <w:p>
            <w:pPr>
              <w:pStyle w:val="12"/>
            </w:pPr>
          </w:p>
        </w:tc>
        <w:tc>
          <w:tcPr>
            <w:tcW w:w="2551" w:type="dxa"/>
            <w:vAlign w:val="center"/>
          </w:tcPr>
          <w:p>
            <w:pPr>
              <w:pStyle w:val="12"/>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119.50</w:t>
            </w:r>
          </w:p>
        </w:tc>
        <w:tc>
          <w:tcPr>
            <w:tcW w:w="2551" w:type="dxa"/>
            <w:vAlign w:val="center"/>
          </w:tcPr>
          <w:p>
            <w:pPr>
              <w:pStyle w:val="16"/>
            </w:pPr>
            <w:r>
              <w:t>108.38</w:t>
            </w:r>
          </w:p>
        </w:tc>
        <w:tc>
          <w:tcPr>
            <w:tcW w:w="2551" w:type="dxa"/>
            <w:vAlign w:val="center"/>
          </w:tcPr>
          <w:p>
            <w:pPr>
              <w:pStyle w:val="16"/>
            </w:pPr>
            <w:r>
              <w:t>11.12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108.38</w:t>
            </w:r>
          </w:p>
        </w:tc>
        <w:tc>
          <w:tcPr>
            <w:tcW w:w="2551" w:type="dxa"/>
            <w:vAlign w:val="center"/>
          </w:tcPr>
          <w:p>
            <w:pPr>
              <w:pStyle w:val="12"/>
            </w:pPr>
            <w:r>
              <w:t>108.38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49.48</w:t>
            </w:r>
          </w:p>
        </w:tc>
        <w:tc>
          <w:tcPr>
            <w:tcW w:w="2551" w:type="dxa"/>
            <w:vAlign w:val="center"/>
          </w:tcPr>
          <w:p>
            <w:pPr>
              <w:pStyle w:val="12"/>
            </w:pPr>
            <w:r>
              <w:t>49.48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1.53</w:t>
            </w:r>
          </w:p>
        </w:tc>
        <w:tc>
          <w:tcPr>
            <w:tcW w:w="2551" w:type="dxa"/>
            <w:vAlign w:val="center"/>
          </w:tcPr>
          <w:p>
            <w:pPr>
              <w:pStyle w:val="12"/>
            </w:pPr>
            <w:r>
              <w:t>1.53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3.65</w:t>
            </w:r>
          </w:p>
        </w:tc>
        <w:tc>
          <w:tcPr>
            <w:tcW w:w="2551" w:type="dxa"/>
            <w:vAlign w:val="center"/>
          </w:tcPr>
          <w:p>
            <w:pPr>
              <w:pStyle w:val="12"/>
            </w:pPr>
            <w:r>
              <w:t>3.65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27.99</w:t>
            </w:r>
          </w:p>
        </w:tc>
        <w:tc>
          <w:tcPr>
            <w:tcW w:w="2551" w:type="dxa"/>
            <w:vAlign w:val="center"/>
          </w:tcPr>
          <w:p>
            <w:pPr>
              <w:pStyle w:val="12"/>
            </w:pPr>
            <w:r>
              <w:t>27.99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11.10</w:t>
            </w:r>
          </w:p>
        </w:tc>
        <w:tc>
          <w:tcPr>
            <w:tcW w:w="2551" w:type="dxa"/>
            <w:vAlign w:val="center"/>
          </w:tcPr>
          <w:p>
            <w:pPr>
              <w:pStyle w:val="12"/>
            </w:pPr>
            <w:r>
              <w:t>11.10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5.71</w:t>
            </w:r>
          </w:p>
        </w:tc>
        <w:tc>
          <w:tcPr>
            <w:tcW w:w="2551" w:type="dxa"/>
            <w:vAlign w:val="center"/>
          </w:tcPr>
          <w:p>
            <w:pPr>
              <w:pStyle w:val="12"/>
            </w:pPr>
            <w:r>
              <w:t>5.71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0.31</w:t>
            </w:r>
          </w:p>
        </w:tc>
        <w:tc>
          <w:tcPr>
            <w:tcW w:w="2551" w:type="dxa"/>
            <w:vAlign w:val="center"/>
          </w:tcPr>
          <w:p>
            <w:pPr>
              <w:pStyle w:val="12"/>
            </w:pPr>
            <w:r>
              <w:t>0.31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11.12</w:t>
            </w:r>
          </w:p>
        </w:tc>
        <w:tc>
          <w:tcPr>
            <w:tcW w:w="2551" w:type="dxa"/>
            <w:vAlign w:val="center"/>
          </w:tcPr>
          <w:p>
            <w:pPr>
              <w:pStyle w:val="12"/>
            </w:pPr>
          </w:p>
        </w:tc>
        <w:tc>
          <w:tcPr>
            <w:tcW w:w="2551" w:type="dxa"/>
            <w:vAlign w:val="center"/>
          </w:tcPr>
          <w:p>
            <w:pPr>
              <w:pStyle w:val="12"/>
            </w:pPr>
            <w:r>
              <w:t>11.12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1.65</w:t>
            </w:r>
          </w:p>
        </w:tc>
        <w:tc>
          <w:tcPr>
            <w:tcW w:w="2551" w:type="dxa"/>
            <w:vAlign w:val="center"/>
          </w:tcPr>
          <w:p>
            <w:pPr>
              <w:pStyle w:val="12"/>
            </w:pPr>
          </w:p>
        </w:tc>
        <w:tc>
          <w:tcPr>
            <w:tcW w:w="2551" w:type="dxa"/>
            <w:vAlign w:val="center"/>
          </w:tcPr>
          <w:p>
            <w:pPr>
              <w:pStyle w:val="12"/>
            </w:pPr>
            <w:r>
              <w:t>1.65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1.60</w:t>
            </w:r>
          </w:p>
        </w:tc>
        <w:tc>
          <w:tcPr>
            <w:tcW w:w="2551" w:type="dxa"/>
            <w:vAlign w:val="center"/>
          </w:tcPr>
          <w:p>
            <w:pPr>
              <w:pStyle w:val="12"/>
            </w:pPr>
          </w:p>
        </w:tc>
        <w:tc>
          <w:tcPr>
            <w:tcW w:w="2551" w:type="dxa"/>
            <w:vAlign w:val="center"/>
          </w:tcPr>
          <w:p>
            <w:pPr>
              <w:pStyle w:val="12"/>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0.54</w:t>
            </w:r>
          </w:p>
        </w:tc>
        <w:tc>
          <w:tcPr>
            <w:tcW w:w="2551" w:type="dxa"/>
            <w:vAlign w:val="center"/>
          </w:tcPr>
          <w:p>
            <w:pPr>
              <w:pStyle w:val="12"/>
            </w:pPr>
          </w:p>
        </w:tc>
        <w:tc>
          <w:tcPr>
            <w:tcW w:w="2551" w:type="dxa"/>
            <w:vAlign w:val="center"/>
          </w:tcPr>
          <w:p>
            <w:pPr>
              <w:pStyle w:val="12"/>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6.72</w:t>
            </w:r>
          </w:p>
        </w:tc>
        <w:tc>
          <w:tcPr>
            <w:tcW w:w="2551" w:type="dxa"/>
            <w:vAlign w:val="center"/>
          </w:tcPr>
          <w:p>
            <w:pPr>
              <w:pStyle w:val="12"/>
            </w:pPr>
          </w:p>
        </w:tc>
        <w:tc>
          <w:tcPr>
            <w:tcW w:w="2551" w:type="dxa"/>
            <w:vAlign w:val="center"/>
          </w:tcPr>
          <w:p>
            <w:pPr>
              <w:pStyle w:val="12"/>
            </w:pPr>
            <w:r>
              <w:t>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815.65</w:t>
            </w:r>
          </w:p>
        </w:tc>
        <w:tc>
          <w:tcPr>
            <w:tcW w:w="2551" w:type="dxa"/>
            <w:vAlign w:val="center"/>
          </w:tcPr>
          <w:p>
            <w:pPr>
              <w:pStyle w:val="16"/>
            </w:pPr>
          </w:p>
        </w:tc>
        <w:tc>
          <w:tcPr>
            <w:tcW w:w="2551" w:type="dxa"/>
            <w:vAlign w:val="center"/>
          </w:tcPr>
          <w:p>
            <w:pPr>
              <w:pStyle w:val="16"/>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815.65</w:t>
            </w:r>
          </w:p>
        </w:tc>
        <w:tc>
          <w:tcPr>
            <w:tcW w:w="2551" w:type="dxa"/>
            <w:vAlign w:val="center"/>
          </w:tcPr>
          <w:p>
            <w:pPr>
              <w:pStyle w:val="12"/>
            </w:pPr>
          </w:p>
        </w:tc>
        <w:tc>
          <w:tcPr>
            <w:tcW w:w="2551" w:type="dxa"/>
            <w:vAlign w:val="center"/>
          </w:tcPr>
          <w:p>
            <w:pPr>
              <w:pStyle w:val="12"/>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815.65</w:t>
            </w:r>
          </w:p>
        </w:tc>
        <w:tc>
          <w:tcPr>
            <w:tcW w:w="2551" w:type="dxa"/>
            <w:vAlign w:val="center"/>
          </w:tcPr>
          <w:p>
            <w:pPr>
              <w:pStyle w:val="12"/>
            </w:pPr>
          </w:p>
        </w:tc>
        <w:tc>
          <w:tcPr>
            <w:tcW w:w="2551" w:type="dxa"/>
            <w:vAlign w:val="center"/>
          </w:tcPr>
          <w:p>
            <w:pPr>
              <w:pStyle w:val="12"/>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815.65</w:t>
            </w:r>
          </w:p>
        </w:tc>
        <w:tc>
          <w:tcPr>
            <w:tcW w:w="2551" w:type="dxa"/>
            <w:vAlign w:val="center"/>
          </w:tcPr>
          <w:p>
            <w:pPr>
              <w:pStyle w:val="12"/>
            </w:pPr>
          </w:p>
        </w:tc>
        <w:tc>
          <w:tcPr>
            <w:tcW w:w="2551" w:type="dxa"/>
            <w:vAlign w:val="center"/>
          </w:tcPr>
          <w:p>
            <w:pPr>
              <w:pStyle w:val="12"/>
            </w:pPr>
            <w:r>
              <w:t>815.65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隆尧县柳行农场事务中心2025年部门预算信息公开情况说明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隆尧县柳行农场事务中心2025年部门预算信息公开情况说明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按照《中华人民共和国预算法》、《地方预决算公开操作规程》和《关于进一步推进预算公开工作的实施意见》规定，现将隆尧县柳行农场事务中心2025年部门预算公开如下：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240" w:lineRule="auto"/>
        <w:ind w:firstLine="640"/>
        <w:jc w:val="left"/>
        <w:outlineLvl w:val="9"/>
      </w:pPr>
      <w:r>
        <w:rPr>
          <w:rFonts w:hint="eastAsia" w:ascii="Times New Roman" w:hAnsi="Times New Roman" w:eastAsia="方正仿宋_GBK" w:cs="Times New Roman"/>
          <w:sz w:val="28"/>
          <w:szCs w:val="24"/>
          <w:lang w:val="en-US" w:eastAsia="zh-CN" w:bidi="ar-SA"/>
        </w:rPr>
        <w:t>柳行农场事务中心主要职责：按照有关法律、法规和政策规定，承担柳行农场改革的具体事务性工作；承担柳行农场区域内的社会事务管理的辅助性工作；协调处理企业与属地关系；协助经济开发区完成招商引资工作；承担县委、县政府交办的其他相关具体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隆尧县柳行农场事务中心</w:t>
            </w:r>
            <w:bookmarkStart w:id="20" w:name="_GoBack"/>
            <w:bookmarkEnd w:id="20"/>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反映本部门当年全部收入。2025年预算收入1053.15万元，其中：一般公共预算收入237.50万元，基金预算收入815.65万元，国有资本经营预算收入0万元，财政专户核拨收入0万元，单位资金收入0万元，上年结转0万元。</w:t>
      </w:r>
    </w:p>
    <w:p>
      <w:pPr>
        <w:pStyle w:val="19"/>
      </w:pPr>
      <w:r>
        <w:t>2、支出说明</w:t>
      </w:r>
    </w:p>
    <w:p>
      <w:pPr>
        <w:pStyle w:val="19"/>
      </w:pPr>
      <w:r>
        <w:t>收支预算总表支出栏、基本支出表、项目支出表按经济分类和支出功能分类科目编制，反映隆尧县柳行农场事务中心部门预算中支出预算的总体情况。2025年支出预算1053.15万元，其中基本支出119.50万元，包括人员经费108.38万元和日常公用经费11.12万元；项目支出933.65万元，主要为城乡社区支出815.65万元，农林水支出和农村综合改革118万元。</w:t>
      </w:r>
    </w:p>
    <w:p>
      <w:pPr>
        <w:pStyle w:val="19"/>
      </w:pPr>
      <w:r>
        <w:t>3、比上年增减情况</w:t>
      </w:r>
    </w:p>
    <w:p>
      <w:pPr>
        <w:pStyle w:val="19"/>
      </w:pPr>
      <w:r>
        <w:t>2025年预算收支安排1053.15万元,较2024年预算减少了302.68万元，其中：基本支出增加40.17万元，主要为增加人员经费和日常公用经费支出；项目支出减少342.85万元，主要为城乡社区支出。</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机关运行经费安排情况</w:t>
      </w:r>
    </w:p>
    <w:p>
      <w:pPr>
        <w:pStyle w:val="20"/>
      </w:pPr>
      <w:r>
        <w:t>20245年，我部门机关运行经费共计安排11.12万元，主要用于办公费、印刷费、电费、差旅费等日常运行支出。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财政拨款“三公”经费预算情况及增减变化原因</w:t>
      </w:r>
    </w:p>
    <w:p>
      <w:pPr>
        <w:pStyle w:val="21"/>
      </w:pPr>
    </w:p>
    <w:p>
      <w:pPr>
        <w:pStyle w:val="21"/>
      </w:pPr>
      <w:r>
        <w:t>2025年，我部门财政拨款“三公”经费预算安排0万元，其中因公出国（境）费0万元；公务用车购置及运维费0万元（其中：公务用车购置费为0万元，公务用车运行维护费0万元)；公务接待费0万元。和2024年预算相比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2025年工作目标</w:t>
      </w:r>
    </w:p>
    <w:p>
      <w:pPr>
        <w:pStyle w:val="22"/>
      </w:pPr>
    </w:p>
    <w:p>
      <w:pPr>
        <w:pStyle w:val="22"/>
      </w:pPr>
      <w:r>
        <w:t>2025年，柳行农场将紧扣时代发展脉搏，立足自身资源优势与区域发展需求，以创新驱动、多元融合为导向，全力推进以下重点工作，致力于实现农场的高质量发展与转型升级。</w:t>
      </w:r>
    </w:p>
    <w:p>
      <w:pPr>
        <w:pStyle w:val="22"/>
      </w:pPr>
      <w:r>
        <w:t>1、谋划与中国农科院蔬菜花卉研究所、中国农大等农科机构和大专院校搞好对接，由其提供种子和育苗技术，与山东伟丽种苗有限公司等育苗知名企业合作，运用山东伟丽的河北市场份额及渠道，利用柳行农场现有日光温室资源，搭建育苗销售渠道。</w:t>
      </w:r>
    </w:p>
    <w:p>
      <w:pPr>
        <w:pStyle w:val="22"/>
      </w:pPr>
      <w:r>
        <w:t>2、谋划建设红薯科研中心与种植基地。联合邢台学院与邢台薯芯农业科技有限公司，拟建立红薯科研中心（组培实验室）以及占地20亩产量为800万株的脱毒红著育苗中心基地。通过科研中心的高效运作与种植基地的示范引领，显著提升红薯品种选育水平与种植技术，推动红薯产业向标准化、现代化、科技化迈进，使柳行农场成为区域内红薯产业的核心创新与示范基地。</w:t>
      </w:r>
    </w:p>
    <w:p>
      <w:pPr>
        <w:pStyle w:val="22"/>
      </w:pPr>
      <w:r>
        <w:t>3、提升“吨半粮”高产试验田。准备在农场创建1000亩高产试验田，力争实现粮食平均亩产“吨半粮”的目标。通过科研院校和农业专家的现场指导和传授种植技术要点，开展粮食高产技术研究与创新试验，不断探索适合本地的粮食增产新途径与新技术，为“吨半粮”目标的持续实现提供技术支撑。</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2025年工作目标</w:t>
      </w:r>
    </w:p>
    <w:p>
      <w:pPr>
        <w:pStyle w:val="23"/>
      </w:pPr>
      <w:r>
        <w:t> </w:t>
      </w:r>
    </w:p>
    <w:p>
      <w:pPr>
        <w:pStyle w:val="23"/>
      </w:pPr>
      <w:r>
        <w:t>2025年，柳行农场将紧扣时代发展脉搏，立足自身资源优势与区域发展需求，以创新驱动、多元融合为导向，全力推进以下重点工作，致力于实现农场的高质量发展与转型升级。</w:t>
      </w:r>
    </w:p>
    <w:p>
      <w:pPr>
        <w:pStyle w:val="23"/>
      </w:pPr>
      <w:r>
        <w:t>1、谋划与中国农科院蔬菜花卉研究所、中国农大等农科机构和大专院校搞好对接，由其提供种子和育苗技术，与山东伟丽种苗有限公司等育苗知名企业合作，运用山东伟丽的河北市场份额及渠道，利用柳行农场现有日光温室资源，搭建育苗销售渠道。</w:t>
      </w:r>
    </w:p>
    <w:p>
      <w:pPr>
        <w:pStyle w:val="23"/>
      </w:pPr>
      <w:r>
        <w:t>2、谋划建设红薯科研中心与种植基地。联合邢台学院与邢台薯芯农业科技有限公司，拟建立红薯科研中心（组培实验室）以及占地20亩产量为800万株的脱毒红著育苗中心基地。通过科研中心的高效运作与种植基地的示范引领，显著提升红薯品种选育水平与种植技术，推动红薯产业向标准化、现代化、科技化迈进，使柳行农场成为区域内红薯产业的核心创新与示范基地。</w:t>
      </w:r>
    </w:p>
    <w:p>
      <w:pPr>
        <w:pStyle w:val="23"/>
      </w:pPr>
      <w:r>
        <w:t>3、提升“吨半粮”高产试验田。准备在农场创建1000亩高产试验田，力争实现粮食平均亩产“吨半粮”的目标。通过科研院校和农业专家的现场指导和传授种植技术要点，开展粮食高产技术研究与创新试验，不断探索适合本地的粮食增产新途径与新技术，为“吨半粮”目标的持续实现提供技术支撑。</w:t>
      </w:r>
    </w:p>
    <w:p>
      <w:pPr>
        <w:pStyle w:val="23"/>
      </w:pPr>
      <w:r>
        <w:t> </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w:t>
      </w:r>
    </w:p>
    <w:p>
      <w:pPr>
        <w:pStyle w:val="24"/>
      </w:pPr>
    </w:p>
    <w:p>
      <w:pPr>
        <w:pStyle w:val="24"/>
      </w:pPr>
      <w:r>
        <w:t>（一）加强基层党组织建设，提高党组织的凝聚力和战斗力。按照上级有关要求，成立完善了离退休和企业两个基层支部，增强党的引领作用。目前柳行农场共有基层党组织4个，党员60名，其中在职党员28名。</w:t>
      </w:r>
    </w:p>
    <w:p>
      <w:pPr>
        <w:pStyle w:val="24"/>
      </w:pPr>
      <w:r>
        <w:t>（二）加强学习教育，提高广大党员政治素质。以第二批学习贯彻习近平新时代中国特色社会主义思想主题教育为契机，加强党员的学习教育，使广大党员在深学细照笃行中提高理论素养、坚定理想信念、升华觉悟境界、增强能力本领，夯实坚定拥护“两个确立”、坚决做到“两个维护”的思想根基。</w:t>
      </w:r>
    </w:p>
    <w:p>
      <w:pPr>
        <w:pStyle w:val="24"/>
        <w:sectPr>
          <w:pgSz w:w="16840" w:h="11900" w:orient="landscape"/>
          <w:pgMar w:top="1361" w:right="1020" w:bottom="1361" w:left="1020" w:header="720" w:footer="720" w:gutter="0"/>
          <w:cols w:space="720" w:num="1"/>
        </w:sectPr>
      </w:pPr>
      <w:r>
        <w:t>（三）加强党风廉政建设，提高党员干部的廉洁自律意识。在广大党员干部中开展廉洁教育，通过组织参观廉政教育基地，开展警示教育、重要节前集体廉政谈话等活动，引导广大党员干部树立正确的权力观、利益观和道德观，自觉抵制各种诱惑，做到廉洁奉公。</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1、土地出让金/占地补偿绩效目标表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13052525P00005110011J</w:t>
            </w:r>
          </w:p>
        </w:tc>
        <w:tc>
          <w:tcPr>
            <w:tcW w:w="2835" w:type="dxa"/>
            <w:vAlign w:val="center"/>
          </w:tcPr>
          <w:p>
            <w:pPr>
              <w:pStyle w:val="11"/>
            </w:pPr>
            <w:r>
              <w:t>项目名称</w:t>
            </w:r>
          </w:p>
        </w:tc>
        <w:tc>
          <w:tcPr>
            <w:tcW w:w="6095" w:type="dxa"/>
            <w:gridSpan w:val="3"/>
            <w:vAlign w:val="center"/>
          </w:tcPr>
          <w:p>
            <w:pPr>
              <w:pStyle w:val="13"/>
            </w:pPr>
            <w:r>
              <w:t>土地出让金/占地补偿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815.65</w:t>
            </w:r>
          </w:p>
        </w:tc>
        <w:tc>
          <w:tcPr>
            <w:tcW w:w="2835" w:type="dxa"/>
            <w:vAlign w:val="center"/>
          </w:tcPr>
          <w:p>
            <w:pPr>
              <w:pStyle w:val="11"/>
            </w:pPr>
            <w:r>
              <w:t>其中：财政    资金</w:t>
            </w:r>
          </w:p>
        </w:tc>
        <w:tc>
          <w:tcPr>
            <w:tcW w:w="2551" w:type="dxa"/>
            <w:vAlign w:val="center"/>
          </w:tcPr>
          <w:p>
            <w:pPr>
              <w:pStyle w:val="13"/>
            </w:pPr>
            <w:r>
              <w:t>815.65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用于2025年度柳行农场占地补偿款。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1.2025年度占地补偿费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占地补偿费</w:t>
            </w:r>
          </w:p>
        </w:tc>
        <w:tc>
          <w:tcPr>
            <w:tcW w:w="5386" w:type="dxa"/>
            <w:vAlign w:val="center"/>
          </w:tcPr>
          <w:p>
            <w:pPr>
              <w:pStyle w:val="13"/>
            </w:pPr>
            <w:r>
              <w:t>占地补偿费</w:t>
            </w:r>
          </w:p>
        </w:tc>
        <w:tc>
          <w:tcPr>
            <w:tcW w:w="2268" w:type="dxa"/>
            <w:vAlign w:val="center"/>
          </w:tcPr>
          <w:p>
            <w:pPr>
              <w:pStyle w:val="13"/>
            </w:pPr>
            <w:r>
              <w:t>≥815.65万元</w:t>
            </w:r>
          </w:p>
        </w:tc>
        <w:tc>
          <w:tcPr>
            <w:tcW w:w="1276" w:type="dxa"/>
            <w:vAlign w:val="center"/>
          </w:tcPr>
          <w:p>
            <w:pPr>
              <w:pStyle w:val="13"/>
            </w:pPr>
            <w:r>
              <w:t>全部发放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占地补偿发放准确率</w:t>
            </w:r>
          </w:p>
        </w:tc>
        <w:tc>
          <w:tcPr>
            <w:tcW w:w="5386" w:type="dxa"/>
            <w:vAlign w:val="center"/>
          </w:tcPr>
          <w:p>
            <w:pPr>
              <w:pStyle w:val="13"/>
            </w:pPr>
            <w:r>
              <w:t>占地补偿发放准确率</w:t>
            </w:r>
          </w:p>
        </w:tc>
        <w:tc>
          <w:tcPr>
            <w:tcW w:w="2268" w:type="dxa"/>
            <w:vAlign w:val="center"/>
          </w:tcPr>
          <w:p>
            <w:pPr>
              <w:pStyle w:val="13"/>
            </w:pPr>
            <w:r>
              <w:t>100%</w:t>
            </w:r>
          </w:p>
        </w:tc>
        <w:tc>
          <w:tcPr>
            <w:tcW w:w="1276" w:type="dxa"/>
            <w:vAlign w:val="center"/>
          </w:tcPr>
          <w:p>
            <w:pPr>
              <w:pStyle w:val="13"/>
            </w:pPr>
            <w:r>
              <w:t>依据发放差异率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及时支付率</w:t>
            </w:r>
          </w:p>
        </w:tc>
        <w:tc>
          <w:tcPr>
            <w:tcW w:w="5386" w:type="dxa"/>
            <w:vAlign w:val="center"/>
          </w:tcPr>
          <w:p>
            <w:pPr>
              <w:pStyle w:val="13"/>
            </w:pPr>
            <w:r>
              <w:t>及时支付率</w:t>
            </w:r>
          </w:p>
        </w:tc>
        <w:tc>
          <w:tcPr>
            <w:tcW w:w="2268" w:type="dxa"/>
            <w:vAlign w:val="center"/>
          </w:tcPr>
          <w:p>
            <w:pPr>
              <w:pStyle w:val="13"/>
            </w:pPr>
            <w:r>
              <w:t>按时间节点支付</w:t>
            </w:r>
          </w:p>
        </w:tc>
        <w:tc>
          <w:tcPr>
            <w:tcW w:w="1276" w:type="dxa"/>
            <w:vAlign w:val="center"/>
          </w:tcPr>
          <w:p>
            <w:pPr>
              <w:pStyle w:val="13"/>
            </w:pPr>
            <w:r>
              <w:t>依据实际发放到位的时间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2340元</w:t>
            </w:r>
          </w:p>
        </w:tc>
        <w:tc>
          <w:tcPr>
            <w:tcW w:w="1276" w:type="dxa"/>
            <w:vAlign w:val="center"/>
          </w:tcPr>
          <w:p>
            <w:pPr>
              <w:pStyle w:val="13"/>
            </w:pPr>
            <w:r>
              <w:t>依据实际支付亩均标准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占地补偿费</w:t>
            </w:r>
          </w:p>
        </w:tc>
        <w:tc>
          <w:tcPr>
            <w:tcW w:w="5386" w:type="dxa"/>
            <w:vAlign w:val="center"/>
          </w:tcPr>
          <w:p>
            <w:pPr>
              <w:pStyle w:val="13"/>
            </w:pPr>
            <w:r>
              <w:t>占地补偿费</w:t>
            </w:r>
          </w:p>
        </w:tc>
        <w:tc>
          <w:tcPr>
            <w:tcW w:w="2268" w:type="dxa"/>
            <w:vAlign w:val="center"/>
          </w:tcPr>
          <w:p>
            <w:pPr>
              <w:pStyle w:val="13"/>
            </w:pPr>
            <w:r>
              <w:t>100%</w:t>
            </w:r>
          </w:p>
        </w:tc>
        <w:tc>
          <w:tcPr>
            <w:tcW w:w="1276" w:type="dxa"/>
            <w:vAlign w:val="center"/>
          </w:tcPr>
          <w:p>
            <w:pPr>
              <w:pStyle w:val="13"/>
            </w:pPr>
            <w:r>
              <w:t>提高职工生活质量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提高职工生活质量</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2、转移支付绩效目标表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13052525P00000210014Y</w:t>
            </w:r>
          </w:p>
        </w:tc>
        <w:tc>
          <w:tcPr>
            <w:tcW w:w="2835" w:type="dxa"/>
            <w:vAlign w:val="center"/>
          </w:tcPr>
          <w:p>
            <w:pPr>
              <w:pStyle w:val="11"/>
            </w:pPr>
            <w:r>
              <w:t>项目名称</w:t>
            </w:r>
          </w:p>
        </w:tc>
        <w:tc>
          <w:tcPr>
            <w:tcW w:w="6095" w:type="dxa"/>
            <w:gridSpan w:val="3"/>
            <w:vAlign w:val="center"/>
          </w:tcPr>
          <w:p>
            <w:pPr>
              <w:pStyle w:val="13"/>
            </w:pPr>
            <w:r>
              <w:t>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118.00</w:t>
            </w:r>
          </w:p>
        </w:tc>
        <w:tc>
          <w:tcPr>
            <w:tcW w:w="2835" w:type="dxa"/>
            <w:vAlign w:val="center"/>
          </w:tcPr>
          <w:p>
            <w:pPr>
              <w:pStyle w:val="11"/>
            </w:pPr>
            <w:r>
              <w:t>其中：财政    资金</w:t>
            </w:r>
          </w:p>
        </w:tc>
        <w:tc>
          <w:tcPr>
            <w:tcW w:w="2551" w:type="dxa"/>
            <w:vAlign w:val="center"/>
          </w:tcPr>
          <w:p>
            <w:pPr>
              <w:pStyle w:val="13"/>
            </w:pPr>
            <w:r>
              <w:t>118.00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2025年柳行农场转移支付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1.目标内容2职工受益，提高生活质量。</w:t>
            </w:r>
          </w:p>
          <w:p>
            <w:pPr>
              <w:pStyle w:val="13"/>
            </w:pPr>
            <w:r>
              <w:t>2.目标内容1柳行农场缴纳2024年职工养老保险费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柳行农场职工受益人数</w:t>
            </w:r>
          </w:p>
        </w:tc>
        <w:tc>
          <w:tcPr>
            <w:tcW w:w="2268" w:type="dxa"/>
            <w:vAlign w:val="center"/>
          </w:tcPr>
          <w:p>
            <w:pPr>
              <w:pStyle w:val="13"/>
            </w:pPr>
            <w:r>
              <w:t>≥100人</w:t>
            </w:r>
          </w:p>
        </w:tc>
        <w:tc>
          <w:tcPr>
            <w:tcW w:w="1276" w:type="dxa"/>
            <w:vAlign w:val="center"/>
          </w:tcPr>
          <w:p>
            <w:pPr>
              <w:pStyle w:val="13"/>
            </w:pPr>
            <w:r>
              <w:t>实际受益人数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补贴人数与应补贴人数</w:t>
            </w:r>
          </w:p>
        </w:tc>
        <w:tc>
          <w:tcPr>
            <w:tcW w:w="5386" w:type="dxa"/>
            <w:vAlign w:val="center"/>
          </w:tcPr>
          <w:p>
            <w:pPr>
              <w:pStyle w:val="13"/>
            </w:pPr>
            <w:r>
              <w:t>补贴人数与应补贴人数</w:t>
            </w:r>
          </w:p>
        </w:tc>
        <w:tc>
          <w:tcPr>
            <w:tcW w:w="2268" w:type="dxa"/>
            <w:vAlign w:val="center"/>
          </w:tcPr>
          <w:p>
            <w:pPr>
              <w:pStyle w:val="13"/>
            </w:pPr>
            <w:r>
              <w:t>100%</w:t>
            </w:r>
          </w:p>
        </w:tc>
        <w:tc>
          <w:tcPr>
            <w:tcW w:w="1276" w:type="dxa"/>
            <w:vAlign w:val="center"/>
          </w:tcPr>
          <w:p>
            <w:pPr>
              <w:pStyle w:val="13"/>
            </w:pPr>
            <w:r>
              <w:t>实际补贴比率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及时支付率</w:t>
            </w:r>
          </w:p>
        </w:tc>
        <w:tc>
          <w:tcPr>
            <w:tcW w:w="5386" w:type="dxa"/>
            <w:vAlign w:val="center"/>
          </w:tcPr>
          <w:p>
            <w:pPr>
              <w:pStyle w:val="13"/>
            </w:pPr>
            <w:r>
              <w:t>资金实际支出占补贴资金率</w:t>
            </w:r>
          </w:p>
        </w:tc>
        <w:tc>
          <w:tcPr>
            <w:tcW w:w="2268" w:type="dxa"/>
            <w:vAlign w:val="center"/>
          </w:tcPr>
          <w:p>
            <w:pPr>
              <w:pStyle w:val="13"/>
            </w:pPr>
            <w:r>
              <w:t>100%</w:t>
            </w:r>
          </w:p>
        </w:tc>
        <w:tc>
          <w:tcPr>
            <w:tcW w:w="1276" w:type="dxa"/>
            <w:vAlign w:val="center"/>
          </w:tcPr>
          <w:p>
            <w:pPr>
              <w:pStyle w:val="13"/>
            </w:pPr>
            <w:r>
              <w:t>实际支出率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118万元</w:t>
            </w:r>
          </w:p>
        </w:tc>
        <w:tc>
          <w:tcPr>
            <w:tcW w:w="1276" w:type="dxa"/>
            <w:vAlign w:val="center"/>
          </w:tcPr>
          <w:p>
            <w:pPr>
              <w:pStyle w:val="13"/>
            </w:pPr>
            <w:r>
              <w:t>依据县政府工作安排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提高职工生活保障</w:t>
            </w:r>
          </w:p>
        </w:tc>
        <w:tc>
          <w:tcPr>
            <w:tcW w:w="5386" w:type="dxa"/>
            <w:vAlign w:val="center"/>
          </w:tcPr>
          <w:p>
            <w:pPr>
              <w:pStyle w:val="13"/>
            </w:pPr>
            <w:r>
              <w:t>提高职工生活保障</w:t>
            </w:r>
          </w:p>
        </w:tc>
        <w:tc>
          <w:tcPr>
            <w:tcW w:w="2268" w:type="dxa"/>
            <w:vAlign w:val="center"/>
          </w:tcPr>
          <w:p>
            <w:pPr>
              <w:pStyle w:val="13"/>
            </w:pPr>
            <w:r>
              <w:t>生活水平提高</w:t>
            </w:r>
          </w:p>
        </w:tc>
        <w:tc>
          <w:tcPr>
            <w:tcW w:w="1276" w:type="dxa"/>
            <w:vAlign w:val="center"/>
          </w:tcPr>
          <w:p>
            <w:pPr>
              <w:pStyle w:val="13"/>
            </w:pPr>
            <w:r>
              <w:t>生活水平提高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群众对综合监管系统的满意度</w:t>
            </w:r>
          </w:p>
        </w:tc>
        <w:tc>
          <w:tcPr>
            <w:tcW w:w="2268" w:type="dxa"/>
            <w:vAlign w:val="center"/>
          </w:tcPr>
          <w:p>
            <w:pPr>
              <w:pStyle w:val="13"/>
            </w:pPr>
            <w:r>
              <w:t>≥95%</w:t>
            </w:r>
          </w:p>
        </w:tc>
        <w:tc>
          <w:tcPr>
            <w:tcW w:w="1276" w:type="dxa"/>
            <w:vAlign w:val="center"/>
          </w:tcPr>
          <w:p>
            <w:pPr>
              <w:pStyle w:val="13"/>
            </w:pPr>
            <w:r>
              <w:t>依据满意职工占总职工比率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818隆尧县柳行农场事务中心</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隆尧县柳行农场事务中心（含所属单位）上年末固定资产金额为0.00万元（详见下表）。本年度拟购置固定资产总额为0.00万元，已按要求列入政府采购预算，详见政府采购预算表。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818隆尧县柳行农场事务中心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ZhZTM0NDY0NjYxYmFkOTdlZmQ0NWI1NGJkNTE3YzQifQ=="/>
  </w:docVars>
  <w:rsids>
    <w:rsidRoot w:val="00000000"/>
    <w:rsid w:val="13491482"/>
    <w:rsid w:val="2CF65B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7079</Words>
  <Characters>8746</Characters>
  <TotalTime>4</TotalTime>
  <ScaleCrop>false</ScaleCrop>
  <LinksUpToDate>false</LinksUpToDate>
  <CharactersWithSpaces>8882</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2025-02-28T17:14:00Z</dcterms:created>
  <dc:creator>lenovo</dc:creator>
  <cp:lastModifiedBy>lenovo</cp:lastModifiedBy>
  <dcterms:modified xsi:type="dcterms:W3CDTF">2025-02-28T09:40:24Z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8B1FA54FB47C4344A998063D9E760116</vt:lpwstr>
  </property>
</Properties>
</file>