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ind w:firstLine="0"/>
        <w:jc w:val="center"/>
        <w:outlineLvl w:val="3"/>
        <w:rPr>
          <w:rFonts w:ascii="方正小标宋_GBK" w:hAnsi="方正小标宋_GBK" w:eastAsia="方正小标宋_GBK" w:cs="方正小标宋_GBK"/>
          <w:b w:val="0"/>
          <w:color w:val="000000"/>
          <w:sz w:val="44"/>
        </w:rPr>
      </w:pPr>
      <w:bookmarkStart w:id="0" w:name="_Toc_4_4_0000000022"/>
    </w:p>
    <w:p>
      <w:pPr>
        <w:spacing w:before="0" w:after="0" w:line="240" w:lineRule="auto"/>
        <w:ind w:firstLine="0"/>
        <w:jc w:val="center"/>
        <w:outlineLvl w:val="0"/>
      </w:pPr>
      <w:r>
        <w:rPr>
          <w:rFonts w:hint="eastAsia" w:ascii="黑体" w:hAnsi="黑体" w:eastAsia="黑体" w:cs="黑体"/>
          <w:b/>
          <w:color w:val="000000"/>
          <w:sz w:val="44"/>
          <w:lang w:val="en-US" w:eastAsia="zh-CN"/>
        </w:rPr>
        <w:t>2025</w:t>
      </w:r>
      <w:r>
        <w:rPr>
          <w:rFonts w:ascii="黑体" w:hAnsi="黑体" w:eastAsia="黑体" w:cs="黑体"/>
          <w:b/>
          <w:color w:val="000000"/>
          <w:sz w:val="44"/>
        </w:rPr>
        <w:t>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 xml:space="preserve"> </w:t>
      </w:r>
    </w:p>
    <w:p>
      <w:pPr>
        <w:pStyle w:val="4"/>
        <w:tabs>
          <w:tab w:val="right" w:leader="dot" w:pos="14562"/>
        </w:tabs>
      </w:pPr>
      <w:r>
        <w:fldChar w:fldCharType="begin"/>
      </w:r>
      <w:r>
        <w:instrText xml:space="preserve"> HYPERLINK \l "_Toc_4_4_0000000020" </w:instrText>
      </w:r>
      <w:r>
        <w:fldChar w:fldCharType="separate"/>
      </w:r>
      <w:r>
        <w:rPr>
          <w:rFonts w:hint="eastAsia"/>
          <w:b w:val="0"/>
          <w:lang w:val="en-US" w:eastAsia="zh-CN"/>
        </w:rPr>
        <w:t>一</w:t>
      </w:r>
      <w:r>
        <w:rPr>
          <w:b w:val="0"/>
        </w:rPr>
        <w:t>、隆尧县机关事务管理局收支预算</w:t>
      </w:r>
      <w:r>
        <w:tab/>
      </w:r>
      <w:r>
        <w:fldChar w:fldCharType="end"/>
      </w:r>
      <w:r>
        <w:fldChar w:fldCharType="begin"/>
      </w:r>
      <w:r>
        <w:instrText xml:space="preserve">TOC \o "4-4" \h \z \u</w:instrText>
      </w:r>
      <w:r>
        <w:fldChar w:fldCharType="separate"/>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both"/>
        <w:outlineLvl w:val="3"/>
        <w:rPr>
          <w:rFonts w:ascii="方正小标宋_GBK" w:hAnsi="方正小标宋_GBK" w:eastAsia="方正小标宋_GBK" w:cs="方正小标宋_GBK"/>
          <w:b w:val="0"/>
          <w:color w:val="000000"/>
          <w:sz w:val="44"/>
        </w:rPr>
      </w:pPr>
    </w:p>
    <w:p>
      <w:pPr>
        <w:spacing w:before="0" w:after="0"/>
        <w:ind w:firstLine="0"/>
        <w:jc w:val="center"/>
        <w:outlineLvl w:val="3"/>
      </w:pPr>
      <w:r>
        <w:rPr>
          <w:rFonts w:hint="eastAsia" w:ascii="方正小标宋_GBK" w:hAnsi="方正小标宋_GBK" w:eastAsia="方正小标宋_GBK" w:cs="方正小标宋_GBK"/>
          <w:b w:val="0"/>
          <w:color w:val="000000"/>
          <w:sz w:val="44"/>
          <w:lang w:eastAsia="zh-CN"/>
        </w:rPr>
        <w:t>一</w:t>
      </w:r>
      <w:r>
        <w:rPr>
          <w:rFonts w:ascii="方正小标宋_GBK" w:hAnsi="方正小标宋_GBK" w:eastAsia="方正小标宋_GBK" w:cs="方正小标宋_GBK"/>
          <w:b w:val="0"/>
          <w:color w:val="000000"/>
          <w:sz w:val="44"/>
        </w:rPr>
        <w:t>、隆尧县机关事务管理局收支预算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8"/>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2"/>
            </w:pPr>
            <w:r>
              <w:t>201004隆尧县机关事务管理局</w:t>
            </w:r>
          </w:p>
        </w:tc>
        <w:tc>
          <w:tcPr>
            <w:tcW w:w="2126" w:type="dxa"/>
            <w:tcBorders>
              <w:top w:val="single" w:color="FFFFFF" w:sz="6" w:space="0"/>
              <w:left w:val="single" w:color="FFFFFF" w:sz="6" w:space="0"/>
              <w:right w:val="single" w:color="FFFFFF" w:sz="6" w:space="0"/>
            </w:tcBorders>
            <w:vAlign w:val="center"/>
          </w:tcPr>
          <w:p>
            <w:pPr>
              <w:pStyle w:val="11"/>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6661" w:type="dxa"/>
            <w:gridSpan w:val="2"/>
            <w:vAlign w:val="center"/>
          </w:tcPr>
          <w:p>
            <w:pPr>
              <w:pStyle w:val="13"/>
            </w:pPr>
            <w:r>
              <w:t>收入</w:t>
            </w:r>
          </w:p>
        </w:tc>
        <w:tc>
          <w:tcPr>
            <w:tcW w:w="6661" w:type="dxa"/>
            <w:gridSpan w:val="2"/>
            <w:vAlign w:val="center"/>
          </w:tcPr>
          <w:p>
            <w:pPr>
              <w:pStyle w:val="13"/>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4535" w:type="dxa"/>
            <w:vAlign w:val="center"/>
          </w:tcPr>
          <w:p>
            <w:pPr>
              <w:pStyle w:val="13"/>
            </w:pPr>
            <w:r>
              <w:t>项  目</w:t>
            </w:r>
          </w:p>
        </w:tc>
        <w:tc>
          <w:tcPr>
            <w:tcW w:w="2126" w:type="dxa"/>
            <w:vAlign w:val="center"/>
          </w:tcPr>
          <w:p>
            <w:pPr>
              <w:pStyle w:val="13"/>
            </w:pPr>
            <w:r>
              <w:t>预算数</w:t>
            </w:r>
          </w:p>
        </w:tc>
        <w:tc>
          <w:tcPr>
            <w:tcW w:w="4535" w:type="dxa"/>
            <w:vAlign w:val="center"/>
          </w:tcPr>
          <w:p>
            <w:pPr>
              <w:pStyle w:val="13"/>
            </w:pPr>
            <w:r>
              <w:t>项  目</w:t>
            </w:r>
          </w:p>
        </w:tc>
        <w:tc>
          <w:tcPr>
            <w:tcW w:w="2126" w:type="dxa"/>
            <w:vAlign w:val="center"/>
          </w:tcPr>
          <w:p>
            <w:pPr>
              <w:pStyle w:val="13"/>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4535" w:type="dxa"/>
            <w:vAlign w:val="center"/>
          </w:tcPr>
          <w:p>
            <w:pPr>
              <w:pStyle w:val="13"/>
            </w:pPr>
            <w:r>
              <w:t>1</w:t>
            </w:r>
          </w:p>
        </w:tc>
        <w:tc>
          <w:tcPr>
            <w:tcW w:w="2126" w:type="dxa"/>
            <w:vAlign w:val="center"/>
          </w:tcPr>
          <w:p>
            <w:pPr>
              <w:pStyle w:val="13"/>
            </w:pPr>
            <w:r>
              <w:t>2</w:t>
            </w:r>
          </w:p>
        </w:tc>
        <w:tc>
          <w:tcPr>
            <w:tcW w:w="4535" w:type="dxa"/>
            <w:vAlign w:val="center"/>
          </w:tcPr>
          <w:p>
            <w:pPr>
              <w:pStyle w:val="13"/>
            </w:pPr>
            <w:r>
              <w:t>3</w:t>
            </w:r>
          </w:p>
        </w:tc>
        <w:tc>
          <w:tcPr>
            <w:tcW w:w="2126" w:type="dxa"/>
            <w:vAlign w:val="center"/>
          </w:tcPr>
          <w:p>
            <w:pPr>
              <w:pStyle w:val="13"/>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4535" w:type="dxa"/>
            <w:vAlign w:val="center"/>
          </w:tcPr>
          <w:p>
            <w:pPr>
              <w:pStyle w:val="15"/>
            </w:pPr>
            <w:r>
              <w:t>一、一般公共预算拨款收入</w:t>
            </w:r>
          </w:p>
        </w:tc>
        <w:tc>
          <w:tcPr>
            <w:tcW w:w="2126" w:type="dxa"/>
            <w:vAlign w:val="center"/>
          </w:tcPr>
          <w:p>
            <w:pPr>
              <w:pStyle w:val="14"/>
            </w:pPr>
            <w:r>
              <w:t>613.96</w:t>
            </w:r>
          </w:p>
        </w:tc>
        <w:tc>
          <w:tcPr>
            <w:tcW w:w="4535" w:type="dxa"/>
            <w:vAlign w:val="center"/>
          </w:tcPr>
          <w:p>
            <w:pPr>
              <w:pStyle w:val="15"/>
            </w:pPr>
            <w:r>
              <w:t>一、一般公共服务支出</w:t>
            </w:r>
          </w:p>
        </w:tc>
        <w:tc>
          <w:tcPr>
            <w:tcW w:w="2126" w:type="dxa"/>
            <w:vAlign w:val="center"/>
          </w:tcPr>
          <w:p>
            <w:pPr>
              <w:pStyle w:val="14"/>
            </w:pPr>
            <w:r>
              <w:t>613.96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4535" w:type="dxa"/>
            <w:vAlign w:val="center"/>
          </w:tcPr>
          <w:p>
            <w:pPr>
              <w:pStyle w:val="15"/>
            </w:pPr>
            <w:r>
              <w:t>二、政府性基金预算拨款收入</w:t>
            </w:r>
          </w:p>
        </w:tc>
        <w:tc>
          <w:tcPr>
            <w:tcW w:w="2126" w:type="dxa"/>
            <w:vAlign w:val="center"/>
          </w:tcPr>
          <w:p>
            <w:pPr>
              <w:pStyle w:val="14"/>
            </w:pPr>
          </w:p>
        </w:tc>
        <w:tc>
          <w:tcPr>
            <w:tcW w:w="4535" w:type="dxa"/>
            <w:vAlign w:val="center"/>
          </w:tcPr>
          <w:p>
            <w:pPr>
              <w:pStyle w:val="15"/>
            </w:pPr>
            <w:r>
              <w:t>二、外交支出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4535" w:type="dxa"/>
            <w:vAlign w:val="center"/>
          </w:tcPr>
          <w:p>
            <w:pPr>
              <w:pStyle w:val="15"/>
            </w:pPr>
            <w:r>
              <w:t>三、国有资本经营预算拨款收入</w:t>
            </w:r>
          </w:p>
        </w:tc>
        <w:tc>
          <w:tcPr>
            <w:tcW w:w="2126" w:type="dxa"/>
            <w:vAlign w:val="center"/>
          </w:tcPr>
          <w:p>
            <w:pPr>
              <w:pStyle w:val="14"/>
            </w:pPr>
          </w:p>
        </w:tc>
        <w:tc>
          <w:tcPr>
            <w:tcW w:w="4535" w:type="dxa"/>
            <w:vAlign w:val="center"/>
          </w:tcPr>
          <w:p>
            <w:pPr>
              <w:pStyle w:val="15"/>
            </w:pPr>
            <w:r>
              <w:t>三、国防支出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4535" w:type="dxa"/>
            <w:vAlign w:val="center"/>
          </w:tcPr>
          <w:p>
            <w:pPr>
              <w:pStyle w:val="15"/>
            </w:pPr>
            <w:r>
              <w:t>四、财政专户管理资金收入</w:t>
            </w:r>
          </w:p>
        </w:tc>
        <w:tc>
          <w:tcPr>
            <w:tcW w:w="2126" w:type="dxa"/>
            <w:vAlign w:val="center"/>
          </w:tcPr>
          <w:p>
            <w:pPr>
              <w:pStyle w:val="14"/>
            </w:pPr>
          </w:p>
        </w:tc>
        <w:tc>
          <w:tcPr>
            <w:tcW w:w="4535" w:type="dxa"/>
            <w:vAlign w:val="center"/>
          </w:tcPr>
          <w:p>
            <w:pPr>
              <w:pStyle w:val="15"/>
            </w:pPr>
            <w:r>
              <w:t>四、公共安全支出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4535" w:type="dxa"/>
            <w:vAlign w:val="center"/>
          </w:tcPr>
          <w:p>
            <w:pPr>
              <w:pStyle w:val="15"/>
            </w:pPr>
            <w:r>
              <w:t>五、单位资金</w:t>
            </w:r>
          </w:p>
        </w:tc>
        <w:tc>
          <w:tcPr>
            <w:tcW w:w="2126" w:type="dxa"/>
            <w:vAlign w:val="center"/>
          </w:tcPr>
          <w:p>
            <w:pPr>
              <w:pStyle w:val="14"/>
            </w:pPr>
          </w:p>
        </w:tc>
        <w:tc>
          <w:tcPr>
            <w:tcW w:w="4535" w:type="dxa"/>
            <w:vAlign w:val="center"/>
          </w:tcPr>
          <w:p>
            <w:pPr>
              <w:pStyle w:val="15"/>
            </w:pPr>
            <w:r>
              <w:t>五、教育支出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六、科学技术支出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七、文化旅游体育与传媒支出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八、社会保障和就业支出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九、社会保险基金支出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十、卫生健康支出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十一、节能环保支出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十二、城乡社区支出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十三、农林水支出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十四、交通运输支出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十五、资源勘探工业信息等支出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十六、商业服务业等支出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十七、金融支出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十八、援助其他地区支出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十九、自然资源海洋气象等支出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二十、住房保障支出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二十一、粮油物资储备支出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二十二、国有资本经营预算支出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二十三、灾害防治及应急管理支出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二十四、预备费</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二十五、其他支出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二十六、转移性支出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二十七、债务还本支出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二十八、债务付息支出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二十九、债务发行费用支出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三十、抗疫特别国债安排的支出</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4535" w:type="dxa"/>
            <w:vAlign w:val="center"/>
          </w:tcPr>
          <w:p>
            <w:pPr>
              <w:pStyle w:val="15"/>
            </w:pPr>
          </w:p>
        </w:tc>
        <w:tc>
          <w:tcPr>
            <w:tcW w:w="2126" w:type="dxa"/>
            <w:vAlign w:val="center"/>
          </w:tcPr>
          <w:p>
            <w:pPr>
              <w:pStyle w:val="14"/>
            </w:pPr>
          </w:p>
        </w:tc>
        <w:tc>
          <w:tcPr>
            <w:tcW w:w="4535" w:type="dxa"/>
            <w:vAlign w:val="center"/>
          </w:tcPr>
          <w:p>
            <w:pPr>
              <w:pStyle w:val="15"/>
            </w:pPr>
            <w:r>
              <w:t>三十一、人行科目</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4535" w:type="dxa"/>
            <w:vAlign w:val="center"/>
          </w:tcPr>
          <w:p>
            <w:pPr>
              <w:pStyle w:val="17"/>
            </w:pPr>
            <w:r>
              <w:t>本年收入合计</w:t>
            </w:r>
          </w:p>
        </w:tc>
        <w:tc>
          <w:tcPr>
            <w:tcW w:w="2126" w:type="dxa"/>
            <w:vAlign w:val="center"/>
          </w:tcPr>
          <w:p>
            <w:pPr>
              <w:pStyle w:val="18"/>
            </w:pPr>
            <w:r>
              <w:t>613.96</w:t>
            </w:r>
          </w:p>
        </w:tc>
        <w:tc>
          <w:tcPr>
            <w:tcW w:w="4535" w:type="dxa"/>
            <w:vAlign w:val="center"/>
          </w:tcPr>
          <w:p>
            <w:pPr>
              <w:pStyle w:val="17"/>
            </w:pPr>
            <w:r>
              <w:t>本年支出合计</w:t>
            </w:r>
          </w:p>
        </w:tc>
        <w:tc>
          <w:tcPr>
            <w:tcW w:w="2126" w:type="dxa"/>
            <w:vAlign w:val="center"/>
          </w:tcPr>
          <w:p>
            <w:pPr>
              <w:pStyle w:val="18"/>
            </w:pPr>
            <w:r>
              <w:t>613.96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4535" w:type="dxa"/>
            <w:vAlign w:val="center"/>
          </w:tcPr>
          <w:p>
            <w:pPr>
              <w:pStyle w:val="15"/>
            </w:pPr>
            <w:r>
              <w:t>上年结转结余</w:t>
            </w:r>
          </w:p>
        </w:tc>
        <w:tc>
          <w:tcPr>
            <w:tcW w:w="2126" w:type="dxa"/>
            <w:vAlign w:val="center"/>
          </w:tcPr>
          <w:p>
            <w:pPr>
              <w:pStyle w:val="14"/>
            </w:pPr>
          </w:p>
        </w:tc>
        <w:tc>
          <w:tcPr>
            <w:tcW w:w="4535" w:type="dxa"/>
            <w:vAlign w:val="center"/>
          </w:tcPr>
          <w:p>
            <w:pPr>
              <w:pStyle w:val="15"/>
            </w:pPr>
            <w:r>
              <w:t>年终结转结余</w:t>
            </w:r>
          </w:p>
        </w:tc>
        <w:tc>
          <w:tcPr>
            <w:tcW w:w="2126"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4535" w:type="dxa"/>
            <w:vAlign w:val="center"/>
          </w:tcPr>
          <w:p>
            <w:pPr>
              <w:pStyle w:val="17"/>
            </w:pPr>
            <w:r>
              <w:t>收入总计</w:t>
            </w:r>
          </w:p>
        </w:tc>
        <w:tc>
          <w:tcPr>
            <w:tcW w:w="2126" w:type="dxa"/>
            <w:vAlign w:val="center"/>
          </w:tcPr>
          <w:p>
            <w:pPr>
              <w:pStyle w:val="18"/>
            </w:pPr>
            <w:r>
              <w:t>613.96</w:t>
            </w:r>
          </w:p>
        </w:tc>
        <w:tc>
          <w:tcPr>
            <w:tcW w:w="4535" w:type="dxa"/>
            <w:vAlign w:val="center"/>
          </w:tcPr>
          <w:p>
            <w:pPr>
              <w:pStyle w:val="17"/>
            </w:pPr>
            <w:r>
              <w:t>支出总计</w:t>
            </w:r>
          </w:p>
        </w:tc>
        <w:tc>
          <w:tcPr>
            <w:tcW w:w="2126" w:type="dxa"/>
            <w:vAlign w:val="center"/>
          </w:tcPr>
          <w:p>
            <w:pPr>
              <w:pStyle w:val="18"/>
            </w:pPr>
            <w:r>
              <w:t>613.96</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8"/>
        <w:tblW w:w="14571"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2"/>
            </w:pPr>
            <w:r>
              <w:t>201004隆尧县机关事务管理局</w:t>
            </w:r>
          </w:p>
        </w:tc>
        <w:tc>
          <w:tcPr>
            <w:tcW w:w="3402" w:type="dxa"/>
            <w:gridSpan w:val="3"/>
            <w:tcBorders>
              <w:top w:val="single" w:color="FFFFFF" w:sz="6" w:space="0"/>
              <w:left w:val="single" w:color="FFFFFF" w:sz="6" w:space="0"/>
              <w:right w:val="single" w:color="FFFFFF" w:sz="6" w:space="0"/>
            </w:tcBorders>
            <w:vAlign w:val="center"/>
          </w:tcPr>
          <w:p>
            <w:pPr>
              <w:pStyle w:val="11"/>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3"/>
            </w:pPr>
            <w:r>
              <w:t>序号</w:t>
            </w:r>
          </w:p>
        </w:tc>
        <w:tc>
          <w:tcPr>
            <w:tcW w:w="2551" w:type="dxa"/>
            <w:gridSpan w:val="2"/>
            <w:vAlign w:val="center"/>
          </w:tcPr>
          <w:p>
            <w:pPr>
              <w:pStyle w:val="13"/>
            </w:pPr>
            <w:r>
              <w:t>功能分类科目</w:t>
            </w:r>
          </w:p>
        </w:tc>
        <w:tc>
          <w:tcPr>
            <w:tcW w:w="1134" w:type="dxa"/>
            <w:vMerge w:val="restart"/>
            <w:vAlign w:val="center"/>
          </w:tcPr>
          <w:p>
            <w:pPr>
              <w:pStyle w:val="13"/>
            </w:pPr>
            <w:r>
              <w:t>合计</w:t>
            </w:r>
          </w:p>
        </w:tc>
        <w:tc>
          <w:tcPr>
            <w:tcW w:w="9072" w:type="dxa"/>
            <w:gridSpan w:val="8"/>
            <w:vAlign w:val="center"/>
          </w:tcPr>
          <w:p>
            <w:pPr>
              <w:pStyle w:val="13"/>
            </w:pPr>
            <w:r>
              <w:t>本年收入</w:t>
            </w:r>
          </w:p>
        </w:tc>
        <w:tc>
          <w:tcPr>
            <w:tcW w:w="1134" w:type="dxa"/>
            <w:vMerge w:val="restart"/>
            <w:vAlign w:val="center"/>
          </w:tcPr>
          <w:p>
            <w:pPr>
              <w:pStyle w:val="13"/>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pPr/>
          </w:p>
        </w:tc>
        <w:tc>
          <w:tcPr>
            <w:tcW w:w="992" w:type="dxa"/>
            <w:vAlign w:val="center"/>
          </w:tcPr>
          <w:p>
            <w:pPr>
              <w:pStyle w:val="13"/>
            </w:pPr>
            <w:r>
              <w:t>科目    编码</w:t>
            </w:r>
          </w:p>
        </w:tc>
        <w:tc>
          <w:tcPr>
            <w:tcW w:w="1559" w:type="dxa"/>
            <w:vAlign w:val="center"/>
          </w:tcPr>
          <w:p>
            <w:pPr>
              <w:pStyle w:val="13"/>
            </w:pPr>
            <w:r>
              <w:t>科目名称</w:t>
            </w:r>
          </w:p>
        </w:tc>
        <w:tc>
          <w:tcPr>
            <w:tcW w:w="1134" w:type="dxa"/>
            <w:vMerge w:val="continue"/>
          </w:tcPr>
          <w:p>
            <w:pPr/>
          </w:p>
        </w:tc>
        <w:tc>
          <w:tcPr>
            <w:tcW w:w="1134" w:type="dxa"/>
            <w:vAlign w:val="center"/>
          </w:tcPr>
          <w:p>
            <w:pPr>
              <w:pStyle w:val="13"/>
            </w:pPr>
            <w:r>
              <w:t>小计</w:t>
            </w:r>
          </w:p>
        </w:tc>
        <w:tc>
          <w:tcPr>
            <w:tcW w:w="1134" w:type="dxa"/>
            <w:vAlign w:val="center"/>
          </w:tcPr>
          <w:p>
            <w:pPr>
              <w:pStyle w:val="13"/>
            </w:pPr>
            <w:r>
              <w:t>财政拨款 收入</w:t>
            </w:r>
          </w:p>
        </w:tc>
        <w:tc>
          <w:tcPr>
            <w:tcW w:w="1134" w:type="dxa"/>
            <w:vAlign w:val="center"/>
          </w:tcPr>
          <w:p>
            <w:pPr>
              <w:pStyle w:val="13"/>
            </w:pPr>
            <w:r>
              <w:t>财政专户 收入</w:t>
            </w:r>
          </w:p>
        </w:tc>
        <w:tc>
          <w:tcPr>
            <w:tcW w:w="1134" w:type="dxa"/>
            <w:vAlign w:val="center"/>
          </w:tcPr>
          <w:p>
            <w:pPr>
              <w:pStyle w:val="13"/>
            </w:pPr>
            <w:r>
              <w:t>事业收入</w:t>
            </w:r>
          </w:p>
        </w:tc>
        <w:tc>
          <w:tcPr>
            <w:tcW w:w="1134" w:type="dxa"/>
            <w:vAlign w:val="center"/>
          </w:tcPr>
          <w:p>
            <w:pPr>
              <w:pStyle w:val="13"/>
            </w:pPr>
            <w:r>
              <w:t>经营收入</w:t>
            </w:r>
          </w:p>
        </w:tc>
        <w:tc>
          <w:tcPr>
            <w:tcW w:w="1134" w:type="dxa"/>
            <w:vAlign w:val="center"/>
          </w:tcPr>
          <w:p>
            <w:pPr>
              <w:pStyle w:val="13"/>
            </w:pPr>
            <w:r>
              <w:t>上级补助收入</w:t>
            </w:r>
          </w:p>
        </w:tc>
        <w:tc>
          <w:tcPr>
            <w:tcW w:w="1134" w:type="dxa"/>
            <w:vAlign w:val="center"/>
          </w:tcPr>
          <w:p>
            <w:pPr>
              <w:pStyle w:val="13"/>
            </w:pPr>
            <w:r>
              <w:t>附属单位上缴收入</w:t>
            </w:r>
          </w:p>
        </w:tc>
        <w:tc>
          <w:tcPr>
            <w:tcW w:w="1134" w:type="dxa"/>
            <w:vAlign w:val="center"/>
          </w:tcPr>
          <w:p>
            <w:pPr>
              <w:pStyle w:val="13"/>
            </w:pPr>
            <w:r>
              <w:t>其他收入</w:t>
            </w:r>
          </w:p>
        </w:tc>
        <w:tc>
          <w:tcPr>
            <w:tcW w:w="1134" w:type="dxa"/>
            <w:vMerge w:val="continue"/>
          </w:tcPr>
          <w:p>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3"/>
            </w:pPr>
            <w:r>
              <w:t>栏次</w:t>
            </w:r>
          </w:p>
        </w:tc>
        <w:tc>
          <w:tcPr>
            <w:tcW w:w="992" w:type="dxa"/>
            <w:vAlign w:val="center"/>
          </w:tcPr>
          <w:p>
            <w:pPr>
              <w:pStyle w:val="13"/>
            </w:pPr>
            <w:r>
              <w:t>1</w:t>
            </w:r>
          </w:p>
        </w:tc>
        <w:tc>
          <w:tcPr>
            <w:tcW w:w="1559" w:type="dxa"/>
            <w:vAlign w:val="center"/>
          </w:tcPr>
          <w:p>
            <w:pPr>
              <w:pStyle w:val="13"/>
            </w:pPr>
            <w:r>
              <w:t>2</w:t>
            </w:r>
          </w:p>
        </w:tc>
        <w:tc>
          <w:tcPr>
            <w:tcW w:w="1134" w:type="dxa"/>
            <w:vAlign w:val="center"/>
          </w:tcPr>
          <w:p>
            <w:pPr>
              <w:pStyle w:val="13"/>
            </w:pPr>
            <w:r>
              <w:t>3</w:t>
            </w:r>
          </w:p>
        </w:tc>
        <w:tc>
          <w:tcPr>
            <w:tcW w:w="1134" w:type="dxa"/>
            <w:vAlign w:val="center"/>
          </w:tcPr>
          <w:p>
            <w:pPr>
              <w:pStyle w:val="13"/>
            </w:pPr>
            <w:r>
              <w:t>4</w:t>
            </w:r>
          </w:p>
        </w:tc>
        <w:tc>
          <w:tcPr>
            <w:tcW w:w="1134" w:type="dxa"/>
            <w:vAlign w:val="center"/>
          </w:tcPr>
          <w:p>
            <w:pPr>
              <w:pStyle w:val="13"/>
            </w:pPr>
            <w:r>
              <w:t>5</w:t>
            </w:r>
          </w:p>
        </w:tc>
        <w:tc>
          <w:tcPr>
            <w:tcW w:w="1134" w:type="dxa"/>
            <w:vAlign w:val="center"/>
          </w:tcPr>
          <w:p>
            <w:pPr>
              <w:pStyle w:val="13"/>
            </w:pPr>
            <w:r>
              <w:t>6</w:t>
            </w:r>
          </w:p>
        </w:tc>
        <w:tc>
          <w:tcPr>
            <w:tcW w:w="1134" w:type="dxa"/>
            <w:vAlign w:val="center"/>
          </w:tcPr>
          <w:p>
            <w:pPr>
              <w:pStyle w:val="13"/>
            </w:pPr>
            <w:r>
              <w:t>7</w:t>
            </w:r>
          </w:p>
        </w:tc>
        <w:tc>
          <w:tcPr>
            <w:tcW w:w="1134" w:type="dxa"/>
            <w:vAlign w:val="center"/>
          </w:tcPr>
          <w:p>
            <w:pPr>
              <w:pStyle w:val="13"/>
            </w:pPr>
            <w:r>
              <w:t>8</w:t>
            </w:r>
          </w:p>
        </w:tc>
        <w:tc>
          <w:tcPr>
            <w:tcW w:w="1134" w:type="dxa"/>
            <w:vAlign w:val="center"/>
          </w:tcPr>
          <w:p>
            <w:pPr>
              <w:pStyle w:val="13"/>
            </w:pPr>
            <w:r>
              <w:t>9</w:t>
            </w:r>
          </w:p>
        </w:tc>
        <w:tc>
          <w:tcPr>
            <w:tcW w:w="1134" w:type="dxa"/>
            <w:vAlign w:val="center"/>
          </w:tcPr>
          <w:p>
            <w:pPr>
              <w:pStyle w:val="13"/>
            </w:pPr>
            <w:r>
              <w:t>10</w:t>
            </w:r>
          </w:p>
        </w:tc>
        <w:tc>
          <w:tcPr>
            <w:tcW w:w="1134" w:type="dxa"/>
            <w:vAlign w:val="center"/>
          </w:tcPr>
          <w:p>
            <w:pPr>
              <w:pStyle w:val="13"/>
            </w:pPr>
            <w:r>
              <w:t>11</w:t>
            </w:r>
          </w:p>
        </w:tc>
        <w:tc>
          <w:tcPr>
            <w:tcW w:w="1134" w:type="dxa"/>
            <w:vAlign w:val="center"/>
          </w:tcPr>
          <w:p>
            <w:pPr>
              <w:pStyle w:val="13"/>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1</w:t>
            </w:r>
          </w:p>
        </w:tc>
        <w:tc>
          <w:tcPr>
            <w:tcW w:w="992" w:type="dxa"/>
            <w:vAlign w:val="center"/>
          </w:tcPr>
          <w:p>
            <w:pPr>
              <w:pStyle w:val="19"/>
            </w:pPr>
          </w:p>
        </w:tc>
        <w:tc>
          <w:tcPr>
            <w:tcW w:w="1559" w:type="dxa"/>
            <w:vAlign w:val="center"/>
          </w:tcPr>
          <w:p>
            <w:pPr>
              <w:pStyle w:val="17"/>
            </w:pPr>
            <w:r>
              <w:t>合计</w:t>
            </w:r>
          </w:p>
        </w:tc>
        <w:tc>
          <w:tcPr>
            <w:tcW w:w="1134" w:type="dxa"/>
            <w:vAlign w:val="center"/>
          </w:tcPr>
          <w:p>
            <w:pPr>
              <w:pStyle w:val="18"/>
            </w:pPr>
            <w:r>
              <w:t>613.96</w:t>
            </w:r>
          </w:p>
        </w:tc>
        <w:tc>
          <w:tcPr>
            <w:tcW w:w="1134" w:type="dxa"/>
            <w:vAlign w:val="center"/>
          </w:tcPr>
          <w:p>
            <w:pPr>
              <w:pStyle w:val="18"/>
            </w:pPr>
            <w:r>
              <w:t>613.96</w:t>
            </w:r>
          </w:p>
        </w:tc>
        <w:tc>
          <w:tcPr>
            <w:tcW w:w="1134" w:type="dxa"/>
            <w:vAlign w:val="center"/>
          </w:tcPr>
          <w:p>
            <w:pPr>
              <w:pStyle w:val="18"/>
            </w:pPr>
            <w:r>
              <w:t>613.96</w:t>
            </w: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c>
          <w:tcPr>
            <w:tcW w:w="113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2</w:t>
            </w:r>
          </w:p>
        </w:tc>
        <w:tc>
          <w:tcPr>
            <w:tcW w:w="992" w:type="dxa"/>
            <w:vAlign w:val="center"/>
          </w:tcPr>
          <w:p>
            <w:pPr>
              <w:pStyle w:val="15"/>
            </w:pPr>
            <w:r>
              <w:t>201</w:t>
            </w:r>
          </w:p>
        </w:tc>
        <w:tc>
          <w:tcPr>
            <w:tcW w:w="1559" w:type="dxa"/>
            <w:vAlign w:val="center"/>
          </w:tcPr>
          <w:p>
            <w:pPr>
              <w:pStyle w:val="15"/>
            </w:pPr>
            <w:r>
              <w:t>一般公共服务支出</w:t>
            </w:r>
          </w:p>
        </w:tc>
        <w:tc>
          <w:tcPr>
            <w:tcW w:w="1134" w:type="dxa"/>
            <w:vAlign w:val="center"/>
          </w:tcPr>
          <w:p>
            <w:pPr>
              <w:pStyle w:val="14"/>
            </w:pPr>
            <w:r>
              <w:t>613.96</w:t>
            </w:r>
          </w:p>
        </w:tc>
        <w:tc>
          <w:tcPr>
            <w:tcW w:w="1134" w:type="dxa"/>
            <w:vAlign w:val="center"/>
          </w:tcPr>
          <w:p>
            <w:pPr>
              <w:pStyle w:val="14"/>
            </w:pPr>
            <w:r>
              <w:t>613.96</w:t>
            </w:r>
          </w:p>
        </w:tc>
        <w:tc>
          <w:tcPr>
            <w:tcW w:w="1134" w:type="dxa"/>
            <w:vAlign w:val="center"/>
          </w:tcPr>
          <w:p>
            <w:pPr>
              <w:pStyle w:val="14"/>
            </w:pPr>
            <w:r>
              <w:t>613.96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3</w:t>
            </w:r>
          </w:p>
        </w:tc>
        <w:tc>
          <w:tcPr>
            <w:tcW w:w="992" w:type="dxa"/>
            <w:vAlign w:val="center"/>
          </w:tcPr>
          <w:p>
            <w:pPr>
              <w:pStyle w:val="15"/>
            </w:pPr>
            <w:r>
              <w:t>20131</w:t>
            </w:r>
          </w:p>
        </w:tc>
        <w:tc>
          <w:tcPr>
            <w:tcW w:w="1559" w:type="dxa"/>
            <w:vAlign w:val="center"/>
          </w:tcPr>
          <w:p>
            <w:pPr>
              <w:pStyle w:val="15"/>
            </w:pPr>
            <w:r>
              <w:t>党委办公厅（室）及相关机构事务</w:t>
            </w:r>
          </w:p>
        </w:tc>
        <w:tc>
          <w:tcPr>
            <w:tcW w:w="1134" w:type="dxa"/>
            <w:vAlign w:val="center"/>
          </w:tcPr>
          <w:p>
            <w:pPr>
              <w:pStyle w:val="14"/>
            </w:pPr>
            <w:r>
              <w:t>613.96</w:t>
            </w:r>
          </w:p>
        </w:tc>
        <w:tc>
          <w:tcPr>
            <w:tcW w:w="1134" w:type="dxa"/>
            <w:vAlign w:val="center"/>
          </w:tcPr>
          <w:p>
            <w:pPr>
              <w:pStyle w:val="14"/>
            </w:pPr>
            <w:r>
              <w:t>613.96</w:t>
            </w:r>
          </w:p>
        </w:tc>
        <w:tc>
          <w:tcPr>
            <w:tcW w:w="1134" w:type="dxa"/>
            <w:vAlign w:val="center"/>
          </w:tcPr>
          <w:p>
            <w:pPr>
              <w:pStyle w:val="14"/>
            </w:pPr>
            <w:r>
              <w:t>613.96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4</w:t>
            </w:r>
          </w:p>
        </w:tc>
        <w:tc>
          <w:tcPr>
            <w:tcW w:w="992" w:type="dxa"/>
            <w:vAlign w:val="center"/>
          </w:tcPr>
          <w:p>
            <w:pPr>
              <w:pStyle w:val="15"/>
            </w:pPr>
            <w:r>
              <w:t>2013105</w:t>
            </w:r>
          </w:p>
        </w:tc>
        <w:tc>
          <w:tcPr>
            <w:tcW w:w="1559" w:type="dxa"/>
            <w:vAlign w:val="center"/>
          </w:tcPr>
          <w:p>
            <w:pPr>
              <w:pStyle w:val="15"/>
            </w:pPr>
            <w:r>
              <w:t>专项业务</w:t>
            </w:r>
          </w:p>
        </w:tc>
        <w:tc>
          <w:tcPr>
            <w:tcW w:w="1134" w:type="dxa"/>
            <w:vAlign w:val="center"/>
          </w:tcPr>
          <w:p>
            <w:pPr>
              <w:pStyle w:val="14"/>
            </w:pPr>
            <w:r>
              <w:t>608.96</w:t>
            </w:r>
          </w:p>
        </w:tc>
        <w:tc>
          <w:tcPr>
            <w:tcW w:w="1134" w:type="dxa"/>
            <w:vAlign w:val="center"/>
          </w:tcPr>
          <w:p>
            <w:pPr>
              <w:pStyle w:val="14"/>
            </w:pPr>
            <w:r>
              <w:t>608.96</w:t>
            </w:r>
          </w:p>
        </w:tc>
        <w:tc>
          <w:tcPr>
            <w:tcW w:w="1134" w:type="dxa"/>
            <w:vAlign w:val="center"/>
          </w:tcPr>
          <w:p>
            <w:pPr>
              <w:pStyle w:val="14"/>
            </w:pPr>
            <w:r>
              <w:t>608.96</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6"/>
            </w:pPr>
            <w:r>
              <w:t>5</w:t>
            </w:r>
          </w:p>
        </w:tc>
        <w:tc>
          <w:tcPr>
            <w:tcW w:w="992" w:type="dxa"/>
            <w:vAlign w:val="center"/>
          </w:tcPr>
          <w:p>
            <w:pPr>
              <w:pStyle w:val="15"/>
            </w:pPr>
            <w:r>
              <w:t>2013150</w:t>
            </w:r>
          </w:p>
        </w:tc>
        <w:tc>
          <w:tcPr>
            <w:tcW w:w="1559" w:type="dxa"/>
            <w:vAlign w:val="center"/>
          </w:tcPr>
          <w:p>
            <w:pPr>
              <w:pStyle w:val="15"/>
            </w:pPr>
            <w:r>
              <w:t>事业运行</w:t>
            </w:r>
          </w:p>
        </w:tc>
        <w:tc>
          <w:tcPr>
            <w:tcW w:w="1134" w:type="dxa"/>
            <w:vAlign w:val="center"/>
          </w:tcPr>
          <w:p>
            <w:pPr>
              <w:pStyle w:val="14"/>
            </w:pPr>
            <w:r>
              <w:t>5.00</w:t>
            </w:r>
          </w:p>
        </w:tc>
        <w:tc>
          <w:tcPr>
            <w:tcW w:w="1134" w:type="dxa"/>
            <w:vAlign w:val="center"/>
          </w:tcPr>
          <w:p>
            <w:pPr>
              <w:pStyle w:val="14"/>
            </w:pPr>
            <w:r>
              <w:t>5.00</w:t>
            </w:r>
          </w:p>
        </w:tc>
        <w:tc>
          <w:tcPr>
            <w:tcW w:w="1134" w:type="dxa"/>
            <w:vAlign w:val="center"/>
          </w:tcPr>
          <w:p>
            <w:pPr>
              <w:pStyle w:val="14"/>
            </w:pPr>
            <w:r>
              <w:t>5.00</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8"/>
        <w:tblW w:w="14543"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2"/>
            </w:pPr>
            <w:r>
              <w:t>201004隆尧县机关事务管理局</w:t>
            </w:r>
          </w:p>
        </w:tc>
        <w:tc>
          <w:tcPr>
            <w:tcW w:w="2722" w:type="dxa"/>
            <w:gridSpan w:val="2"/>
            <w:tcBorders>
              <w:top w:val="single" w:color="FFFFFF" w:sz="6" w:space="0"/>
              <w:left w:val="single" w:color="FFFFFF" w:sz="6" w:space="0"/>
              <w:right w:val="single" w:color="FFFFFF" w:sz="6" w:space="0"/>
            </w:tcBorders>
            <w:vAlign w:val="center"/>
          </w:tcPr>
          <w:p>
            <w:pPr>
              <w:pStyle w:val="11"/>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527" w:type="dxa"/>
            <w:gridSpan w:val="2"/>
            <w:vAlign w:val="center"/>
          </w:tcPr>
          <w:p>
            <w:pPr>
              <w:pStyle w:val="13"/>
            </w:pPr>
            <w:r>
              <w:t>功能分类科目</w:t>
            </w:r>
          </w:p>
        </w:tc>
        <w:tc>
          <w:tcPr>
            <w:tcW w:w="1361" w:type="dxa"/>
            <w:vMerge w:val="restart"/>
            <w:vAlign w:val="center"/>
          </w:tcPr>
          <w:p>
            <w:pPr>
              <w:pStyle w:val="13"/>
            </w:pPr>
            <w:r>
              <w:t>合计</w:t>
            </w:r>
          </w:p>
        </w:tc>
        <w:tc>
          <w:tcPr>
            <w:tcW w:w="1361" w:type="dxa"/>
            <w:vMerge w:val="restart"/>
            <w:vAlign w:val="center"/>
          </w:tcPr>
          <w:p>
            <w:pPr>
              <w:pStyle w:val="13"/>
            </w:pPr>
            <w:r>
              <w:t>基本支出</w:t>
            </w:r>
          </w:p>
        </w:tc>
        <w:tc>
          <w:tcPr>
            <w:tcW w:w="1361" w:type="dxa"/>
            <w:vMerge w:val="restart"/>
            <w:vAlign w:val="center"/>
          </w:tcPr>
          <w:p>
            <w:pPr>
              <w:pStyle w:val="13"/>
            </w:pPr>
            <w:r>
              <w:t>项目支出</w:t>
            </w:r>
          </w:p>
        </w:tc>
        <w:tc>
          <w:tcPr>
            <w:tcW w:w="1361" w:type="dxa"/>
            <w:vMerge w:val="restart"/>
            <w:vAlign w:val="center"/>
          </w:tcPr>
          <w:p>
            <w:pPr>
              <w:pStyle w:val="13"/>
            </w:pPr>
            <w:r>
              <w:t>经营支出</w:t>
            </w:r>
          </w:p>
        </w:tc>
        <w:tc>
          <w:tcPr>
            <w:tcW w:w="1361" w:type="dxa"/>
            <w:vMerge w:val="restart"/>
            <w:vAlign w:val="center"/>
          </w:tcPr>
          <w:p>
            <w:pPr>
              <w:pStyle w:val="13"/>
            </w:pPr>
            <w:r>
              <w:t>上解上级     支出</w:t>
            </w:r>
          </w:p>
        </w:tc>
        <w:tc>
          <w:tcPr>
            <w:tcW w:w="1361" w:type="dxa"/>
            <w:vMerge w:val="restart"/>
            <w:vAlign w:val="center"/>
          </w:tcPr>
          <w:p>
            <w:pPr>
              <w:pStyle w:val="13"/>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992" w:type="dxa"/>
            <w:vAlign w:val="center"/>
          </w:tcPr>
          <w:p>
            <w:pPr>
              <w:pStyle w:val="13"/>
            </w:pPr>
            <w:r>
              <w:t>科目    编码</w:t>
            </w:r>
          </w:p>
        </w:tc>
        <w:tc>
          <w:tcPr>
            <w:tcW w:w="4535" w:type="dxa"/>
            <w:vAlign w:val="center"/>
          </w:tcPr>
          <w:p>
            <w:pPr>
              <w:pStyle w:val="13"/>
            </w:pPr>
            <w:r>
              <w:t>科目名称</w:t>
            </w: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992" w:type="dxa"/>
            <w:vAlign w:val="center"/>
          </w:tcPr>
          <w:p>
            <w:pPr>
              <w:pStyle w:val="13"/>
            </w:pPr>
            <w:r>
              <w:t>1</w:t>
            </w:r>
          </w:p>
        </w:tc>
        <w:tc>
          <w:tcPr>
            <w:tcW w:w="4535" w:type="dxa"/>
            <w:vAlign w:val="center"/>
          </w:tcPr>
          <w:p>
            <w:pPr>
              <w:pStyle w:val="13"/>
            </w:pPr>
            <w:r>
              <w:t>2</w:t>
            </w:r>
          </w:p>
        </w:tc>
        <w:tc>
          <w:tcPr>
            <w:tcW w:w="1361" w:type="dxa"/>
            <w:vAlign w:val="center"/>
          </w:tcPr>
          <w:p>
            <w:pPr>
              <w:pStyle w:val="13"/>
            </w:pPr>
            <w:r>
              <w:t>3</w:t>
            </w:r>
          </w:p>
        </w:tc>
        <w:tc>
          <w:tcPr>
            <w:tcW w:w="1361" w:type="dxa"/>
            <w:vAlign w:val="center"/>
          </w:tcPr>
          <w:p>
            <w:pPr>
              <w:pStyle w:val="13"/>
            </w:pPr>
            <w:r>
              <w:t>4</w:t>
            </w:r>
          </w:p>
        </w:tc>
        <w:tc>
          <w:tcPr>
            <w:tcW w:w="1361" w:type="dxa"/>
            <w:vAlign w:val="center"/>
          </w:tcPr>
          <w:p>
            <w:pPr>
              <w:pStyle w:val="13"/>
            </w:pPr>
            <w:r>
              <w:t>5</w:t>
            </w:r>
          </w:p>
        </w:tc>
        <w:tc>
          <w:tcPr>
            <w:tcW w:w="1361" w:type="dxa"/>
            <w:vAlign w:val="center"/>
          </w:tcPr>
          <w:p>
            <w:pPr>
              <w:pStyle w:val="13"/>
            </w:pPr>
            <w:r>
              <w:t>6</w:t>
            </w:r>
          </w:p>
        </w:tc>
        <w:tc>
          <w:tcPr>
            <w:tcW w:w="1361" w:type="dxa"/>
            <w:vAlign w:val="center"/>
          </w:tcPr>
          <w:p>
            <w:pPr>
              <w:pStyle w:val="13"/>
            </w:pPr>
            <w:r>
              <w:t>7</w:t>
            </w:r>
          </w:p>
        </w:tc>
        <w:tc>
          <w:tcPr>
            <w:tcW w:w="1361" w:type="dxa"/>
            <w:vAlign w:val="center"/>
          </w:tcPr>
          <w:p>
            <w:pPr>
              <w:pStyle w:val="13"/>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992" w:type="dxa"/>
            <w:vAlign w:val="center"/>
          </w:tcPr>
          <w:p>
            <w:pPr>
              <w:pStyle w:val="19"/>
            </w:pPr>
          </w:p>
        </w:tc>
        <w:tc>
          <w:tcPr>
            <w:tcW w:w="4535" w:type="dxa"/>
            <w:vAlign w:val="center"/>
          </w:tcPr>
          <w:p>
            <w:pPr>
              <w:pStyle w:val="17"/>
            </w:pPr>
            <w:r>
              <w:t>合计</w:t>
            </w:r>
          </w:p>
        </w:tc>
        <w:tc>
          <w:tcPr>
            <w:tcW w:w="1361" w:type="dxa"/>
            <w:vAlign w:val="center"/>
          </w:tcPr>
          <w:p>
            <w:pPr>
              <w:pStyle w:val="18"/>
            </w:pPr>
            <w:r>
              <w:t>613.96</w:t>
            </w:r>
          </w:p>
        </w:tc>
        <w:tc>
          <w:tcPr>
            <w:tcW w:w="1361" w:type="dxa"/>
            <w:vAlign w:val="center"/>
          </w:tcPr>
          <w:p>
            <w:pPr>
              <w:pStyle w:val="18"/>
            </w:pPr>
          </w:p>
        </w:tc>
        <w:tc>
          <w:tcPr>
            <w:tcW w:w="1361" w:type="dxa"/>
            <w:vAlign w:val="center"/>
          </w:tcPr>
          <w:p>
            <w:pPr>
              <w:pStyle w:val="18"/>
            </w:pPr>
            <w:r>
              <w:t>613.96</w:t>
            </w:r>
          </w:p>
        </w:tc>
        <w:tc>
          <w:tcPr>
            <w:tcW w:w="1361" w:type="dxa"/>
            <w:vAlign w:val="center"/>
          </w:tcPr>
          <w:p>
            <w:pPr>
              <w:pStyle w:val="18"/>
            </w:pPr>
          </w:p>
        </w:tc>
        <w:tc>
          <w:tcPr>
            <w:tcW w:w="1361" w:type="dxa"/>
            <w:vAlign w:val="center"/>
          </w:tcPr>
          <w:p>
            <w:pPr>
              <w:pStyle w:val="18"/>
            </w:pPr>
          </w:p>
        </w:tc>
        <w:tc>
          <w:tcPr>
            <w:tcW w:w="1361"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992" w:type="dxa"/>
            <w:vAlign w:val="center"/>
          </w:tcPr>
          <w:p>
            <w:pPr>
              <w:pStyle w:val="15"/>
            </w:pPr>
            <w:r>
              <w:t>201</w:t>
            </w:r>
          </w:p>
        </w:tc>
        <w:tc>
          <w:tcPr>
            <w:tcW w:w="4535" w:type="dxa"/>
            <w:vAlign w:val="center"/>
          </w:tcPr>
          <w:p>
            <w:pPr>
              <w:pStyle w:val="15"/>
            </w:pPr>
            <w:r>
              <w:t>一般公共服务支出</w:t>
            </w:r>
          </w:p>
        </w:tc>
        <w:tc>
          <w:tcPr>
            <w:tcW w:w="1361" w:type="dxa"/>
            <w:vAlign w:val="center"/>
          </w:tcPr>
          <w:p>
            <w:pPr>
              <w:pStyle w:val="14"/>
            </w:pPr>
            <w:r>
              <w:t>613.96</w:t>
            </w:r>
          </w:p>
        </w:tc>
        <w:tc>
          <w:tcPr>
            <w:tcW w:w="1361" w:type="dxa"/>
            <w:vAlign w:val="center"/>
          </w:tcPr>
          <w:p>
            <w:pPr>
              <w:pStyle w:val="14"/>
            </w:pPr>
          </w:p>
        </w:tc>
        <w:tc>
          <w:tcPr>
            <w:tcW w:w="1361" w:type="dxa"/>
            <w:vAlign w:val="center"/>
          </w:tcPr>
          <w:p>
            <w:pPr>
              <w:pStyle w:val="14"/>
            </w:pPr>
            <w:r>
              <w:t>613.96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992" w:type="dxa"/>
            <w:vAlign w:val="center"/>
          </w:tcPr>
          <w:p>
            <w:pPr>
              <w:pStyle w:val="15"/>
            </w:pPr>
            <w:r>
              <w:t>20131</w:t>
            </w:r>
          </w:p>
        </w:tc>
        <w:tc>
          <w:tcPr>
            <w:tcW w:w="4535" w:type="dxa"/>
            <w:vAlign w:val="center"/>
          </w:tcPr>
          <w:p>
            <w:pPr>
              <w:pStyle w:val="15"/>
            </w:pPr>
            <w:r>
              <w:t>党委办公厅（室）及相关机构事务</w:t>
            </w:r>
          </w:p>
        </w:tc>
        <w:tc>
          <w:tcPr>
            <w:tcW w:w="1361" w:type="dxa"/>
            <w:vAlign w:val="center"/>
          </w:tcPr>
          <w:p>
            <w:pPr>
              <w:pStyle w:val="14"/>
            </w:pPr>
            <w:r>
              <w:t>613.96</w:t>
            </w:r>
          </w:p>
        </w:tc>
        <w:tc>
          <w:tcPr>
            <w:tcW w:w="1361" w:type="dxa"/>
            <w:vAlign w:val="center"/>
          </w:tcPr>
          <w:p>
            <w:pPr>
              <w:pStyle w:val="14"/>
            </w:pPr>
          </w:p>
        </w:tc>
        <w:tc>
          <w:tcPr>
            <w:tcW w:w="1361" w:type="dxa"/>
            <w:vAlign w:val="center"/>
          </w:tcPr>
          <w:p>
            <w:pPr>
              <w:pStyle w:val="14"/>
            </w:pPr>
            <w:r>
              <w:t>613.96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992" w:type="dxa"/>
            <w:vAlign w:val="center"/>
          </w:tcPr>
          <w:p>
            <w:pPr>
              <w:pStyle w:val="15"/>
            </w:pPr>
            <w:r>
              <w:t>2013105</w:t>
            </w:r>
          </w:p>
        </w:tc>
        <w:tc>
          <w:tcPr>
            <w:tcW w:w="4535" w:type="dxa"/>
            <w:vAlign w:val="center"/>
          </w:tcPr>
          <w:p>
            <w:pPr>
              <w:pStyle w:val="15"/>
            </w:pPr>
            <w:r>
              <w:t>专项业务</w:t>
            </w:r>
          </w:p>
        </w:tc>
        <w:tc>
          <w:tcPr>
            <w:tcW w:w="1361" w:type="dxa"/>
            <w:vAlign w:val="center"/>
          </w:tcPr>
          <w:p>
            <w:pPr>
              <w:pStyle w:val="14"/>
            </w:pPr>
            <w:r>
              <w:t>608.96</w:t>
            </w:r>
          </w:p>
        </w:tc>
        <w:tc>
          <w:tcPr>
            <w:tcW w:w="1361" w:type="dxa"/>
            <w:vAlign w:val="center"/>
          </w:tcPr>
          <w:p>
            <w:pPr>
              <w:pStyle w:val="14"/>
            </w:pPr>
          </w:p>
        </w:tc>
        <w:tc>
          <w:tcPr>
            <w:tcW w:w="1361" w:type="dxa"/>
            <w:vAlign w:val="center"/>
          </w:tcPr>
          <w:p>
            <w:pPr>
              <w:pStyle w:val="14"/>
            </w:pPr>
            <w:r>
              <w:t>608.96</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992" w:type="dxa"/>
            <w:vAlign w:val="center"/>
          </w:tcPr>
          <w:p>
            <w:pPr>
              <w:pStyle w:val="15"/>
            </w:pPr>
            <w:r>
              <w:t>2013150</w:t>
            </w:r>
          </w:p>
        </w:tc>
        <w:tc>
          <w:tcPr>
            <w:tcW w:w="4535" w:type="dxa"/>
            <w:vAlign w:val="center"/>
          </w:tcPr>
          <w:p>
            <w:pPr>
              <w:pStyle w:val="15"/>
            </w:pPr>
            <w:r>
              <w:t>事业运行</w:t>
            </w:r>
          </w:p>
        </w:tc>
        <w:tc>
          <w:tcPr>
            <w:tcW w:w="1361" w:type="dxa"/>
            <w:vAlign w:val="center"/>
          </w:tcPr>
          <w:p>
            <w:pPr>
              <w:pStyle w:val="14"/>
            </w:pPr>
            <w:r>
              <w:t>5.00</w:t>
            </w:r>
          </w:p>
        </w:tc>
        <w:tc>
          <w:tcPr>
            <w:tcW w:w="1361" w:type="dxa"/>
            <w:vAlign w:val="center"/>
          </w:tcPr>
          <w:p>
            <w:pPr>
              <w:pStyle w:val="14"/>
            </w:pPr>
          </w:p>
        </w:tc>
        <w:tc>
          <w:tcPr>
            <w:tcW w:w="1361" w:type="dxa"/>
            <w:vAlign w:val="center"/>
          </w:tcPr>
          <w:p>
            <w:pPr>
              <w:pStyle w:val="14"/>
            </w:pPr>
            <w:r>
              <w:t>5.00</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8"/>
        <w:tblW w:w="1502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2"/>
            </w:pPr>
            <w:r>
              <w:t>201004隆尧县机关事务管理局</w:t>
            </w:r>
          </w:p>
        </w:tc>
        <w:tc>
          <w:tcPr>
            <w:tcW w:w="3402" w:type="dxa"/>
            <w:tcBorders>
              <w:top w:val="single" w:color="FFFFFF" w:sz="6" w:space="0"/>
              <w:left w:val="single" w:color="FFFFFF" w:sz="6" w:space="0"/>
              <w:right w:val="single" w:color="FFFFFF" w:sz="6" w:space="0"/>
            </w:tcBorders>
            <w:vAlign w:val="center"/>
          </w:tcPr>
          <w:p>
            <w:pPr>
              <w:pStyle w:val="11"/>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4876" w:type="dxa"/>
            <w:gridSpan w:val="2"/>
            <w:vAlign w:val="center"/>
          </w:tcPr>
          <w:p>
            <w:pPr>
              <w:pStyle w:val="13"/>
            </w:pPr>
            <w:r>
              <w:t>收入</w:t>
            </w:r>
          </w:p>
        </w:tc>
        <w:tc>
          <w:tcPr>
            <w:tcW w:w="9298" w:type="dxa"/>
            <w:gridSpan w:val="5"/>
            <w:vAlign w:val="center"/>
          </w:tcPr>
          <w:p>
            <w:pPr>
              <w:pStyle w:val="13"/>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3402" w:type="dxa"/>
            <w:vAlign w:val="center"/>
          </w:tcPr>
          <w:p>
            <w:pPr>
              <w:pStyle w:val="13"/>
            </w:pPr>
            <w:r>
              <w:t>项  目</w:t>
            </w:r>
          </w:p>
        </w:tc>
        <w:tc>
          <w:tcPr>
            <w:tcW w:w="1474" w:type="dxa"/>
            <w:vAlign w:val="center"/>
          </w:tcPr>
          <w:p>
            <w:pPr>
              <w:pStyle w:val="13"/>
            </w:pPr>
            <w:r>
              <w:t>金额</w:t>
            </w:r>
          </w:p>
        </w:tc>
        <w:tc>
          <w:tcPr>
            <w:tcW w:w="3402" w:type="dxa"/>
            <w:vAlign w:val="center"/>
          </w:tcPr>
          <w:p>
            <w:pPr>
              <w:pStyle w:val="13"/>
            </w:pPr>
            <w:r>
              <w:t>项  目</w:t>
            </w:r>
          </w:p>
        </w:tc>
        <w:tc>
          <w:tcPr>
            <w:tcW w:w="1474" w:type="dxa"/>
            <w:vAlign w:val="center"/>
          </w:tcPr>
          <w:p>
            <w:pPr>
              <w:pStyle w:val="13"/>
            </w:pPr>
            <w:r>
              <w:t>合计</w:t>
            </w:r>
          </w:p>
        </w:tc>
        <w:tc>
          <w:tcPr>
            <w:tcW w:w="1474" w:type="dxa"/>
            <w:vAlign w:val="center"/>
          </w:tcPr>
          <w:p>
            <w:pPr>
              <w:pStyle w:val="13"/>
            </w:pPr>
            <w:r>
              <w:t>一般公共预算财政拨款</w:t>
            </w:r>
          </w:p>
        </w:tc>
        <w:tc>
          <w:tcPr>
            <w:tcW w:w="1474" w:type="dxa"/>
            <w:vAlign w:val="center"/>
          </w:tcPr>
          <w:p>
            <w:pPr>
              <w:pStyle w:val="13"/>
            </w:pPr>
            <w:r>
              <w:t>政府性基金预算财政    拨款</w:t>
            </w:r>
          </w:p>
        </w:tc>
        <w:tc>
          <w:tcPr>
            <w:tcW w:w="1474" w:type="dxa"/>
            <w:vAlign w:val="center"/>
          </w:tcPr>
          <w:p>
            <w:pPr>
              <w:pStyle w:val="13"/>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3402" w:type="dxa"/>
            <w:vAlign w:val="center"/>
          </w:tcPr>
          <w:p>
            <w:pPr>
              <w:pStyle w:val="13"/>
            </w:pPr>
            <w:r>
              <w:t>1</w:t>
            </w:r>
          </w:p>
        </w:tc>
        <w:tc>
          <w:tcPr>
            <w:tcW w:w="1474" w:type="dxa"/>
            <w:vAlign w:val="center"/>
          </w:tcPr>
          <w:p>
            <w:pPr>
              <w:pStyle w:val="13"/>
            </w:pPr>
            <w:r>
              <w:t>2</w:t>
            </w:r>
          </w:p>
        </w:tc>
        <w:tc>
          <w:tcPr>
            <w:tcW w:w="3402" w:type="dxa"/>
            <w:vAlign w:val="center"/>
          </w:tcPr>
          <w:p>
            <w:pPr>
              <w:pStyle w:val="13"/>
            </w:pPr>
            <w:r>
              <w:t>3</w:t>
            </w:r>
          </w:p>
        </w:tc>
        <w:tc>
          <w:tcPr>
            <w:tcW w:w="1474" w:type="dxa"/>
            <w:vAlign w:val="center"/>
          </w:tcPr>
          <w:p>
            <w:pPr>
              <w:pStyle w:val="13"/>
            </w:pPr>
            <w:r>
              <w:t>4</w:t>
            </w:r>
          </w:p>
        </w:tc>
        <w:tc>
          <w:tcPr>
            <w:tcW w:w="1474" w:type="dxa"/>
            <w:vAlign w:val="center"/>
          </w:tcPr>
          <w:p>
            <w:pPr>
              <w:pStyle w:val="13"/>
            </w:pPr>
            <w:r>
              <w:t>5</w:t>
            </w:r>
          </w:p>
        </w:tc>
        <w:tc>
          <w:tcPr>
            <w:tcW w:w="1474" w:type="dxa"/>
            <w:vAlign w:val="center"/>
          </w:tcPr>
          <w:p>
            <w:pPr>
              <w:pStyle w:val="13"/>
            </w:pPr>
            <w:r>
              <w:t>6</w:t>
            </w:r>
          </w:p>
        </w:tc>
        <w:tc>
          <w:tcPr>
            <w:tcW w:w="1474" w:type="dxa"/>
            <w:vAlign w:val="center"/>
          </w:tcPr>
          <w:p>
            <w:pPr>
              <w:pStyle w:val="13"/>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3402" w:type="dxa"/>
            <w:vAlign w:val="center"/>
          </w:tcPr>
          <w:p>
            <w:pPr>
              <w:pStyle w:val="15"/>
            </w:pPr>
            <w:r>
              <w:t>一、一般公共预算拨款</w:t>
            </w:r>
          </w:p>
        </w:tc>
        <w:tc>
          <w:tcPr>
            <w:tcW w:w="1474" w:type="dxa"/>
            <w:vAlign w:val="center"/>
          </w:tcPr>
          <w:p>
            <w:pPr>
              <w:pStyle w:val="14"/>
            </w:pPr>
            <w:r>
              <w:t>613.96</w:t>
            </w:r>
          </w:p>
        </w:tc>
        <w:tc>
          <w:tcPr>
            <w:tcW w:w="3402" w:type="dxa"/>
            <w:vAlign w:val="center"/>
          </w:tcPr>
          <w:p>
            <w:pPr>
              <w:pStyle w:val="15"/>
            </w:pPr>
            <w:r>
              <w:t>一、一般公共服务支出</w:t>
            </w:r>
          </w:p>
        </w:tc>
        <w:tc>
          <w:tcPr>
            <w:tcW w:w="1474" w:type="dxa"/>
            <w:vAlign w:val="center"/>
          </w:tcPr>
          <w:p>
            <w:pPr>
              <w:pStyle w:val="14"/>
            </w:pPr>
            <w:r>
              <w:t>613.96</w:t>
            </w:r>
          </w:p>
        </w:tc>
        <w:tc>
          <w:tcPr>
            <w:tcW w:w="1474" w:type="dxa"/>
            <w:vAlign w:val="center"/>
          </w:tcPr>
          <w:p>
            <w:pPr>
              <w:pStyle w:val="14"/>
            </w:pPr>
            <w:r>
              <w:t>613.96</w:t>
            </w: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r>
              <w:t>二、外交支出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r>
              <w:t>三、国防支出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四、公共安全支出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五、教育支出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六、科学技术支出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七、文化旅游体育与传媒支出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八、社会保障和就业支出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九、社会保险基金支出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十、卫生健康支出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十一、节能环保支出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十二、城乡社区支出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十三、农林水支出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十四、交通运输支出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十五、资源勘探工业信息等支出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十六、商业服务业等支出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十七、金融支出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十八、援助其他地区支出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十九、自然资源海洋气象等支出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二十、住房保障支出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二十一、粮油物资储备支出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22</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二十二、国有资本经营预算支出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23</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二十三、灾害防治及应急管理支出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24</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二十四、预备费</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25</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二十五、其他支出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26</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二十六、转移性支出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27</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二十七、债务还本支出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28</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二十八、债务付息支出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29</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二十九、债务发行费用支出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30</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三十、抗疫特别国债安排的支出</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31</w:t>
            </w:r>
          </w:p>
        </w:tc>
        <w:tc>
          <w:tcPr>
            <w:tcW w:w="3402" w:type="dxa"/>
            <w:vAlign w:val="center"/>
          </w:tcPr>
          <w:p>
            <w:pPr>
              <w:pStyle w:val="15"/>
            </w:pPr>
          </w:p>
        </w:tc>
        <w:tc>
          <w:tcPr>
            <w:tcW w:w="1474" w:type="dxa"/>
            <w:vAlign w:val="center"/>
          </w:tcPr>
          <w:p>
            <w:pPr>
              <w:pStyle w:val="14"/>
            </w:pPr>
          </w:p>
        </w:tc>
        <w:tc>
          <w:tcPr>
            <w:tcW w:w="3402" w:type="dxa"/>
            <w:vAlign w:val="center"/>
          </w:tcPr>
          <w:p>
            <w:pPr>
              <w:pStyle w:val="15"/>
            </w:pPr>
            <w:r>
              <w:t>三十一、人行科目</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32</w:t>
            </w:r>
          </w:p>
        </w:tc>
        <w:tc>
          <w:tcPr>
            <w:tcW w:w="3402" w:type="dxa"/>
            <w:vAlign w:val="center"/>
          </w:tcPr>
          <w:p>
            <w:pPr>
              <w:pStyle w:val="17"/>
            </w:pPr>
            <w:r>
              <w:t>本年收入合计</w:t>
            </w:r>
          </w:p>
        </w:tc>
        <w:tc>
          <w:tcPr>
            <w:tcW w:w="1474" w:type="dxa"/>
            <w:vAlign w:val="center"/>
          </w:tcPr>
          <w:p>
            <w:pPr>
              <w:pStyle w:val="18"/>
            </w:pPr>
            <w:r>
              <w:t>613.96</w:t>
            </w:r>
          </w:p>
        </w:tc>
        <w:tc>
          <w:tcPr>
            <w:tcW w:w="3402" w:type="dxa"/>
            <w:vAlign w:val="center"/>
          </w:tcPr>
          <w:p>
            <w:pPr>
              <w:pStyle w:val="17"/>
            </w:pPr>
            <w:r>
              <w:t>本年支出合计</w:t>
            </w:r>
          </w:p>
        </w:tc>
        <w:tc>
          <w:tcPr>
            <w:tcW w:w="1474" w:type="dxa"/>
            <w:vAlign w:val="center"/>
          </w:tcPr>
          <w:p>
            <w:pPr>
              <w:pStyle w:val="18"/>
            </w:pPr>
            <w:r>
              <w:t>613.96</w:t>
            </w:r>
          </w:p>
        </w:tc>
        <w:tc>
          <w:tcPr>
            <w:tcW w:w="1474" w:type="dxa"/>
            <w:vAlign w:val="center"/>
          </w:tcPr>
          <w:p>
            <w:pPr>
              <w:pStyle w:val="18"/>
            </w:pPr>
            <w:r>
              <w:t>613.96</w:t>
            </w:r>
          </w:p>
        </w:tc>
        <w:tc>
          <w:tcPr>
            <w:tcW w:w="1474" w:type="dxa"/>
            <w:vAlign w:val="center"/>
          </w:tcPr>
          <w:p>
            <w:pPr>
              <w:pStyle w:val="18"/>
            </w:pPr>
          </w:p>
        </w:tc>
        <w:tc>
          <w:tcPr>
            <w:tcW w:w="1474" w:type="dxa"/>
            <w:vAlign w:val="center"/>
          </w:tcPr>
          <w:p>
            <w:pPr>
              <w:pStyle w:val="18"/>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33</w:t>
            </w:r>
          </w:p>
        </w:tc>
        <w:tc>
          <w:tcPr>
            <w:tcW w:w="3402" w:type="dxa"/>
            <w:vAlign w:val="center"/>
          </w:tcPr>
          <w:p>
            <w:pPr>
              <w:pStyle w:val="15"/>
            </w:pPr>
            <w:r>
              <w:t>年初财政拨款结转和结余</w:t>
            </w:r>
          </w:p>
        </w:tc>
        <w:tc>
          <w:tcPr>
            <w:tcW w:w="1474" w:type="dxa"/>
            <w:vAlign w:val="center"/>
          </w:tcPr>
          <w:p>
            <w:pPr>
              <w:pStyle w:val="14"/>
            </w:pPr>
          </w:p>
        </w:tc>
        <w:tc>
          <w:tcPr>
            <w:tcW w:w="3402" w:type="dxa"/>
            <w:vAlign w:val="center"/>
          </w:tcPr>
          <w:p>
            <w:pPr>
              <w:pStyle w:val="15"/>
            </w:pPr>
            <w:r>
              <w:t>年末财政拨款结转和结余</w:t>
            </w: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34</w:t>
            </w:r>
          </w:p>
        </w:tc>
        <w:tc>
          <w:tcPr>
            <w:tcW w:w="3402" w:type="dxa"/>
            <w:vAlign w:val="center"/>
          </w:tcPr>
          <w:p>
            <w:pPr>
              <w:pStyle w:val="15"/>
            </w:pPr>
            <w:r>
              <w:t>一、一般公共预算拨款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35</w:t>
            </w:r>
          </w:p>
        </w:tc>
        <w:tc>
          <w:tcPr>
            <w:tcW w:w="3402" w:type="dxa"/>
            <w:vAlign w:val="center"/>
          </w:tcPr>
          <w:p>
            <w:pPr>
              <w:pStyle w:val="15"/>
            </w:pPr>
            <w:r>
              <w:t>二、政府性基金预算拨款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36</w:t>
            </w:r>
          </w:p>
        </w:tc>
        <w:tc>
          <w:tcPr>
            <w:tcW w:w="3402" w:type="dxa"/>
            <w:vAlign w:val="center"/>
          </w:tcPr>
          <w:p>
            <w:pPr>
              <w:pStyle w:val="15"/>
            </w:pPr>
            <w:r>
              <w:t>三、国有资本经营预算拨款</w:t>
            </w:r>
          </w:p>
        </w:tc>
        <w:tc>
          <w:tcPr>
            <w:tcW w:w="1474" w:type="dxa"/>
            <w:vAlign w:val="center"/>
          </w:tcPr>
          <w:p>
            <w:pPr>
              <w:pStyle w:val="14"/>
            </w:pPr>
          </w:p>
        </w:tc>
        <w:tc>
          <w:tcPr>
            <w:tcW w:w="3402" w:type="dxa"/>
            <w:vAlign w:val="center"/>
          </w:tcPr>
          <w:p>
            <w:pPr>
              <w:pStyle w:val="15"/>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c>
          <w:tcPr>
            <w:tcW w:w="1474"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37</w:t>
            </w:r>
          </w:p>
        </w:tc>
        <w:tc>
          <w:tcPr>
            <w:tcW w:w="3402" w:type="dxa"/>
            <w:vAlign w:val="center"/>
          </w:tcPr>
          <w:p>
            <w:pPr>
              <w:pStyle w:val="17"/>
            </w:pPr>
            <w:r>
              <w:t>收入总计</w:t>
            </w:r>
          </w:p>
        </w:tc>
        <w:tc>
          <w:tcPr>
            <w:tcW w:w="1474" w:type="dxa"/>
            <w:vAlign w:val="center"/>
          </w:tcPr>
          <w:p>
            <w:pPr>
              <w:pStyle w:val="18"/>
            </w:pPr>
            <w:r>
              <w:t>613.96</w:t>
            </w:r>
          </w:p>
        </w:tc>
        <w:tc>
          <w:tcPr>
            <w:tcW w:w="3402" w:type="dxa"/>
            <w:vAlign w:val="center"/>
          </w:tcPr>
          <w:p>
            <w:pPr>
              <w:pStyle w:val="17"/>
            </w:pPr>
            <w:r>
              <w:t>支出总计</w:t>
            </w:r>
          </w:p>
        </w:tc>
        <w:tc>
          <w:tcPr>
            <w:tcW w:w="1474" w:type="dxa"/>
            <w:vAlign w:val="center"/>
          </w:tcPr>
          <w:p>
            <w:pPr>
              <w:pStyle w:val="18"/>
            </w:pPr>
            <w:r>
              <w:t>613.96</w:t>
            </w:r>
          </w:p>
        </w:tc>
        <w:tc>
          <w:tcPr>
            <w:tcW w:w="1474" w:type="dxa"/>
            <w:vAlign w:val="center"/>
          </w:tcPr>
          <w:p>
            <w:pPr>
              <w:pStyle w:val="18"/>
            </w:pPr>
            <w:r>
              <w:t>613.96</w:t>
            </w:r>
          </w:p>
        </w:tc>
        <w:tc>
          <w:tcPr>
            <w:tcW w:w="1474" w:type="dxa"/>
            <w:vAlign w:val="center"/>
          </w:tcPr>
          <w:p>
            <w:pPr>
              <w:pStyle w:val="18"/>
            </w:pPr>
          </w:p>
        </w:tc>
        <w:tc>
          <w:tcPr>
            <w:tcW w:w="1474" w:type="dxa"/>
            <w:vAlign w:val="center"/>
          </w:tcPr>
          <w:p>
            <w:pPr>
              <w:pStyle w:val="18"/>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8"/>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201004隆尧县机关事务管理局</w:t>
            </w:r>
          </w:p>
        </w:tc>
        <w:tc>
          <w:tcPr>
            <w:tcW w:w="2551" w:type="dxa"/>
            <w:tcBorders>
              <w:top w:val="single" w:color="FFFFFF" w:sz="6" w:space="0"/>
              <w:left w:val="single" w:color="FFFFFF" w:sz="6" w:space="0"/>
              <w:right w:val="single" w:color="FFFFFF" w:sz="6" w:space="0"/>
            </w:tcBorders>
            <w:vAlign w:val="center"/>
          </w:tcPr>
          <w:p>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1</w:t>
            </w:r>
          </w:p>
        </w:tc>
        <w:tc>
          <w:tcPr>
            <w:tcW w:w="1191" w:type="dxa"/>
            <w:vAlign w:val="center"/>
          </w:tcPr>
          <w:p>
            <w:pPr>
              <w:pStyle w:val="19"/>
            </w:pPr>
          </w:p>
        </w:tc>
        <w:tc>
          <w:tcPr>
            <w:tcW w:w="4535" w:type="dxa"/>
            <w:vAlign w:val="center"/>
          </w:tcPr>
          <w:p>
            <w:pPr>
              <w:pStyle w:val="17"/>
            </w:pPr>
            <w:r>
              <w:t>合计</w:t>
            </w:r>
          </w:p>
        </w:tc>
        <w:tc>
          <w:tcPr>
            <w:tcW w:w="2551" w:type="dxa"/>
            <w:vAlign w:val="center"/>
          </w:tcPr>
          <w:p>
            <w:pPr>
              <w:pStyle w:val="18"/>
            </w:pPr>
            <w:r>
              <w:t>613.96</w:t>
            </w:r>
          </w:p>
        </w:tc>
        <w:tc>
          <w:tcPr>
            <w:tcW w:w="2551" w:type="dxa"/>
            <w:vAlign w:val="center"/>
          </w:tcPr>
          <w:p>
            <w:pPr>
              <w:pStyle w:val="18"/>
            </w:pPr>
          </w:p>
        </w:tc>
        <w:tc>
          <w:tcPr>
            <w:tcW w:w="2551" w:type="dxa"/>
            <w:vAlign w:val="center"/>
          </w:tcPr>
          <w:p>
            <w:pPr>
              <w:pStyle w:val="18"/>
            </w:pPr>
            <w:r>
              <w:t>613.96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2</w:t>
            </w:r>
          </w:p>
        </w:tc>
        <w:tc>
          <w:tcPr>
            <w:tcW w:w="1191" w:type="dxa"/>
            <w:vAlign w:val="center"/>
          </w:tcPr>
          <w:p>
            <w:pPr>
              <w:pStyle w:val="15"/>
            </w:pPr>
            <w:r>
              <w:t>201</w:t>
            </w:r>
          </w:p>
        </w:tc>
        <w:tc>
          <w:tcPr>
            <w:tcW w:w="4535" w:type="dxa"/>
            <w:vAlign w:val="center"/>
          </w:tcPr>
          <w:p>
            <w:pPr>
              <w:pStyle w:val="15"/>
            </w:pPr>
            <w:r>
              <w:t>一般公共服务支出</w:t>
            </w:r>
          </w:p>
        </w:tc>
        <w:tc>
          <w:tcPr>
            <w:tcW w:w="2551" w:type="dxa"/>
            <w:vAlign w:val="center"/>
          </w:tcPr>
          <w:p>
            <w:pPr>
              <w:pStyle w:val="14"/>
            </w:pPr>
            <w:r>
              <w:t>613.96</w:t>
            </w:r>
          </w:p>
        </w:tc>
        <w:tc>
          <w:tcPr>
            <w:tcW w:w="2551" w:type="dxa"/>
            <w:vAlign w:val="center"/>
          </w:tcPr>
          <w:p>
            <w:pPr>
              <w:pStyle w:val="14"/>
            </w:pPr>
          </w:p>
        </w:tc>
        <w:tc>
          <w:tcPr>
            <w:tcW w:w="2551" w:type="dxa"/>
            <w:vAlign w:val="center"/>
          </w:tcPr>
          <w:p>
            <w:pPr>
              <w:pStyle w:val="14"/>
            </w:pPr>
            <w:r>
              <w:t>613.96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3</w:t>
            </w:r>
          </w:p>
        </w:tc>
        <w:tc>
          <w:tcPr>
            <w:tcW w:w="1191" w:type="dxa"/>
            <w:vAlign w:val="center"/>
          </w:tcPr>
          <w:p>
            <w:pPr>
              <w:pStyle w:val="15"/>
            </w:pPr>
            <w:r>
              <w:t>20131</w:t>
            </w:r>
          </w:p>
        </w:tc>
        <w:tc>
          <w:tcPr>
            <w:tcW w:w="4535" w:type="dxa"/>
            <w:vAlign w:val="center"/>
          </w:tcPr>
          <w:p>
            <w:pPr>
              <w:pStyle w:val="15"/>
            </w:pPr>
            <w:r>
              <w:t>党委办公厅（室）及相关机构事务</w:t>
            </w:r>
          </w:p>
        </w:tc>
        <w:tc>
          <w:tcPr>
            <w:tcW w:w="2551" w:type="dxa"/>
            <w:vAlign w:val="center"/>
          </w:tcPr>
          <w:p>
            <w:pPr>
              <w:pStyle w:val="14"/>
            </w:pPr>
            <w:r>
              <w:t>613.96</w:t>
            </w:r>
          </w:p>
        </w:tc>
        <w:tc>
          <w:tcPr>
            <w:tcW w:w="2551" w:type="dxa"/>
            <w:vAlign w:val="center"/>
          </w:tcPr>
          <w:p>
            <w:pPr>
              <w:pStyle w:val="14"/>
            </w:pPr>
          </w:p>
        </w:tc>
        <w:tc>
          <w:tcPr>
            <w:tcW w:w="2551" w:type="dxa"/>
            <w:vAlign w:val="center"/>
          </w:tcPr>
          <w:p>
            <w:pPr>
              <w:pStyle w:val="14"/>
            </w:pPr>
            <w:r>
              <w:t>613.96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4</w:t>
            </w:r>
          </w:p>
        </w:tc>
        <w:tc>
          <w:tcPr>
            <w:tcW w:w="1191" w:type="dxa"/>
            <w:vAlign w:val="center"/>
          </w:tcPr>
          <w:p>
            <w:pPr>
              <w:pStyle w:val="15"/>
            </w:pPr>
            <w:r>
              <w:t>2013105</w:t>
            </w:r>
          </w:p>
        </w:tc>
        <w:tc>
          <w:tcPr>
            <w:tcW w:w="4535" w:type="dxa"/>
            <w:vAlign w:val="center"/>
          </w:tcPr>
          <w:p>
            <w:pPr>
              <w:pStyle w:val="15"/>
            </w:pPr>
            <w:r>
              <w:t>专项业务</w:t>
            </w:r>
          </w:p>
        </w:tc>
        <w:tc>
          <w:tcPr>
            <w:tcW w:w="2551" w:type="dxa"/>
            <w:vAlign w:val="center"/>
          </w:tcPr>
          <w:p>
            <w:pPr>
              <w:pStyle w:val="14"/>
            </w:pPr>
            <w:r>
              <w:t>608.96</w:t>
            </w:r>
          </w:p>
        </w:tc>
        <w:tc>
          <w:tcPr>
            <w:tcW w:w="2551" w:type="dxa"/>
            <w:vAlign w:val="center"/>
          </w:tcPr>
          <w:p>
            <w:pPr>
              <w:pStyle w:val="14"/>
            </w:pPr>
          </w:p>
        </w:tc>
        <w:tc>
          <w:tcPr>
            <w:tcW w:w="2551" w:type="dxa"/>
            <w:vAlign w:val="center"/>
          </w:tcPr>
          <w:p>
            <w:pPr>
              <w:pStyle w:val="14"/>
            </w:pPr>
            <w:r>
              <w:t>608.96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r>
              <w:t>5</w:t>
            </w:r>
          </w:p>
        </w:tc>
        <w:tc>
          <w:tcPr>
            <w:tcW w:w="1191" w:type="dxa"/>
            <w:vAlign w:val="center"/>
          </w:tcPr>
          <w:p>
            <w:pPr>
              <w:pStyle w:val="15"/>
            </w:pPr>
            <w:r>
              <w:t>2013150</w:t>
            </w:r>
          </w:p>
        </w:tc>
        <w:tc>
          <w:tcPr>
            <w:tcW w:w="4535" w:type="dxa"/>
            <w:vAlign w:val="center"/>
          </w:tcPr>
          <w:p>
            <w:pPr>
              <w:pStyle w:val="15"/>
            </w:pPr>
            <w:r>
              <w:t>事业运行</w:t>
            </w:r>
          </w:p>
        </w:tc>
        <w:tc>
          <w:tcPr>
            <w:tcW w:w="2551" w:type="dxa"/>
            <w:vAlign w:val="center"/>
          </w:tcPr>
          <w:p>
            <w:pPr>
              <w:pStyle w:val="14"/>
            </w:pPr>
            <w:r>
              <w:t>5.00</w:t>
            </w:r>
          </w:p>
        </w:tc>
        <w:tc>
          <w:tcPr>
            <w:tcW w:w="2551" w:type="dxa"/>
            <w:vAlign w:val="center"/>
          </w:tcPr>
          <w:p>
            <w:pPr>
              <w:pStyle w:val="14"/>
            </w:pPr>
          </w:p>
        </w:tc>
        <w:tc>
          <w:tcPr>
            <w:tcW w:w="2551" w:type="dxa"/>
            <w:vAlign w:val="center"/>
          </w:tcPr>
          <w:p>
            <w:pPr>
              <w:pStyle w:val="14"/>
            </w:pPr>
            <w:r>
              <w:t>5.00</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8"/>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201004隆尧县机关事务管理局</w:t>
            </w:r>
          </w:p>
        </w:tc>
        <w:tc>
          <w:tcPr>
            <w:tcW w:w="2551" w:type="dxa"/>
            <w:tcBorders>
              <w:top w:val="single" w:color="FFFFFF" w:sz="6" w:space="0"/>
              <w:left w:val="single" w:color="FFFFFF" w:sz="6" w:space="0"/>
              <w:right w:val="single" w:color="FFFFFF" w:sz="6" w:space="0"/>
            </w:tcBorders>
            <w:vAlign w:val="center"/>
          </w:tcPr>
          <w:p>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支出部门经济分类科目</w:t>
            </w:r>
          </w:p>
        </w:tc>
        <w:tc>
          <w:tcPr>
            <w:tcW w:w="7653" w:type="dxa"/>
            <w:gridSpan w:val="3"/>
            <w:vAlign w:val="center"/>
          </w:tcPr>
          <w:p>
            <w:pPr>
              <w:pStyle w:val="13"/>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3"/>
            </w:pPr>
            <w:r>
              <w:t>科目编码</w:t>
            </w:r>
          </w:p>
        </w:tc>
        <w:tc>
          <w:tcPr>
            <w:tcW w:w="4535" w:type="dxa"/>
            <w:vAlign w:val="center"/>
          </w:tcPr>
          <w:p>
            <w:pPr>
              <w:pStyle w:val="13"/>
            </w:pPr>
            <w:r>
              <w:t>科目名称</w:t>
            </w:r>
          </w:p>
        </w:tc>
        <w:tc>
          <w:tcPr>
            <w:tcW w:w="2551" w:type="dxa"/>
            <w:vAlign w:val="center"/>
          </w:tcPr>
          <w:p>
            <w:pPr>
              <w:pStyle w:val="13"/>
            </w:pPr>
            <w:r>
              <w:t>合计</w:t>
            </w:r>
          </w:p>
        </w:tc>
        <w:tc>
          <w:tcPr>
            <w:tcW w:w="2551" w:type="dxa"/>
            <w:vAlign w:val="center"/>
          </w:tcPr>
          <w:p>
            <w:pPr>
              <w:pStyle w:val="13"/>
            </w:pPr>
            <w:r>
              <w:t>人员经费</w:t>
            </w:r>
          </w:p>
        </w:tc>
        <w:tc>
          <w:tcPr>
            <w:tcW w:w="2551" w:type="dxa"/>
            <w:vAlign w:val="center"/>
          </w:tcPr>
          <w:p>
            <w:pPr>
              <w:pStyle w:val="13"/>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注：无一般公共预算财政拨款基本支出预算，空表列示。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8"/>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201004隆尧县机关事务管理局</w:t>
            </w:r>
          </w:p>
        </w:tc>
        <w:tc>
          <w:tcPr>
            <w:tcW w:w="2551" w:type="dxa"/>
            <w:tcBorders>
              <w:top w:val="single" w:color="FFFFFF" w:sz="6" w:space="0"/>
              <w:left w:val="single" w:color="FFFFFF" w:sz="6" w:space="0"/>
              <w:right w:val="single" w:color="FFFFFF" w:sz="6" w:space="0"/>
            </w:tcBorders>
            <w:vAlign w:val="center"/>
          </w:tcPr>
          <w:p>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8"/>
        <w:tblW w:w="1422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2"/>
            </w:pPr>
            <w:r>
              <w:t>201004隆尧县机关事务管理局</w:t>
            </w:r>
          </w:p>
        </w:tc>
        <w:tc>
          <w:tcPr>
            <w:tcW w:w="2551" w:type="dxa"/>
            <w:tcBorders>
              <w:top w:val="single" w:color="FFFFFF" w:sz="6" w:space="0"/>
              <w:left w:val="single" w:color="FFFFFF" w:sz="6" w:space="0"/>
              <w:right w:val="single" w:color="FFFFFF" w:sz="6" w:space="0"/>
            </w:tcBorders>
            <w:vAlign w:val="center"/>
          </w:tcPr>
          <w:p>
            <w:pPr>
              <w:pStyle w:val="11"/>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5726" w:type="dxa"/>
            <w:gridSpan w:val="2"/>
            <w:vAlign w:val="center"/>
          </w:tcPr>
          <w:p>
            <w:pPr>
              <w:pStyle w:val="13"/>
            </w:pPr>
            <w:r>
              <w:t>功能分类科目</w:t>
            </w:r>
          </w:p>
        </w:tc>
        <w:tc>
          <w:tcPr>
            <w:tcW w:w="2551" w:type="dxa"/>
            <w:vMerge w:val="restart"/>
            <w:vAlign w:val="center"/>
          </w:tcPr>
          <w:p>
            <w:pPr>
              <w:pStyle w:val="13"/>
            </w:pPr>
            <w:r>
              <w:t>合计</w:t>
            </w:r>
          </w:p>
        </w:tc>
        <w:tc>
          <w:tcPr>
            <w:tcW w:w="2551" w:type="dxa"/>
            <w:vMerge w:val="restart"/>
            <w:vAlign w:val="center"/>
          </w:tcPr>
          <w:p>
            <w:pPr>
              <w:pStyle w:val="13"/>
            </w:pPr>
            <w:r>
              <w:t>基本支出</w:t>
            </w:r>
          </w:p>
        </w:tc>
        <w:tc>
          <w:tcPr>
            <w:tcW w:w="2551" w:type="dxa"/>
            <w:vMerge w:val="restart"/>
            <w:vAlign w:val="center"/>
          </w:tcPr>
          <w:p>
            <w:pPr>
              <w:pStyle w:val="13"/>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3"/>
            </w:pPr>
            <w:r>
              <w:t>科目编码</w:t>
            </w:r>
          </w:p>
        </w:tc>
        <w:tc>
          <w:tcPr>
            <w:tcW w:w="4535" w:type="dxa"/>
            <w:vAlign w:val="center"/>
          </w:tcPr>
          <w:p>
            <w:pPr>
              <w:pStyle w:val="13"/>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3"/>
            </w:pPr>
            <w:r>
              <w:t>栏次</w:t>
            </w:r>
          </w:p>
        </w:tc>
        <w:tc>
          <w:tcPr>
            <w:tcW w:w="1191" w:type="dxa"/>
            <w:vAlign w:val="center"/>
          </w:tcPr>
          <w:p>
            <w:pPr>
              <w:pStyle w:val="13"/>
            </w:pPr>
            <w:r>
              <w:t>1</w:t>
            </w:r>
          </w:p>
        </w:tc>
        <w:tc>
          <w:tcPr>
            <w:tcW w:w="4535" w:type="dxa"/>
            <w:vAlign w:val="center"/>
          </w:tcPr>
          <w:p>
            <w:pPr>
              <w:pStyle w:val="13"/>
            </w:pPr>
            <w:r>
              <w:t>2</w:t>
            </w:r>
          </w:p>
        </w:tc>
        <w:tc>
          <w:tcPr>
            <w:tcW w:w="2551" w:type="dxa"/>
            <w:vAlign w:val="center"/>
          </w:tcPr>
          <w:p>
            <w:pPr>
              <w:pStyle w:val="13"/>
            </w:pPr>
            <w:r>
              <w:t>3</w:t>
            </w:r>
          </w:p>
        </w:tc>
        <w:tc>
          <w:tcPr>
            <w:tcW w:w="2551" w:type="dxa"/>
            <w:vAlign w:val="center"/>
          </w:tcPr>
          <w:p>
            <w:pPr>
              <w:pStyle w:val="13"/>
            </w:pPr>
            <w:r>
              <w:t>4</w:t>
            </w:r>
          </w:p>
        </w:tc>
        <w:tc>
          <w:tcPr>
            <w:tcW w:w="2551" w:type="dxa"/>
            <w:vAlign w:val="center"/>
          </w:tcPr>
          <w:p>
            <w:pPr>
              <w:pStyle w:val="13"/>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6"/>
            </w:pPr>
          </w:p>
        </w:tc>
        <w:tc>
          <w:tcPr>
            <w:tcW w:w="1191" w:type="dxa"/>
            <w:vAlign w:val="center"/>
          </w:tcPr>
          <w:p>
            <w:pPr>
              <w:pStyle w:val="15"/>
            </w:pPr>
          </w:p>
        </w:tc>
        <w:tc>
          <w:tcPr>
            <w:tcW w:w="4535" w:type="dxa"/>
            <w:vAlign w:val="center"/>
          </w:tcPr>
          <w:p>
            <w:pPr>
              <w:pStyle w:val="15"/>
            </w:pPr>
          </w:p>
        </w:tc>
        <w:tc>
          <w:tcPr>
            <w:tcW w:w="2551" w:type="dxa"/>
            <w:vAlign w:val="center"/>
          </w:tcPr>
          <w:p>
            <w:pPr>
              <w:pStyle w:val="14"/>
            </w:pPr>
          </w:p>
        </w:tc>
        <w:tc>
          <w:tcPr>
            <w:tcW w:w="2551" w:type="dxa"/>
            <w:vAlign w:val="center"/>
          </w:tcPr>
          <w:p>
            <w:pPr>
              <w:pStyle w:val="14"/>
            </w:pPr>
          </w:p>
        </w:tc>
        <w:tc>
          <w:tcPr>
            <w:tcW w:w="2551" w:type="dxa"/>
            <w:vAlign w:val="center"/>
          </w:tcPr>
          <w:p>
            <w:pPr>
              <w:pStyle w:val="14"/>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8"/>
        <w:tblW w:w="14172"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2"/>
            </w:pPr>
            <w:r>
              <w:t>201004隆尧县机关事务管理局</w:t>
            </w:r>
          </w:p>
        </w:tc>
        <w:tc>
          <w:tcPr>
            <w:tcW w:w="2381" w:type="dxa"/>
            <w:tcBorders>
              <w:top w:val="single" w:color="FFFFFF" w:sz="6" w:space="0"/>
              <w:left w:val="single" w:color="FFFFFF" w:sz="6" w:space="0"/>
              <w:right w:val="single" w:color="FFFFFF" w:sz="6" w:space="0"/>
            </w:tcBorders>
            <w:vAlign w:val="center"/>
          </w:tcPr>
          <w:p>
            <w:pPr>
              <w:pStyle w:val="11"/>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10"/>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3"/>
            </w:pPr>
            <w:r>
              <w:t>序号</w:t>
            </w:r>
          </w:p>
        </w:tc>
        <w:tc>
          <w:tcPr>
            <w:tcW w:w="3798" w:type="dxa"/>
            <w:vMerge w:val="restart"/>
            <w:vAlign w:val="center"/>
          </w:tcPr>
          <w:p>
            <w:pPr>
              <w:pStyle w:val="13"/>
            </w:pPr>
            <w:r>
              <w:t>项  目</w:t>
            </w:r>
          </w:p>
        </w:tc>
        <w:tc>
          <w:tcPr>
            <w:tcW w:w="9524" w:type="dxa"/>
            <w:gridSpan w:val="4"/>
            <w:vAlign w:val="center"/>
          </w:tcPr>
          <w:p>
            <w:pPr>
              <w:pStyle w:val="13"/>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pPr/>
          </w:p>
        </w:tc>
        <w:tc>
          <w:tcPr>
            <w:tcW w:w="3798" w:type="dxa"/>
            <w:vMerge w:val="continue"/>
          </w:tcPr>
          <w:p>
            <w:pPr/>
          </w:p>
        </w:tc>
        <w:tc>
          <w:tcPr>
            <w:tcW w:w="2381" w:type="dxa"/>
            <w:vAlign w:val="center"/>
          </w:tcPr>
          <w:p>
            <w:pPr>
              <w:pStyle w:val="13"/>
            </w:pPr>
            <w:r>
              <w:t>合计</w:t>
            </w:r>
          </w:p>
        </w:tc>
        <w:tc>
          <w:tcPr>
            <w:tcW w:w="2381" w:type="dxa"/>
            <w:vAlign w:val="center"/>
          </w:tcPr>
          <w:p>
            <w:pPr>
              <w:pStyle w:val="13"/>
            </w:pPr>
            <w:r>
              <w:t>一般公共预算              财政拨款</w:t>
            </w:r>
          </w:p>
        </w:tc>
        <w:tc>
          <w:tcPr>
            <w:tcW w:w="2381" w:type="dxa"/>
            <w:vAlign w:val="center"/>
          </w:tcPr>
          <w:p>
            <w:pPr>
              <w:pStyle w:val="13"/>
            </w:pPr>
            <w:r>
              <w:t>政府性基金                  预算拨款</w:t>
            </w:r>
          </w:p>
        </w:tc>
        <w:tc>
          <w:tcPr>
            <w:tcW w:w="2381" w:type="dxa"/>
            <w:vAlign w:val="center"/>
          </w:tcPr>
          <w:p>
            <w:pPr>
              <w:pStyle w:val="13"/>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3"/>
            </w:pPr>
            <w:r>
              <w:t>栏次</w:t>
            </w:r>
          </w:p>
        </w:tc>
        <w:tc>
          <w:tcPr>
            <w:tcW w:w="3798" w:type="dxa"/>
            <w:vAlign w:val="center"/>
          </w:tcPr>
          <w:p>
            <w:pPr>
              <w:pStyle w:val="13"/>
            </w:pPr>
            <w:r>
              <w:t>1</w:t>
            </w:r>
          </w:p>
        </w:tc>
        <w:tc>
          <w:tcPr>
            <w:tcW w:w="2381" w:type="dxa"/>
            <w:vAlign w:val="center"/>
          </w:tcPr>
          <w:p>
            <w:pPr>
              <w:pStyle w:val="13"/>
            </w:pPr>
            <w:r>
              <w:t>2</w:t>
            </w:r>
          </w:p>
        </w:tc>
        <w:tc>
          <w:tcPr>
            <w:tcW w:w="2381" w:type="dxa"/>
            <w:vAlign w:val="center"/>
          </w:tcPr>
          <w:p>
            <w:pPr>
              <w:pStyle w:val="13"/>
            </w:pPr>
            <w:r>
              <w:t>3</w:t>
            </w:r>
          </w:p>
        </w:tc>
        <w:tc>
          <w:tcPr>
            <w:tcW w:w="2381" w:type="dxa"/>
            <w:vAlign w:val="center"/>
          </w:tcPr>
          <w:p>
            <w:pPr>
              <w:pStyle w:val="13"/>
            </w:pPr>
            <w:r>
              <w:t>4</w:t>
            </w:r>
          </w:p>
        </w:tc>
        <w:tc>
          <w:tcPr>
            <w:tcW w:w="2381" w:type="dxa"/>
            <w:vAlign w:val="center"/>
          </w:tcPr>
          <w:p>
            <w:pPr>
              <w:pStyle w:val="13"/>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6"/>
              <w:rPr>
                <w:rFonts w:hint="eastAsia" w:eastAsia="方正书宋_GBK"/>
                <w:lang w:val="en-US" w:eastAsia="zh-CN"/>
              </w:rPr>
            </w:pPr>
            <w:r>
              <w:rPr>
                <w:rFonts w:hint="eastAsia"/>
                <w:lang w:val="en-US" w:eastAsia="zh-CN"/>
              </w:rPr>
              <w:t>1</w:t>
            </w:r>
          </w:p>
        </w:tc>
        <w:tc>
          <w:tcPr>
            <w:tcW w:w="3798" w:type="dxa"/>
            <w:vAlign w:val="center"/>
          </w:tcPr>
          <w:p>
            <w:pPr>
              <w:pStyle w:val="15"/>
              <w:rPr>
                <w:rFonts w:hint="eastAsia" w:eastAsia="方正书宋_GBK"/>
                <w:lang w:val="en-US" w:eastAsia="zh-CN"/>
              </w:rPr>
            </w:pPr>
            <w:r>
              <w:rPr>
                <w:rFonts w:hint="eastAsia"/>
                <w:lang w:val="en-US" w:eastAsia="zh-CN"/>
              </w:rPr>
              <w:t>公务用车运行维护费</w:t>
            </w:r>
          </w:p>
        </w:tc>
        <w:tc>
          <w:tcPr>
            <w:tcW w:w="2381" w:type="dxa"/>
            <w:vAlign w:val="center"/>
          </w:tcPr>
          <w:p>
            <w:pPr>
              <w:pStyle w:val="14"/>
              <w:rPr>
                <w:rFonts w:hint="eastAsia" w:eastAsia="方正书宋_GBK"/>
                <w:lang w:val="en-US" w:eastAsia="zh-CN"/>
              </w:rPr>
            </w:pPr>
            <w:r>
              <w:rPr>
                <w:rFonts w:hint="eastAsia"/>
                <w:lang w:val="en-US" w:eastAsia="zh-CN"/>
              </w:rPr>
              <w:t>80</w:t>
            </w:r>
          </w:p>
        </w:tc>
        <w:tc>
          <w:tcPr>
            <w:tcW w:w="2381" w:type="dxa"/>
            <w:vAlign w:val="center"/>
          </w:tcPr>
          <w:p>
            <w:pPr>
              <w:pStyle w:val="14"/>
              <w:rPr>
                <w:rFonts w:hint="eastAsia" w:eastAsia="方正书宋_GBK"/>
                <w:lang w:val="en-US" w:eastAsia="zh-CN"/>
              </w:rPr>
            </w:pPr>
            <w:r>
              <w:rPr>
                <w:rFonts w:hint="eastAsia"/>
                <w:lang w:val="en-US" w:eastAsia="zh-CN"/>
              </w:rPr>
              <w:t>80</w:t>
            </w:r>
          </w:p>
        </w:tc>
        <w:tc>
          <w:tcPr>
            <w:tcW w:w="2381" w:type="dxa"/>
            <w:vAlign w:val="center"/>
          </w:tcPr>
          <w:p>
            <w:pPr>
              <w:pStyle w:val="14"/>
            </w:pPr>
          </w:p>
        </w:tc>
        <w:tc>
          <w:tcPr>
            <w:tcW w:w="2381" w:type="dxa"/>
            <w:vAlign w:val="center"/>
          </w:tcPr>
          <w:p>
            <w:pPr>
              <w:pStyle w:val="14"/>
            </w:pPr>
          </w:p>
        </w:tc>
      </w:tr>
    </w:tbl>
    <w:p>
      <w:pPr>
        <w:spacing w:before="0" w:after="0" w:line="240" w:lineRule="auto"/>
        <w:ind w:firstLine="420"/>
        <w:jc w:val="left"/>
        <w:outlineLvl w:val="9"/>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隆尧县机关事务管理局2025年单位预算信息公开情况说明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按照《中华人民共和国预算法》、《地方预决算公开操作规程》和《关于进一步推进预算公开工作的实施意见》规定，现将隆尧县机关事务管理局2025年单位预算公开如下：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单位职责：</w:t>
      </w:r>
    </w:p>
    <w:p>
      <w:pPr>
        <w:spacing w:before="0" w:after="0" w:line="240" w:lineRule="auto"/>
        <w:ind w:firstLine="640"/>
        <w:jc w:val="left"/>
        <w:outlineLvl w:val="9"/>
        <w:rPr>
          <w:rFonts w:ascii="仿宋" w:hAnsi="仿宋" w:eastAsia="仿宋" w:cs="仿宋"/>
          <w:sz w:val="32"/>
          <w:szCs w:val="32"/>
        </w:rPr>
      </w:pPr>
      <w:r>
        <w:rPr>
          <w:rFonts w:hint="eastAsia" w:ascii="仿宋" w:hAnsi="仿宋" w:eastAsia="仿宋" w:cs="仿宋"/>
          <w:sz w:val="32"/>
          <w:szCs w:val="32"/>
        </w:rPr>
        <w:t>机关事务管理局职责</w:t>
      </w:r>
    </w:p>
    <w:p>
      <w:pPr>
        <w:rPr>
          <w:rFonts w:ascii="仿宋" w:hAnsi="仿宋" w:eastAsia="仿宋" w:cs="仿宋"/>
          <w:sz w:val="32"/>
          <w:szCs w:val="32"/>
        </w:rPr>
      </w:pPr>
      <w:r>
        <w:rPr>
          <w:rFonts w:hint="eastAsia" w:ascii="仿宋" w:hAnsi="仿宋" w:eastAsia="仿宋" w:cs="仿宋"/>
          <w:sz w:val="32"/>
          <w:szCs w:val="32"/>
        </w:rPr>
        <w:t xml:space="preserve">    1、研究制定本县各级机关事务管理工作的政策措施并组织实施；</w:t>
      </w:r>
    </w:p>
    <w:p>
      <w:pPr>
        <w:rPr>
          <w:rFonts w:ascii="仿宋" w:hAnsi="仿宋" w:eastAsia="仿宋" w:cs="仿宋"/>
          <w:sz w:val="32"/>
          <w:szCs w:val="32"/>
        </w:rPr>
      </w:pPr>
      <w:r>
        <w:rPr>
          <w:rFonts w:hint="eastAsia" w:ascii="仿宋" w:hAnsi="仿宋" w:eastAsia="仿宋" w:cs="仿宋"/>
          <w:sz w:val="32"/>
          <w:szCs w:val="32"/>
        </w:rPr>
        <w:t xml:space="preserve">    2、负责指定区域内的机关后勤管理和服务工作；</w:t>
      </w:r>
    </w:p>
    <w:p>
      <w:pPr>
        <w:rPr>
          <w:rFonts w:ascii="仿宋" w:hAnsi="仿宋" w:eastAsia="仿宋" w:cs="仿宋"/>
          <w:sz w:val="32"/>
          <w:szCs w:val="32"/>
        </w:rPr>
      </w:pPr>
      <w:r>
        <w:rPr>
          <w:rFonts w:hint="eastAsia" w:ascii="仿宋" w:hAnsi="仿宋" w:eastAsia="仿宋" w:cs="仿宋"/>
          <w:sz w:val="32"/>
          <w:szCs w:val="32"/>
        </w:rPr>
        <w:t xml:space="preserve">    3、负责车改后保留公务用车的管理、调度；</w:t>
      </w:r>
    </w:p>
    <w:p>
      <w:pPr>
        <w:ind w:firstLine="640"/>
        <w:rPr>
          <w:rFonts w:hint="eastAsia" w:ascii="仿宋" w:hAnsi="仿宋" w:eastAsia="仿宋" w:cs="仿宋"/>
          <w:sz w:val="32"/>
          <w:szCs w:val="32"/>
        </w:rPr>
      </w:pPr>
      <w:r>
        <w:rPr>
          <w:rFonts w:hint="eastAsia" w:ascii="仿宋" w:hAnsi="仿宋" w:eastAsia="仿宋" w:cs="仿宋"/>
          <w:sz w:val="32"/>
          <w:szCs w:val="32"/>
        </w:rPr>
        <w:t>4、负责机关办公用房配置管理； </w:t>
      </w:r>
    </w:p>
    <w:p>
      <w:pPr>
        <w:ind w:firstLine="640"/>
      </w:pPr>
      <w:r>
        <w:rPr>
          <w:rFonts w:hint="eastAsia" w:ascii="仿宋" w:hAnsi="仿宋" w:eastAsia="仿宋" w:cs="仿宋"/>
          <w:sz w:val="32"/>
          <w:szCs w:val="32"/>
        </w:rPr>
        <w:t>5、负责全县公共机构资源节约的工作。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8"/>
        <w:tblW w:w="13465"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3"/>
            </w:pPr>
            <w:r>
              <w:t>单位名称</w:t>
            </w:r>
          </w:p>
        </w:tc>
        <w:tc>
          <w:tcPr>
            <w:tcW w:w="1843" w:type="dxa"/>
            <w:vAlign w:val="center"/>
          </w:tcPr>
          <w:p>
            <w:pPr>
              <w:pStyle w:val="13"/>
            </w:pPr>
            <w:r>
              <w:t>单位性质</w:t>
            </w:r>
          </w:p>
        </w:tc>
        <w:tc>
          <w:tcPr>
            <w:tcW w:w="2126" w:type="dxa"/>
            <w:vAlign w:val="center"/>
          </w:tcPr>
          <w:p>
            <w:pPr>
              <w:pStyle w:val="13"/>
            </w:pPr>
            <w:r>
              <w:t>单位规格</w:t>
            </w:r>
          </w:p>
        </w:tc>
        <w:tc>
          <w:tcPr>
            <w:tcW w:w="3827" w:type="dxa"/>
            <w:vAlign w:val="center"/>
          </w:tcPr>
          <w:p>
            <w:pPr>
              <w:pStyle w:val="13"/>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5"/>
            </w:pPr>
            <w:r>
              <w:t>隆尧县机关事务管理局</w:t>
            </w:r>
          </w:p>
        </w:tc>
        <w:tc>
          <w:tcPr>
            <w:tcW w:w="1843" w:type="dxa"/>
            <w:vAlign w:val="center"/>
          </w:tcPr>
          <w:p>
            <w:pPr>
              <w:pStyle w:val="16"/>
            </w:pPr>
            <w:r>
              <w:t>事业</w:t>
            </w:r>
          </w:p>
        </w:tc>
        <w:tc>
          <w:tcPr>
            <w:tcW w:w="2126" w:type="dxa"/>
            <w:vAlign w:val="center"/>
          </w:tcPr>
          <w:p>
            <w:pPr>
              <w:pStyle w:val="16"/>
            </w:pPr>
            <w:r>
              <w:t>副科级</w:t>
            </w:r>
          </w:p>
        </w:tc>
        <w:tc>
          <w:tcPr>
            <w:tcW w:w="3827" w:type="dxa"/>
            <w:vAlign w:val="center"/>
          </w:tcPr>
          <w:p>
            <w:pPr>
              <w:pStyle w:val="16"/>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29"/>
      </w:pPr>
      <w:r>
        <w:t>按照预算管理有关规定，目前我县单位预算的编制实行综合预算管理，即全部收入和支出都反映在预算中。隆尧县机关事务管理局的收支包含在预算中。</w:t>
      </w:r>
    </w:p>
    <w:p>
      <w:pPr>
        <w:pStyle w:val="29"/>
      </w:pPr>
      <w:r>
        <w:t>1、收入说明</w:t>
      </w:r>
    </w:p>
    <w:p>
      <w:pPr>
        <w:pStyle w:val="29"/>
      </w:pPr>
      <w:r>
        <w:t>反映本部门当年全部收入。2025年预算收入613.9553万元，其中：一般公共预算收入613.9553万元，基金预算收入0万元，国有资本经营预算收入0万元，财政专户核拨收入0万元，单位资金收入0万元，上年结转结余0万元。</w:t>
      </w:r>
    </w:p>
    <w:p>
      <w:pPr>
        <w:pStyle w:val="29"/>
      </w:pPr>
      <w:r>
        <w:t>2、支出说明</w:t>
      </w:r>
    </w:p>
    <w:p>
      <w:pPr>
        <w:pStyle w:val="29"/>
      </w:pPr>
      <w:r>
        <w:t>收支预算总表支出栏、基本支出表、项目支出表按经济分类和支出功能分类科目编制，反映隆尧县机关事务管理局年度部门预算中支出预算的总体情况。2025年支出预算613.9553万元，其中基本支出0万元，包括人员经费0万元和日常公用经费0万元；项目支出613.9553万元，其中专项业务608.9553万元，事业运行5万元，主要为公务用车运行维护费、租赁费、机关办公费、机关物业保安费、机关水电费、机关取暖费邮电费、劳务派遣司机工资、退役军人岗位补贴、食堂服务费、领导干部健康服务经费、保障公务出行费。</w:t>
      </w:r>
    </w:p>
    <w:p>
      <w:pPr>
        <w:pStyle w:val="29"/>
      </w:pPr>
      <w:r>
        <w:t>3、比上年增减情况</w:t>
      </w:r>
    </w:p>
    <w:p>
      <w:pPr>
        <w:pStyle w:val="29"/>
      </w:pPr>
      <w:r>
        <w:t>2023年预算收支安排613.9553万元，较2024年预算减少622.9747万元，其中：基本支出增加减少0万元；项目支出减少622.9747万元，主要减少为公务用车购置费100万元、县直党政机关办公用房维修基金240万元、机关办公费2.2万元、拍卖六宗土地退补租户相关费用199.44万元、2023年第四季度食堂综合服务费40万元、两馆一中心运行经费48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0"/>
      </w:pPr>
      <w:r>
        <w:t>2025年，我单位</w:t>
      </w:r>
      <w:r>
        <w:rPr>
          <w:rFonts w:hint="eastAsia"/>
          <w:lang w:eastAsia="zh-CN"/>
        </w:rPr>
        <w:t>无此</w:t>
      </w:r>
      <w:r>
        <w:t>运行经费</w:t>
      </w:r>
      <w:bookmarkStart w:id="1" w:name="_GoBack"/>
      <w:bookmarkEnd w:id="1"/>
      <w:r>
        <w:t>安排。</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1"/>
      </w:pPr>
      <w:r>
        <w:t>2025年，我单位财政拨款“三公”经费预算安排80万元，其中因公出国（境）费0万元；公务用车购置及运维费80万元（其中：公务用车购置费为0万元，公务用车运行维护费80万元)；公务接待费0万元。与2024年相比减少100万元，减少的主要原因是：减少公务用车购置费100万元。</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spacing w:before="10" w:after="10" w:line="240" w:lineRule="auto"/>
        <w:jc w:val="left"/>
        <w:outlineLvl w:val="5"/>
        <w:rPr>
          <w:rFonts w:hint="eastAsia" w:ascii="Times New Roman" w:hAnsi="Times New Roman" w:eastAsia="方正仿宋_GBK" w:cs="Times New Roman"/>
          <w:sz w:val="28"/>
          <w:szCs w:val="20"/>
        </w:rPr>
      </w:pPr>
      <w:r>
        <w:rPr>
          <w:rFonts w:hint="eastAsia" w:ascii="黑体" w:hAnsi="黑体" w:eastAsia="黑体" w:cs="黑体"/>
          <w:color w:val="000000"/>
          <w:sz w:val="32"/>
          <w:lang w:val="en-US" w:eastAsia="zh-CN"/>
        </w:rPr>
        <w:t xml:space="preserve">    </w:t>
      </w:r>
      <w:r>
        <w:rPr>
          <w:rFonts w:hint="eastAsia" w:ascii="Times New Roman" w:hAnsi="Times New Roman" w:eastAsia="方正仿宋_GBK" w:cs="Times New Roman"/>
          <w:sz w:val="28"/>
          <w:szCs w:val="20"/>
          <w:lang w:val="en-US" w:eastAsia="zh-CN"/>
        </w:rPr>
        <w:t>（一）</w:t>
      </w:r>
      <w:r>
        <w:rPr>
          <w:rFonts w:hint="eastAsia" w:ascii="Times New Roman" w:hAnsi="Times New Roman" w:eastAsia="方正仿宋_GBK" w:cs="Times New Roman"/>
          <w:sz w:val="28"/>
          <w:szCs w:val="20"/>
        </w:rPr>
        <w:t>总体绩效目标</w:t>
      </w:r>
    </w:p>
    <w:p>
      <w:pPr>
        <w:spacing w:before="10" w:after="10" w:line="240" w:lineRule="auto"/>
        <w:ind w:firstLine="640"/>
        <w:jc w:val="left"/>
        <w:outlineLvl w:val="5"/>
        <w:rPr>
          <w:rFonts w:hint="eastAsia" w:ascii="Times New Roman" w:hAnsi="Times New Roman" w:eastAsia="方正仿宋_GBK" w:cs="Times New Roman"/>
          <w:sz w:val="28"/>
          <w:szCs w:val="20"/>
          <w:lang w:val="en-US" w:eastAsia="zh-CN"/>
        </w:rPr>
      </w:pPr>
      <w:r>
        <w:rPr>
          <w:rFonts w:hint="eastAsia" w:ascii="Times New Roman" w:hAnsi="Times New Roman" w:eastAsia="方正仿宋_GBK" w:cs="Times New Roman"/>
          <w:sz w:val="28"/>
          <w:szCs w:val="20"/>
          <w:lang w:val="en-US" w:eastAsia="zh-CN"/>
        </w:rPr>
        <w:t>1、强化组织建设，提升理论实践水平</w:t>
      </w:r>
    </w:p>
    <w:p>
      <w:pPr>
        <w:spacing w:before="10" w:after="10" w:line="240" w:lineRule="auto"/>
        <w:ind w:firstLine="640"/>
        <w:jc w:val="left"/>
        <w:outlineLvl w:val="5"/>
        <w:rPr>
          <w:rFonts w:hint="eastAsia" w:ascii="Times New Roman" w:hAnsi="Times New Roman" w:eastAsia="方正仿宋_GBK" w:cs="Times New Roman"/>
          <w:sz w:val="28"/>
          <w:szCs w:val="20"/>
          <w:lang w:val="en-US" w:eastAsia="zh-CN"/>
        </w:rPr>
      </w:pPr>
      <w:r>
        <w:rPr>
          <w:rFonts w:hint="eastAsia" w:ascii="Times New Roman" w:hAnsi="Times New Roman" w:eastAsia="方正仿宋_GBK" w:cs="Times New Roman"/>
          <w:sz w:val="28"/>
          <w:szCs w:val="20"/>
          <w:lang w:val="en-US" w:eastAsia="zh-CN"/>
        </w:rPr>
        <w:t>一是强化领导班子政治建设。二是充实人员。三是加强学习。</w:t>
      </w:r>
    </w:p>
    <w:p>
      <w:pPr>
        <w:spacing w:before="10" w:after="10" w:line="240" w:lineRule="auto"/>
        <w:ind w:firstLine="640"/>
        <w:jc w:val="left"/>
        <w:outlineLvl w:val="5"/>
        <w:rPr>
          <w:rFonts w:hint="eastAsia" w:ascii="Times New Roman" w:hAnsi="Times New Roman" w:eastAsia="方正仿宋_GBK" w:cs="Times New Roman"/>
          <w:sz w:val="28"/>
          <w:szCs w:val="20"/>
          <w:lang w:val="en-US" w:eastAsia="zh-CN"/>
        </w:rPr>
      </w:pPr>
      <w:r>
        <w:rPr>
          <w:rFonts w:hint="eastAsia" w:ascii="Times New Roman" w:hAnsi="Times New Roman" w:eastAsia="方正仿宋_GBK" w:cs="Times New Roman"/>
          <w:sz w:val="28"/>
          <w:szCs w:val="20"/>
          <w:lang w:val="en-US" w:eastAsia="zh-CN"/>
        </w:rPr>
        <w:t>2、加强服务职能，提升公车管理水平</w:t>
      </w:r>
    </w:p>
    <w:p>
      <w:pPr>
        <w:spacing w:before="10" w:after="10" w:line="240" w:lineRule="auto"/>
        <w:ind w:firstLine="640"/>
        <w:jc w:val="left"/>
        <w:outlineLvl w:val="5"/>
        <w:rPr>
          <w:rFonts w:hint="eastAsia" w:ascii="Times New Roman" w:hAnsi="Times New Roman" w:eastAsia="方正仿宋_GBK" w:cs="Times New Roman"/>
          <w:sz w:val="28"/>
          <w:szCs w:val="20"/>
          <w:lang w:val="en-US" w:eastAsia="zh-CN"/>
        </w:rPr>
      </w:pPr>
      <w:r>
        <w:rPr>
          <w:rFonts w:hint="eastAsia" w:ascii="Times New Roman" w:hAnsi="Times New Roman" w:eastAsia="方正仿宋_GBK" w:cs="Times New Roman"/>
          <w:sz w:val="28"/>
          <w:szCs w:val="20"/>
          <w:lang w:val="en-US" w:eastAsia="zh-CN"/>
        </w:rPr>
        <w:t>一是加强公车日常管理，保障公务出行。二是加强车辆轨迹监管，做好四个平台。三是发挥平台优势，服务中心工作。四是响应上级号召，推广使用新能源汽车。</w:t>
      </w:r>
    </w:p>
    <w:p>
      <w:pPr>
        <w:spacing w:before="10" w:after="10" w:line="240" w:lineRule="auto"/>
        <w:ind w:firstLine="640"/>
        <w:jc w:val="left"/>
        <w:outlineLvl w:val="5"/>
        <w:rPr>
          <w:rFonts w:hint="eastAsia" w:ascii="Times New Roman" w:hAnsi="Times New Roman" w:eastAsia="方正仿宋_GBK" w:cs="Times New Roman"/>
          <w:sz w:val="28"/>
          <w:szCs w:val="20"/>
          <w:lang w:val="en-US" w:eastAsia="zh-CN"/>
        </w:rPr>
      </w:pPr>
      <w:r>
        <w:rPr>
          <w:rFonts w:hint="eastAsia" w:ascii="Times New Roman" w:hAnsi="Times New Roman" w:eastAsia="方正仿宋_GBK" w:cs="Times New Roman"/>
          <w:sz w:val="28"/>
          <w:szCs w:val="20"/>
          <w:lang w:val="en-US" w:eastAsia="zh-CN"/>
        </w:rPr>
        <w:t>3、强化担当意识，做好后勤管理工作</w:t>
      </w:r>
    </w:p>
    <w:p>
      <w:pPr>
        <w:spacing w:before="10" w:after="10" w:line="240" w:lineRule="auto"/>
        <w:ind w:firstLine="640"/>
        <w:jc w:val="left"/>
        <w:outlineLvl w:val="5"/>
        <w:rPr>
          <w:rFonts w:hint="eastAsia" w:ascii="Times New Roman" w:hAnsi="Times New Roman" w:eastAsia="方正仿宋_GBK" w:cs="Times New Roman"/>
          <w:sz w:val="28"/>
          <w:szCs w:val="20"/>
          <w:lang w:val="en-US" w:eastAsia="zh-CN"/>
        </w:rPr>
      </w:pPr>
      <w:r>
        <w:rPr>
          <w:rFonts w:hint="eastAsia" w:ascii="Times New Roman" w:hAnsi="Times New Roman" w:eastAsia="方正仿宋_GBK" w:cs="Times New Roman"/>
          <w:sz w:val="28"/>
          <w:szCs w:val="20"/>
          <w:lang w:val="en-US" w:eastAsia="zh-CN"/>
        </w:rPr>
        <w:t>一是加强机关设施建设，着力改善办公条件。二是协调安排办公场所，实现党政合署办公。三是狠抓食堂管理，提高后勤保障。四是改造升级停车场，提升机关形象。</w:t>
      </w:r>
    </w:p>
    <w:p>
      <w:pPr>
        <w:spacing w:before="10" w:after="10" w:line="240" w:lineRule="auto"/>
        <w:ind w:firstLine="640"/>
        <w:jc w:val="left"/>
        <w:outlineLvl w:val="5"/>
        <w:rPr>
          <w:rFonts w:hint="eastAsia" w:ascii="Times New Roman" w:hAnsi="Times New Roman" w:eastAsia="方正仿宋_GBK" w:cs="Times New Roman"/>
          <w:sz w:val="28"/>
          <w:szCs w:val="20"/>
          <w:lang w:val="en-US" w:eastAsia="zh-CN"/>
        </w:rPr>
      </w:pPr>
      <w:r>
        <w:rPr>
          <w:rFonts w:hint="eastAsia" w:ascii="Times New Roman" w:hAnsi="Times New Roman" w:eastAsia="方正仿宋_GBK" w:cs="Times New Roman"/>
          <w:sz w:val="28"/>
          <w:szCs w:val="20"/>
          <w:lang w:val="en-US" w:eastAsia="zh-CN"/>
        </w:rPr>
        <w:t>4、强化国有资产管理，优化办公用房使用</w:t>
      </w:r>
    </w:p>
    <w:p>
      <w:pPr>
        <w:spacing w:before="10" w:after="10" w:line="240" w:lineRule="auto"/>
        <w:ind w:firstLine="640"/>
        <w:jc w:val="left"/>
        <w:outlineLvl w:val="5"/>
        <w:rPr>
          <w:rFonts w:hint="eastAsia" w:ascii="Times New Roman" w:hAnsi="Times New Roman" w:eastAsia="方正仿宋_GBK" w:cs="Times New Roman"/>
          <w:sz w:val="28"/>
          <w:szCs w:val="20"/>
          <w:lang w:val="en-US" w:eastAsia="zh-CN"/>
        </w:rPr>
      </w:pPr>
      <w:r>
        <w:rPr>
          <w:rFonts w:hint="eastAsia" w:ascii="Times New Roman" w:hAnsi="Times New Roman" w:eastAsia="方正仿宋_GBK" w:cs="Times New Roman"/>
          <w:sz w:val="28"/>
          <w:szCs w:val="20"/>
          <w:lang w:val="en-US" w:eastAsia="zh-CN"/>
        </w:rPr>
        <w:t>一是合理调配办公用房。二是强化日常监管。三是开展办公用房数据统计工作。四是核查清理国有固定资产。</w:t>
      </w:r>
    </w:p>
    <w:p>
      <w:pPr>
        <w:spacing w:before="10" w:after="10" w:line="240" w:lineRule="auto"/>
        <w:ind w:firstLine="640"/>
        <w:jc w:val="left"/>
        <w:outlineLvl w:val="5"/>
        <w:rPr>
          <w:rFonts w:hint="eastAsia" w:ascii="Times New Roman" w:hAnsi="Times New Roman" w:eastAsia="方正仿宋_GBK" w:cs="Times New Roman"/>
          <w:sz w:val="28"/>
          <w:szCs w:val="20"/>
          <w:lang w:val="en-US" w:eastAsia="zh-CN"/>
        </w:rPr>
      </w:pPr>
      <w:r>
        <w:rPr>
          <w:rFonts w:hint="eastAsia" w:ascii="Times New Roman" w:hAnsi="Times New Roman" w:eastAsia="方正仿宋_GBK" w:cs="Times New Roman"/>
          <w:sz w:val="28"/>
          <w:szCs w:val="20"/>
          <w:lang w:val="en-US" w:eastAsia="zh-CN"/>
        </w:rPr>
        <w:t>5、强化节能节约，推进示范单位创建</w:t>
      </w:r>
    </w:p>
    <w:p>
      <w:pPr>
        <w:spacing w:before="10" w:after="10" w:line="240" w:lineRule="auto"/>
        <w:ind w:firstLine="640"/>
        <w:jc w:val="left"/>
        <w:outlineLvl w:val="5"/>
        <w:rPr>
          <w:rFonts w:hint="eastAsia" w:ascii="Times New Roman" w:hAnsi="Times New Roman" w:eastAsia="方正仿宋_GBK" w:cs="Times New Roman"/>
          <w:sz w:val="28"/>
          <w:szCs w:val="20"/>
          <w:lang w:val="en-US" w:eastAsia="zh-CN"/>
        </w:rPr>
      </w:pPr>
      <w:r>
        <w:rPr>
          <w:rFonts w:hint="eastAsia" w:ascii="Times New Roman" w:hAnsi="Times New Roman" w:eastAsia="方正仿宋_GBK" w:cs="Times New Roman"/>
          <w:sz w:val="28"/>
          <w:szCs w:val="20"/>
          <w:lang w:val="en-US" w:eastAsia="zh-CN"/>
        </w:rPr>
        <w:t>1.做好节能示范单位申报创建工作。2.扎实开展节能宣传活动。3.推进节约型机关建设和节水型机关建设。</w:t>
      </w:r>
    </w:p>
    <w:p>
      <w:pPr>
        <w:spacing w:before="10" w:after="10" w:line="240" w:lineRule="auto"/>
        <w:ind w:firstLine="640"/>
        <w:jc w:val="left"/>
        <w:outlineLvl w:val="5"/>
        <w:rPr>
          <w:rFonts w:hint="eastAsia" w:ascii="Times New Roman" w:hAnsi="Times New Roman" w:eastAsia="方正仿宋_GBK" w:cs="Times New Roman"/>
          <w:sz w:val="28"/>
          <w:szCs w:val="20"/>
          <w:lang w:val="en-US" w:eastAsia="zh-CN"/>
        </w:rPr>
      </w:pPr>
      <w:r>
        <w:rPr>
          <w:rFonts w:hint="eastAsia" w:ascii="Times New Roman" w:hAnsi="Times New Roman" w:eastAsia="方正仿宋_GBK" w:cs="Times New Roman"/>
          <w:sz w:val="28"/>
          <w:szCs w:val="20"/>
          <w:lang w:val="en-US" w:eastAsia="zh-CN"/>
        </w:rPr>
        <w:t>6、加强廉政学习，增强拒腐防变能力</w:t>
      </w:r>
    </w:p>
    <w:p>
      <w:pPr>
        <w:spacing w:before="10" w:after="10" w:line="240" w:lineRule="auto"/>
        <w:ind w:firstLine="640"/>
        <w:jc w:val="left"/>
        <w:outlineLvl w:val="5"/>
        <w:rPr>
          <w:rFonts w:ascii="黑体" w:hAnsi="黑体" w:eastAsia="黑体" w:cs="黑体"/>
          <w:color w:val="000000"/>
          <w:sz w:val="32"/>
        </w:rPr>
      </w:pPr>
    </w:p>
    <w:p>
      <w:pPr>
        <w:spacing w:before="10" w:after="10" w:line="240" w:lineRule="auto"/>
        <w:ind w:firstLine="640"/>
        <w:jc w:val="left"/>
        <w:outlineLvl w:val="5"/>
        <w:rPr>
          <w:rFonts w:hint="eastAsia" w:ascii="黑体" w:hAnsi="黑体" w:eastAsia="黑体" w:cs="黑体"/>
          <w:sz w:val="28"/>
          <w:szCs w:val="20"/>
          <w:lang w:val="en-US" w:eastAsia="zh-CN"/>
        </w:rPr>
      </w:pPr>
      <w:r>
        <w:rPr>
          <w:rFonts w:hint="eastAsia" w:ascii="黑体" w:hAnsi="黑体" w:eastAsia="黑体" w:cs="黑体"/>
          <w:sz w:val="28"/>
          <w:szCs w:val="20"/>
          <w:lang w:val="en-US" w:eastAsia="zh-CN"/>
        </w:rPr>
        <w:t xml:space="preserve"> （二）预算项目绩效目标</w:t>
      </w:r>
    </w:p>
    <w:p>
      <w:pPr>
        <w:numPr>
          <w:ilvl w:val="0"/>
          <w:numId w:val="0"/>
        </w:numPr>
        <w:spacing w:before="10" w:after="10" w:line="240" w:lineRule="auto"/>
        <w:jc w:val="left"/>
        <w:outlineLvl w:val="5"/>
      </w:pPr>
      <w:r>
        <w:rPr>
          <w:rFonts w:hint="eastAsia" w:ascii="黑体" w:hAnsi="黑体" w:eastAsia="黑体" w:cs="黑体"/>
          <w:color w:val="000000"/>
          <w:sz w:val="32"/>
          <w:lang w:val="en-US" w:eastAsia="zh-CN"/>
        </w:rPr>
        <w:t xml:space="preserve">    </w:t>
      </w:r>
      <w:r>
        <w:rPr>
          <w:rFonts w:ascii="方正仿宋_GBK" w:hAnsi="方正仿宋_GBK" w:eastAsia="方正仿宋_GBK" w:cs="方正仿宋_GBK"/>
          <w:b/>
          <w:color w:val="000000"/>
          <w:sz w:val="28"/>
        </w:rPr>
        <w:t>1、保障公务出行费绩效目标表</w:t>
      </w:r>
    </w:p>
    <w:tbl>
      <w:tblPr>
        <w:tblStyle w:val="8"/>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13052525P000026100144</w:t>
            </w:r>
          </w:p>
        </w:tc>
        <w:tc>
          <w:tcPr>
            <w:tcW w:w="2835" w:type="dxa"/>
            <w:vAlign w:val="center"/>
          </w:tcPr>
          <w:p>
            <w:pPr>
              <w:pStyle w:val="13"/>
            </w:pPr>
            <w:r>
              <w:t>项目名称</w:t>
            </w:r>
          </w:p>
        </w:tc>
        <w:tc>
          <w:tcPr>
            <w:tcW w:w="6095" w:type="dxa"/>
            <w:gridSpan w:val="3"/>
            <w:vAlign w:val="center"/>
          </w:tcPr>
          <w:p>
            <w:pPr>
              <w:pStyle w:val="15"/>
            </w:pPr>
            <w:r>
              <w:t>保障公务出行费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63.52</w:t>
            </w:r>
          </w:p>
        </w:tc>
        <w:tc>
          <w:tcPr>
            <w:tcW w:w="2835" w:type="dxa"/>
            <w:vAlign w:val="center"/>
          </w:tcPr>
          <w:p>
            <w:pPr>
              <w:pStyle w:val="13"/>
            </w:pPr>
            <w:r>
              <w:t>其中：财政    资金</w:t>
            </w:r>
          </w:p>
        </w:tc>
        <w:tc>
          <w:tcPr>
            <w:tcW w:w="2551" w:type="dxa"/>
            <w:vAlign w:val="center"/>
          </w:tcPr>
          <w:p>
            <w:pPr>
              <w:pStyle w:val="15"/>
            </w:pPr>
            <w:r>
              <w:t>63.52</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5"/>
            </w:pPr>
            <w:r>
              <w:t>城管局、大气办、环保局租车费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6"/>
            </w:pPr>
            <w:r>
              <w:t>100%</w:t>
            </w:r>
          </w:p>
        </w:tc>
        <w:tc>
          <w:tcPr>
            <w:tcW w:w="2835" w:type="dxa"/>
            <w:vAlign w:val="center"/>
          </w:tcPr>
          <w:p>
            <w:pPr>
              <w:pStyle w:val="16"/>
            </w:pPr>
            <w:r>
              <w:t xml:space="preserve"> </w:t>
            </w:r>
          </w:p>
        </w:tc>
        <w:tc>
          <w:tcPr>
            <w:tcW w:w="2551" w:type="dxa"/>
            <w:vAlign w:val="center"/>
          </w:tcPr>
          <w:p>
            <w:pPr>
              <w:pStyle w:val="16"/>
            </w:pPr>
            <w:r>
              <w:t xml:space="preserve"> </w:t>
            </w:r>
          </w:p>
        </w:tc>
        <w:tc>
          <w:tcPr>
            <w:tcW w:w="3544" w:type="dxa"/>
            <w:gridSpan w:val="2"/>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1.完成城管局、大气办、环保局租车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日均车辆轨迹信息条数</w:t>
            </w:r>
          </w:p>
        </w:tc>
        <w:tc>
          <w:tcPr>
            <w:tcW w:w="5386" w:type="dxa"/>
            <w:vAlign w:val="center"/>
          </w:tcPr>
          <w:p>
            <w:pPr>
              <w:pStyle w:val="15"/>
            </w:pPr>
            <w:r>
              <w:t>日均车辆轨迹信息条数</w:t>
            </w:r>
          </w:p>
        </w:tc>
        <w:tc>
          <w:tcPr>
            <w:tcW w:w="2268" w:type="dxa"/>
            <w:vAlign w:val="center"/>
          </w:tcPr>
          <w:p>
            <w:pPr>
              <w:pStyle w:val="15"/>
            </w:pPr>
            <w:r>
              <w:t>≥50条</w:t>
            </w:r>
          </w:p>
        </w:tc>
        <w:tc>
          <w:tcPr>
            <w:tcW w:w="1276" w:type="dxa"/>
            <w:vAlign w:val="center"/>
          </w:tcPr>
          <w:p>
            <w:pPr>
              <w:pStyle w:val="15"/>
            </w:pPr>
            <w:r>
              <w:t>车辆出勤率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质量指标</w:t>
            </w:r>
          </w:p>
        </w:tc>
        <w:tc>
          <w:tcPr>
            <w:tcW w:w="2835" w:type="dxa"/>
            <w:vAlign w:val="center"/>
          </w:tcPr>
          <w:p>
            <w:pPr>
              <w:pStyle w:val="15"/>
            </w:pPr>
            <w:r>
              <w:t>机动车查验系统正常工作时间比例</w:t>
            </w:r>
          </w:p>
        </w:tc>
        <w:tc>
          <w:tcPr>
            <w:tcW w:w="5386" w:type="dxa"/>
            <w:vAlign w:val="center"/>
          </w:tcPr>
          <w:p>
            <w:pPr>
              <w:pStyle w:val="15"/>
            </w:pPr>
            <w:r>
              <w:t>机动车查验系统正常工作时间比例</w:t>
            </w:r>
          </w:p>
        </w:tc>
        <w:tc>
          <w:tcPr>
            <w:tcW w:w="2268" w:type="dxa"/>
            <w:vAlign w:val="center"/>
          </w:tcPr>
          <w:p>
            <w:pPr>
              <w:pStyle w:val="15"/>
            </w:pPr>
            <w:r>
              <w:t>≥90%</w:t>
            </w:r>
          </w:p>
        </w:tc>
        <w:tc>
          <w:tcPr>
            <w:tcW w:w="1276" w:type="dxa"/>
            <w:vAlign w:val="center"/>
          </w:tcPr>
          <w:p>
            <w:pPr>
              <w:pStyle w:val="15"/>
            </w:pPr>
            <w:r>
              <w:t>车辆检测率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时效指标</w:t>
            </w:r>
          </w:p>
        </w:tc>
        <w:tc>
          <w:tcPr>
            <w:tcW w:w="2835" w:type="dxa"/>
            <w:vAlign w:val="center"/>
          </w:tcPr>
          <w:p>
            <w:pPr>
              <w:pStyle w:val="15"/>
            </w:pPr>
            <w:r>
              <w:t>资金支出情况</w:t>
            </w:r>
          </w:p>
        </w:tc>
        <w:tc>
          <w:tcPr>
            <w:tcW w:w="5386" w:type="dxa"/>
            <w:vAlign w:val="center"/>
          </w:tcPr>
          <w:p>
            <w:pPr>
              <w:pStyle w:val="15"/>
            </w:pPr>
            <w:r>
              <w:t>资金支出情况</w:t>
            </w:r>
          </w:p>
        </w:tc>
        <w:tc>
          <w:tcPr>
            <w:tcW w:w="2268" w:type="dxa"/>
            <w:vAlign w:val="center"/>
          </w:tcPr>
          <w:p>
            <w:pPr>
              <w:pStyle w:val="15"/>
            </w:pPr>
            <w:r>
              <w:t>≥100%</w:t>
            </w:r>
          </w:p>
        </w:tc>
        <w:tc>
          <w:tcPr>
            <w:tcW w:w="1276" w:type="dxa"/>
            <w:vAlign w:val="center"/>
          </w:tcPr>
          <w:p>
            <w:pPr>
              <w:pStyle w:val="15"/>
            </w:pPr>
            <w:r>
              <w:t>年度报告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成本指标</w:t>
            </w:r>
          </w:p>
        </w:tc>
        <w:tc>
          <w:tcPr>
            <w:tcW w:w="2835" w:type="dxa"/>
            <w:vAlign w:val="center"/>
          </w:tcPr>
          <w:p>
            <w:pPr>
              <w:pStyle w:val="15"/>
            </w:pPr>
            <w:r>
              <w:t>项目总成本</w:t>
            </w:r>
          </w:p>
        </w:tc>
        <w:tc>
          <w:tcPr>
            <w:tcW w:w="5386" w:type="dxa"/>
            <w:vAlign w:val="center"/>
          </w:tcPr>
          <w:p>
            <w:pPr>
              <w:pStyle w:val="15"/>
            </w:pPr>
            <w:r>
              <w:t>项目总成本</w:t>
            </w:r>
          </w:p>
        </w:tc>
        <w:tc>
          <w:tcPr>
            <w:tcW w:w="2268" w:type="dxa"/>
            <w:vAlign w:val="center"/>
          </w:tcPr>
          <w:p>
            <w:pPr>
              <w:pStyle w:val="15"/>
            </w:pPr>
            <w:r>
              <w:t>≤635200元</w:t>
            </w:r>
          </w:p>
        </w:tc>
        <w:tc>
          <w:tcPr>
            <w:tcW w:w="1276" w:type="dxa"/>
            <w:vAlign w:val="center"/>
          </w:tcPr>
          <w:p>
            <w:pPr>
              <w:pStyle w:val="15"/>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提高工作效率</w:t>
            </w:r>
          </w:p>
        </w:tc>
        <w:tc>
          <w:tcPr>
            <w:tcW w:w="5386" w:type="dxa"/>
            <w:vAlign w:val="center"/>
          </w:tcPr>
          <w:p>
            <w:pPr>
              <w:pStyle w:val="15"/>
            </w:pPr>
            <w:r>
              <w:t>提高工作效率</w:t>
            </w:r>
          </w:p>
        </w:tc>
        <w:tc>
          <w:tcPr>
            <w:tcW w:w="2268" w:type="dxa"/>
            <w:vAlign w:val="center"/>
          </w:tcPr>
          <w:p>
            <w:pPr>
              <w:pStyle w:val="15"/>
            </w:pPr>
            <w:r>
              <w:t>≥90%</w:t>
            </w:r>
          </w:p>
        </w:tc>
        <w:tc>
          <w:tcPr>
            <w:tcW w:w="1276" w:type="dxa"/>
            <w:vAlign w:val="center"/>
          </w:tcPr>
          <w:p>
            <w:pPr>
              <w:pStyle w:val="15"/>
            </w:pPr>
            <w:r>
              <w:t>提升工作效率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社会效益指标</w:t>
            </w:r>
          </w:p>
        </w:tc>
        <w:tc>
          <w:tcPr>
            <w:tcW w:w="2835" w:type="dxa"/>
            <w:vAlign w:val="center"/>
          </w:tcPr>
          <w:p>
            <w:pPr>
              <w:pStyle w:val="15"/>
            </w:pPr>
            <w:r>
              <w:t>社会影响力</w:t>
            </w:r>
          </w:p>
        </w:tc>
        <w:tc>
          <w:tcPr>
            <w:tcW w:w="5386" w:type="dxa"/>
            <w:vAlign w:val="center"/>
          </w:tcPr>
          <w:p>
            <w:pPr>
              <w:pStyle w:val="15"/>
            </w:pPr>
            <w:r>
              <w:t>社会影响力</w:t>
            </w:r>
          </w:p>
        </w:tc>
        <w:tc>
          <w:tcPr>
            <w:tcW w:w="2268" w:type="dxa"/>
            <w:vAlign w:val="center"/>
          </w:tcPr>
          <w:p>
            <w:pPr>
              <w:pStyle w:val="15"/>
            </w:pPr>
            <w:r>
              <w:t>租赁车辆对社会的影响</w:t>
            </w:r>
          </w:p>
        </w:tc>
        <w:tc>
          <w:tcPr>
            <w:tcW w:w="1276" w:type="dxa"/>
            <w:vAlign w:val="center"/>
          </w:tcPr>
          <w:p>
            <w:pPr>
              <w:pStyle w:val="15"/>
            </w:pPr>
            <w:r>
              <w:t>年度报告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生态效益指标</w:t>
            </w:r>
          </w:p>
        </w:tc>
        <w:tc>
          <w:tcPr>
            <w:tcW w:w="2835" w:type="dxa"/>
            <w:vAlign w:val="center"/>
          </w:tcPr>
          <w:p>
            <w:pPr>
              <w:pStyle w:val="15"/>
            </w:pPr>
            <w:r>
              <w:t>节能环保减排</w:t>
            </w:r>
          </w:p>
        </w:tc>
        <w:tc>
          <w:tcPr>
            <w:tcW w:w="5386" w:type="dxa"/>
            <w:vAlign w:val="center"/>
          </w:tcPr>
          <w:p>
            <w:pPr>
              <w:pStyle w:val="15"/>
            </w:pPr>
            <w:r>
              <w:t>节能环保减排</w:t>
            </w:r>
          </w:p>
        </w:tc>
        <w:tc>
          <w:tcPr>
            <w:tcW w:w="2268" w:type="dxa"/>
            <w:vAlign w:val="center"/>
          </w:tcPr>
          <w:p>
            <w:pPr>
              <w:pStyle w:val="15"/>
            </w:pPr>
            <w:r>
              <w:t>≥90%</w:t>
            </w:r>
          </w:p>
        </w:tc>
        <w:tc>
          <w:tcPr>
            <w:tcW w:w="1276" w:type="dxa"/>
            <w:vAlign w:val="center"/>
          </w:tcPr>
          <w:p>
            <w:pPr>
              <w:pStyle w:val="15"/>
            </w:pPr>
            <w:r>
              <w:t>用电动汽车</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可持续影响指标</w:t>
            </w:r>
          </w:p>
        </w:tc>
        <w:tc>
          <w:tcPr>
            <w:tcW w:w="2835" w:type="dxa"/>
            <w:vAlign w:val="center"/>
          </w:tcPr>
          <w:p>
            <w:pPr>
              <w:pStyle w:val="15"/>
            </w:pPr>
            <w:r>
              <w:t>提升行业管理水平</w:t>
            </w:r>
          </w:p>
        </w:tc>
        <w:tc>
          <w:tcPr>
            <w:tcW w:w="5386" w:type="dxa"/>
            <w:vAlign w:val="center"/>
          </w:tcPr>
          <w:p>
            <w:pPr>
              <w:pStyle w:val="15"/>
            </w:pPr>
            <w:r>
              <w:t>提升行业管理水平</w:t>
            </w:r>
          </w:p>
        </w:tc>
        <w:tc>
          <w:tcPr>
            <w:tcW w:w="2268" w:type="dxa"/>
            <w:vAlign w:val="center"/>
          </w:tcPr>
          <w:p>
            <w:pPr>
              <w:pStyle w:val="15"/>
            </w:pPr>
            <w:r>
              <w:t>≥90%</w:t>
            </w:r>
          </w:p>
        </w:tc>
        <w:tc>
          <w:tcPr>
            <w:tcW w:w="1276" w:type="dxa"/>
            <w:vAlign w:val="center"/>
          </w:tcPr>
          <w:p>
            <w:pPr>
              <w:pStyle w:val="15"/>
            </w:pPr>
            <w:r>
              <w:t>提升办事效率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服务对象满意度</w:t>
            </w:r>
          </w:p>
        </w:tc>
        <w:tc>
          <w:tcPr>
            <w:tcW w:w="2268" w:type="dxa"/>
            <w:vAlign w:val="center"/>
          </w:tcPr>
          <w:p>
            <w:pPr>
              <w:pStyle w:val="15"/>
            </w:pPr>
            <w:r>
              <w:t>≥90%</w:t>
            </w:r>
          </w:p>
        </w:tc>
        <w:tc>
          <w:tcPr>
            <w:tcW w:w="1276" w:type="dxa"/>
            <w:vAlign w:val="center"/>
          </w:tcPr>
          <w:p>
            <w:pPr>
              <w:pStyle w:val="15"/>
            </w:pPr>
            <w:r>
              <w:t>用车人的满意度</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2、公务用车运行维护费绩效目标表</w:t>
      </w:r>
    </w:p>
    <w:tbl>
      <w:tblPr>
        <w:tblStyle w:val="8"/>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13052525P00002610008N</w:t>
            </w:r>
          </w:p>
        </w:tc>
        <w:tc>
          <w:tcPr>
            <w:tcW w:w="2835" w:type="dxa"/>
            <w:vAlign w:val="center"/>
          </w:tcPr>
          <w:p>
            <w:pPr>
              <w:pStyle w:val="13"/>
            </w:pPr>
            <w:r>
              <w:t>项目名称</w:t>
            </w:r>
          </w:p>
        </w:tc>
        <w:tc>
          <w:tcPr>
            <w:tcW w:w="6095" w:type="dxa"/>
            <w:gridSpan w:val="3"/>
            <w:vAlign w:val="center"/>
          </w:tcPr>
          <w:p>
            <w:pPr>
              <w:pStyle w:val="15"/>
            </w:pPr>
            <w:r>
              <w:t>公务用车运行维护费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80.00</w:t>
            </w:r>
          </w:p>
        </w:tc>
        <w:tc>
          <w:tcPr>
            <w:tcW w:w="2835" w:type="dxa"/>
            <w:vAlign w:val="center"/>
          </w:tcPr>
          <w:p>
            <w:pPr>
              <w:pStyle w:val="13"/>
            </w:pPr>
            <w:r>
              <w:t>其中：财政    资金</w:t>
            </w:r>
          </w:p>
        </w:tc>
        <w:tc>
          <w:tcPr>
            <w:tcW w:w="2551" w:type="dxa"/>
            <w:vAlign w:val="center"/>
          </w:tcPr>
          <w:p>
            <w:pPr>
              <w:pStyle w:val="15"/>
            </w:pPr>
            <w:r>
              <w:t>80.00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5"/>
            </w:pPr>
            <w:r>
              <w:t>全年确保县直各单位公车燃油费、维修费、保险费、过桥费、机动车检测费、保障各单位车辆正常运行，工作顺利开展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6"/>
            </w:pPr>
            <w:r>
              <w:t>30%</w:t>
            </w:r>
          </w:p>
        </w:tc>
        <w:tc>
          <w:tcPr>
            <w:tcW w:w="2835" w:type="dxa"/>
            <w:vAlign w:val="center"/>
          </w:tcPr>
          <w:p>
            <w:pPr>
              <w:pStyle w:val="16"/>
            </w:pPr>
            <w:r>
              <w:t>40%</w:t>
            </w:r>
          </w:p>
        </w:tc>
        <w:tc>
          <w:tcPr>
            <w:tcW w:w="2551" w:type="dxa"/>
            <w:vAlign w:val="center"/>
          </w:tcPr>
          <w:p>
            <w:pPr>
              <w:pStyle w:val="16"/>
            </w:pPr>
            <w:r>
              <w:t>70%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1.全年确保县直各单位公车燃油费、维修费、保险费、过桥费、机动车检测费、保障各单位车辆正常运行，工作顺利开展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公务用车入保险率</w:t>
            </w:r>
          </w:p>
        </w:tc>
        <w:tc>
          <w:tcPr>
            <w:tcW w:w="5386" w:type="dxa"/>
            <w:vAlign w:val="center"/>
          </w:tcPr>
          <w:p>
            <w:pPr>
              <w:pStyle w:val="15"/>
            </w:pPr>
            <w:r>
              <w:t>入保险的公务用车量占全部公务用车的比例</w:t>
            </w:r>
          </w:p>
        </w:tc>
        <w:tc>
          <w:tcPr>
            <w:tcW w:w="2268" w:type="dxa"/>
            <w:vAlign w:val="center"/>
          </w:tcPr>
          <w:p>
            <w:pPr>
              <w:pStyle w:val="15"/>
            </w:pPr>
            <w:r>
              <w:t>≥100入保险的公务用车量占全部公务用车的比例</w:t>
            </w:r>
          </w:p>
        </w:tc>
        <w:tc>
          <w:tcPr>
            <w:tcW w:w="1276" w:type="dxa"/>
            <w:vAlign w:val="center"/>
          </w:tcPr>
          <w:p>
            <w:pPr>
              <w:pStyle w:val="15"/>
            </w:pPr>
            <w:r>
              <w:t>入保险统计表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质量指标</w:t>
            </w:r>
          </w:p>
        </w:tc>
        <w:tc>
          <w:tcPr>
            <w:tcW w:w="2835" w:type="dxa"/>
            <w:vAlign w:val="center"/>
          </w:tcPr>
          <w:p>
            <w:pPr>
              <w:pStyle w:val="15"/>
            </w:pPr>
            <w:r>
              <w:t>公务用车检测率</w:t>
            </w:r>
          </w:p>
        </w:tc>
        <w:tc>
          <w:tcPr>
            <w:tcW w:w="5386" w:type="dxa"/>
            <w:vAlign w:val="center"/>
          </w:tcPr>
          <w:p>
            <w:pPr>
              <w:pStyle w:val="15"/>
            </w:pPr>
            <w:r>
              <w:t>检测完成的公务用车量占全部公务用车的比例</w:t>
            </w:r>
          </w:p>
        </w:tc>
        <w:tc>
          <w:tcPr>
            <w:tcW w:w="2268" w:type="dxa"/>
            <w:vAlign w:val="center"/>
          </w:tcPr>
          <w:p>
            <w:pPr>
              <w:pStyle w:val="15"/>
            </w:pPr>
            <w:r>
              <w:t>≥100检测完成的公务用车量占全部公务用车的比例</w:t>
            </w:r>
          </w:p>
        </w:tc>
        <w:tc>
          <w:tcPr>
            <w:tcW w:w="1276" w:type="dxa"/>
            <w:vAlign w:val="center"/>
          </w:tcPr>
          <w:p>
            <w:pPr>
              <w:pStyle w:val="15"/>
            </w:pPr>
            <w:r>
              <w:t>车辆检测表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时效指标</w:t>
            </w:r>
          </w:p>
        </w:tc>
        <w:tc>
          <w:tcPr>
            <w:tcW w:w="2835" w:type="dxa"/>
            <w:vAlign w:val="center"/>
          </w:tcPr>
          <w:p>
            <w:pPr>
              <w:pStyle w:val="15"/>
            </w:pPr>
            <w:r>
              <w:t>过桥费支出率</w:t>
            </w:r>
          </w:p>
        </w:tc>
        <w:tc>
          <w:tcPr>
            <w:tcW w:w="5386" w:type="dxa"/>
            <w:vAlign w:val="center"/>
          </w:tcPr>
          <w:p>
            <w:pPr>
              <w:pStyle w:val="15"/>
            </w:pPr>
            <w:r>
              <w:t>过桥费支出量占全部公车过桥费支出量的比例</w:t>
            </w:r>
          </w:p>
        </w:tc>
        <w:tc>
          <w:tcPr>
            <w:tcW w:w="2268" w:type="dxa"/>
            <w:vAlign w:val="center"/>
          </w:tcPr>
          <w:p>
            <w:pPr>
              <w:pStyle w:val="15"/>
            </w:pPr>
            <w:r>
              <w:t>≥100过桥费支出量占全部公车过桥费支出量的比例</w:t>
            </w:r>
          </w:p>
        </w:tc>
        <w:tc>
          <w:tcPr>
            <w:tcW w:w="1276" w:type="dxa"/>
            <w:vAlign w:val="center"/>
          </w:tcPr>
          <w:p>
            <w:pPr>
              <w:pStyle w:val="15"/>
            </w:pPr>
            <w:r>
              <w:t>每月过桥费支出数量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成本指标</w:t>
            </w:r>
          </w:p>
        </w:tc>
        <w:tc>
          <w:tcPr>
            <w:tcW w:w="2835" w:type="dxa"/>
            <w:vAlign w:val="center"/>
          </w:tcPr>
          <w:p>
            <w:pPr>
              <w:pStyle w:val="15"/>
            </w:pPr>
            <w:r>
              <w:t>公车完成维修率</w:t>
            </w:r>
          </w:p>
        </w:tc>
        <w:tc>
          <w:tcPr>
            <w:tcW w:w="5386" w:type="dxa"/>
            <w:vAlign w:val="center"/>
          </w:tcPr>
          <w:p>
            <w:pPr>
              <w:pStyle w:val="15"/>
            </w:pPr>
            <w:r>
              <w:t>完成维修的公车量占需要维修的公车的比例</w:t>
            </w:r>
          </w:p>
        </w:tc>
        <w:tc>
          <w:tcPr>
            <w:tcW w:w="2268" w:type="dxa"/>
            <w:vAlign w:val="center"/>
          </w:tcPr>
          <w:p>
            <w:pPr>
              <w:pStyle w:val="15"/>
            </w:pPr>
            <w:r>
              <w:t>≥100完成维修的公车量占需要维修的公车的比例</w:t>
            </w:r>
          </w:p>
        </w:tc>
        <w:tc>
          <w:tcPr>
            <w:tcW w:w="1276" w:type="dxa"/>
            <w:vAlign w:val="center"/>
          </w:tcPr>
          <w:p>
            <w:pPr>
              <w:pStyle w:val="15"/>
            </w:pPr>
            <w:r>
              <w:t>完成维修的数量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正常运行的公车占全部公车的比</w:t>
            </w:r>
          </w:p>
        </w:tc>
        <w:tc>
          <w:tcPr>
            <w:tcW w:w="5386" w:type="dxa"/>
            <w:vAlign w:val="center"/>
          </w:tcPr>
          <w:p>
            <w:pPr>
              <w:pStyle w:val="15"/>
            </w:pPr>
            <w:r>
              <w:t>正常运行的车辆占比</w:t>
            </w:r>
          </w:p>
        </w:tc>
        <w:tc>
          <w:tcPr>
            <w:tcW w:w="2268" w:type="dxa"/>
            <w:vAlign w:val="center"/>
          </w:tcPr>
          <w:p>
            <w:pPr>
              <w:pStyle w:val="15"/>
            </w:pPr>
            <w:r>
              <w:t>≥100正常运行的车辆占比</w:t>
            </w:r>
          </w:p>
        </w:tc>
        <w:tc>
          <w:tcPr>
            <w:tcW w:w="1276" w:type="dxa"/>
            <w:vAlign w:val="center"/>
          </w:tcPr>
          <w:p>
            <w:pPr>
              <w:pStyle w:val="15"/>
            </w:pPr>
            <w:r>
              <w:t>使用公车率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社会效益指标</w:t>
            </w:r>
          </w:p>
        </w:tc>
        <w:tc>
          <w:tcPr>
            <w:tcW w:w="2835" w:type="dxa"/>
            <w:vAlign w:val="center"/>
          </w:tcPr>
          <w:p>
            <w:pPr>
              <w:pStyle w:val="15"/>
            </w:pPr>
            <w:r>
              <w:t>公务用车完成维修率</w:t>
            </w:r>
          </w:p>
        </w:tc>
        <w:tc>
          <w:tcPr>
            <w:tcW w:w="5386" w:type="dxa"/>
            <w:vAlign w:val="center"/>
          </w:tcPr>
          <w:p>
            <w:pPr>
              <w:pStyle w:val="15"/>
            </w:pPr>
            <w:r>
              <w:t>完成维修的公车量占需要维修的公车的比例</w:t>
            </w:r>
          </w:p>
        </w:tc>
        <w:tc>
          <w:tcPr>
            <w:tcW w:w="2268" w:type="dxa"/>
            <w:vAlign w:val="center"/>
          </w:tcPr>
          <w:p>
            <w:pPr>
              <w:pStyle w:val="15"/>
            </w:pPr>
            <w:r>
              <w:t>≥100完成维修的公车量占需要维修的公车的比例</w:t>
            </w:r>
          </w:p>
        </w:tc>
        <w:tc>
          <w:tcPr>
            <w:tcW w:w="1276" w:type="dxa"/>
            <w:vAlign w:val="center"/>
          </w:tcPr>
          <w:p>
            <w:pPr>
              <w:pStyle w:val="15"/>
            </w:pPr>
            <w:r>
              <w:t>完成维修的数量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生态效益指标</w:t>
            </w:r>
          </w:p>
        </w:tc>
        <w:tc>
          <w:tcPr>
            <w:tcW w:w="2835" w:type="dxa"/>
            <w:vAlign w:val="center"/>
          </w:tcPr>
          <w:p>
            <w:pPr>
              <w:pStyle w:val="15"/>
            </w:pPr>
            <w:r>
              <w:t>机动车尾气排放达标率(％)</w:t>
            </w:r>
          </w:p>
        </w:tc>
        <w:tc>
          <w:tcPr>
            <w:tcW w:w="5386" w:type="dxa"/>
            <w:vAlign w:val="center"/>
          </w:tcPr>
          <w:p>
            <w:pPr>
              <w:pStyle w:val="15"/>
            </w:pPr>
            <w:r>
              <w:t>检测以后公车尾气达标率</w:t>
            </w:r>
          </w:p>
        </w:tc>
        <w:tc>
          <w:tcPr>
            <w:tcW w:w="2268" w:type="dxa"/>
            <w:vAlign w:val="center"/>
          </w:tcPr>
          <w:p>
            <w:pPr>
              <w:pStyle w:val="15"/>
            </w:pPr>
            <w:r>
              <w:t>≥100检测以后公车尾气达标率</w:t>
            </w:r>
          </w:p>
        </w:tc>
        <w:tc>
          <w:tcPr>
            <w:tcW w:w="1276" w:type="dxa"/>
            <w:vAlign w:val="center"/>
          </w:tcPr>
          <w:p>
            <w:pPr>
              <w:pStyle w:val="15"/>
            </w:pPr>
            <w:r>
              <w:t>检测不合格</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可持续影响指标</w:t>
            </w:r>
          </w:p>
        </w:tc>
        <w:tc>
          <w:tcPr>
            <w:tcW w:w="2835" w:type="dxa"/>
            <w:vAlign w:val="center"/>
          </w:tcPr>
          <w:p>
            <w:pPr>
              <w:pStyle w:val="15"/>
            </w:pPr>
            <w:r>
              <w:t>日常出行率</w:t>
            </w:r>
          </w:p>
        </w:tc>
        <w:tc>
          <w:tcPr>
            <w:tcW w:w="5386" w:type="dxa"/>
            <w:vAlign w:val="center"/>
          </w:tcPr>
          <w:p>
            <w:pPr>
              <w:pStyle w:val="15"/>
            </w:pPr>
            <w:r>
              <w:t>日常出行使用公车率</w:t>
            </w:r>
          </w:p>
        </w:tc>
        <w:tc>
          <w:tcPr>
            <w:tcW w:w="2268" w:type="dxa"/>
            <w:vAlign w:val="center"/>
          </w:tcPr>
          <w:p>
            <w:pPr>
              <w:pStyle w:val="15"/>
            </w:pPr>
            <w:r>
              <w:t>≥100日常出行使用公车率</w:t>
            </w:r>
          </w:p>
        </w:tc>
        <w:tc>
          <w:tcPr>
            <w:tcW w:w="1276" w:type="dxa"/>
            <w:vAlign w:val="center"/>
          </w:tcPr>
          <w:p>
            <w:pPr>
              <w:pStyle w:val="15"/>
            </w:pPr>
            <w:r>
              <w:t>平台派车单</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领导使用公车的满意度</w:t>
            </w:r>
          </w:p>
        </w:tc>
        <w:tc>
          <w:tcPr>
            <w:tcW w:w="2268" w:type="dxa"/>
            <w:vAlign w:val="center"/>
          </w:tcPr>
          <w:p>
            <w:pPr>
              <w:pStyle w:val="15"/>
            </w:pPr>
            <w:r>
              <w:t>≥90领导使用公车的满意度</w:t>
            </w:r>
          </w:p>
        </w:tc>
        <w:tc>
          <w:tcPr>
            <w:tcW w:w="1276" w:type="dxa"/>
            <w:vAlign w:val="center"/>
          </w:tcPr>
          <w:p>
            <w:pPr>
              <w:pStyle w:val="15"/>
            </w:pPr>
            <w:r>
              <w:t>使用公车投诉率</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3、机关办公费绩效目标表</w:t>
      </w:r>
    </w:p>
    <w:tbl>
      <w:tblPr>
        <w:tblStyle w:val="8"/>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13052525P000026100048</w:t>
            </w:r>
          </w:p>
        </w:tc>
        <w:tc>
          <w:tcPr>
            <w:tcW w:w="2835" w:type="dxa"/>
            <w:vAlign w:val="center"/>
          </w:tcPr>
          <w:p>
            <w:pPr>
              <w:pStyle w:val="13"/>
            </w:pPr>
            <w:r>
              <w:t>项目名称</w:t>
            </w:r>
          </w:p>
        </w:tc>
        <w:tc>
          <w:tcPr>
            <w:tcW w:w="6095" w:type="dxa"/>
            <w:gridSpan w:val="3"/>
            <w:vAlign w:val="center"/>
          </w:tcPr>
          <w:p>
            <w:pPr>
              <w:pStyle w:val="15"/>
            </w:pPr>
            <w:r>
              <w:t>机关办公费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5.00</w:t>
            </w:r>
          </w:p>
        </w:tc>
        <w:tc>
          <w:tcPr>
            <w:tcW w:w="2835" w:type="dxa"/>
            <w:vAlign w:val="center"/>
          </w:tcPr>
          <w:p>
            <w:pPr>
              <w:pStyle w:val="13"/>
            </w:pPr>
            <w:r>
              <w:t>其中：财政    资金</w:t>
            </w:r>
          </w:p>
        </w:tc>
        <w:tc>
          <w:tcPr>
            <w:tcW w:w="2551" w:type="dxa"/>
            <w:vAlign w:val="center"/>
          </w:tcPr>
          <w:p>
            <w:pPr>
              <w:pStyle w:val="15"/>
            </w:pPr>
            <w:r>
              <w:t>5.00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5"/>
            </w:pPr>
            <w:r>
              <w:t>确保单位全年人员日常办公费用的使用，保障单位的顺利运行。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6"/>
            </w:pPr>
            <w:r>
              <w:t>30%</w:t>
            </w:r>
          </w:p>
        </w:tc>
        <w:tc>
          <w:tcPr>
            <w:tcW w:w="2835" w:type="dxa"/>
            <w:vAlign w:val="center"/>
          </w:tcPr>
          <w:p>
            <w:pPr>
              <w:pStyle w:val="16"/>
            </w:pPr>
            <w:r>
              <w:t>50%</w:t>
            </w:r>
          </w:p>
        </w:tc>
        <w:tc>
          <w:tcPr>
            <w:tcW w:w="2551" w:type="dxa"/>
            <w:vAlign w:val="center"/>
          </w:tcPr>
          <w:p>
            <w:pPr>
              <w:pStyle w:val="16"/>
            </w:pPr>
            <w:r>
              <w:t>70%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1.确保单位全年人员日常办公费用的使用，保障单位的顺利运行。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机关工作完成率</w:t>
            </w:r>
          </w:p>
        </w:tc>
        <w:tc>
          <w:tcPr>
            <w:tcW w:w="5386" w:type="dxa"/>
            <w:vAlign w:val="center"/>
          </w:tcPr>
          <w:p>
            <w:pPr>
              <w:pStyle w:val="15"/>
            </w:pPr>
            <w:r>
              <w:t>完成机关工作占全年工作的比例</w:t>
            </w:r>
          </w:p>
        </w:tc>
        <w:tc>
          <w:tcPr>
            <w:tcW w:w="2268" w:type="dxa"/>
            <w:vAlign w:val="center"/>
          </w:tcPr>
          <w:p>
            <w:pPr>
              <w:pStyle w:val="15"/>
            </w:pPr>
            <w:r>
              <w:t>≥90%</w:t>
            </w:r>
          </w:p>
        </w:tc>
        <w:tc>
          <w:tcPr>
            <w:tcW w:w="1276" w:type="dxa"/>
            <w:vAlign w:val="center"/>
          </w:tcPr>
          <w:p>
            <w:pPr>
              <w:pStyle w:val="15"/>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质量指标</w:t>
            </w:r>
          </w:p>
        </w:tc>
        <w:tc>
          <w:tcPr>
            <w:tcW w:w="2835" w:type="dxa"/>
            <w:vAlign w:val="center"/>
          </w:tcPr>
          <w:p>
            <w:pPr>
              <w:pStyle w:val="15"/>
            </w:pPr>
            <w:r>
              <w:t>机关高质量工作节能减排</w:t>
            </w:r>
          </w:p>
        </w:tc>
        <w:tc>
          <w:tcPr>
            <w:tcW w:w="5386" w:type="dxa"/>
            <w:vAlign w:val="center"/>
          </w:tcPr>
          <w:p>
            <w:pPr>
              <w:pStyle w:val="15"/>
            </w:pPr>
            <w:r>
              <w:t>完成机关高质量工作占全年工作的比例</w:t>
            </w:r>
          </w:p>
        </w:tc>
        <w:tc>
          <w:tcPr>
            <w:tcW w:w="2268" w:type="dxa"/>
            <w:vAlign w:val="center"/>
          </w:tcPr>
          <w:p>
            <w:pPr>
              <w:pStyle w:val="15"/>
            </w:pPr>
            <w:r>
              <w:t>≥100%</w:t>
            </w:r>
          </w:p>
        </w:tc>
        <w:tc>
          <w:tcPr>
            <w:tcW w:w="1276" w:type="dxa"/>
            <w:vAlign w:val="center"/>
          </w:tcPr>
          <w:p>
            <w:pPr>
              <w:pStyle w:val="15"/>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时效指标</w:t>
            </w:r>
          </w:p>
        </w:tc>
        <w:tc>
          <w:tcPr>
            <w:tcW w:w="2835" w:type="dxa"/>
            <w:vAlign w:val="center"/>
          </w:tcPr>
          <w:p>
            <w:pPr>
              <w:pStyle w:val="15"/>
            </w:pPr>
            <w:r>
              <w:t>机关购置率</w:t>
            </w:r>
          </w:p>
        </w:tc>
        <w:tc>
          <w:tcPr>
            <w:tcW w:w="5386" w:type="dxa"/>
            <w:vAlign w:val="center"/>
          </w:tcPr>
          <w:p>
            <w:pPr>
              <w:pStyle w:val="15"/>
            </w:pPr>
            <w:r>
              <w:t>机关购置货物量占全年购置计划的比例</w:t>
            </w:r>
          </w:p>
        </w:tc>
        <w:tc>
          <w:tcPr>
            <w:tcW w:w="2268" w:type="dxa"/>
            <w:vAlign w:val="center"/>
          </w:tcPr>
          <w:p>
            <w:pPr>
              <w:pStyle w:val="15"/>
            </w:pPr>
            <w:r>
              <w:t>≤10%</w:t>
            </w:r>
          </w:p>
        </w:tc>
        <w:tc>
          <w:tcPr>
            <w:tcW w:w="1276" w:type="dxa"/>
            <w:vAlign w:val="center"/>
          </w:tcPr>
          <w:p>
            <w:pPr>
              <w:pStyle w:val="15"/>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成本指标</w:t>
            </w:r>
          </w:p>
        </w:tc>
        <w:tc>
          <w:tcPr>
            <w:tcW w:w="2835" w:type="dxa"/>
            <w:vAlign w:val="center"/>
          </w:tcPr>
          <w:p>
            <w:pPr>
              <w:pStyle w:val="15"/>
            </w:pPr>
            <w:r>
              <w:t>机关办公费支出率</w:t>
            </w:r>
          </w:p>
        </w:tc>
        <w:tc>
          <w:tcPr>
            <w:tcW w:w="5386" w:type="dxa"/>
            <w:vAlign w:val="center"/>
          </w:tcPr>
          <w:p>
            <w:pPr>
              <w:pStyle w:val="15"/>
            </w:pPr>
            <w:r>
              <w:t>机关办公费支出数占预算总数的比例</w:t>
            </w:r>
          </w:p>
        </w:tc>
        <w:tc>
          <w:tcPr>
            <w:tcW w:w="2268" w:type="dxa"/>
            <w:vAlign w:val="center"/>
          </w:tcPr>
          <w:p>
            <w:pPr>
              <w:pStyle w:val="15"/>
            </w:pPr>
            <w:r>
              <w:t>≤100%</w:t>
            </w:r>
          </w:p>
        </w:tc>
        <w:tc>
          <w:tcPr>
            <w:tcW w:w="1276" w:type="dxa"/>
            <w:vAlign w:val="center"/>
          </w:tcPr>
          <w:p>
            <w:pPr>
              <w:pStyle w:val="15"/>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机关办公优质率</w:t>
            </w:r>
          </w:p>
        </w:tc>
        <w:tc>
          <w:tcPr>
            <w:tcW w:w="5386" w:type="dxa"/>
            <w:vAlign w:val="center"/>
          </w:tcPr>
          <w:p>
            <w:pPr>
              <w:pStyle w:val="15"/>
            </w:pPr>
            <w:r>
              <w:t>机关办公优质次数占总办公次数的比例</w:t>
            </w:r>
          </w:p>
        </w:tc>
        <w:tc>
          <w:tcPr>
            <w:tcW w:w="2268" w:type="dxa"/>
            <w:vAlign w:val="center"/>
          </w:tcPr>
          <w:p>
            <w:pPr>
              <w:pStyle w:val="15"/>
            </w:pPr>
            <w:r>
              <w:t>≥90%</w:t>
            </w:r>
          </w:p>
        </w:tc>
        <w:tc>
          <w:tcPr>
            <w:tcW w:w="1276" w:type="dxa"/>
            <w:vAlign w:val="center"/>
          </w:tcPr>
          <w:p>
            <w:pPr>
              <w:pStyle w:val="15"/>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社会效益指标</w:t>
            </w:r>
          </w:p>
        </w:tc>
        <w:tc>
          <w:tcPr>
            <w:tcW w:w="2835" w:type="dxa"/>
            <w:vAlign w:val="center"/>
          </w:tcPr>
          <w:p>
            <w:pPr>
              <w:pStyle w:val="15"/>
            </w:pPr>
            <w:r>
              <w:t>机关高质量工作完成率</w:t>
            </w:r>
          </w:p>
        </w:tc>
        <w:tc>
          <w:tcPr>
            <w:tcW w:w="5386" w:type="dxa"/>
            <w:vAlign w:val="center"/>
          </w:tcPr>
          <w:p>
            <w:pPr>
              <w:pStyle w:val="15"/>
            </w:pPr>
            <w:r>
              <w:t>完成机关高质量工作占全年工作的比例</w:t>
            </w:r>
          </w:p>
        </w:tc>
        <w:tc>
          <w:tcPr>
            <w:tcW w:w="2268" w:type="dxa"/>
            <w:vAlign w:val="center"/>
          </w:tcPr>
          <w:p>
            <w:pPr>
              <w:pStyle w:val="15"/>
            </w:pPr>
            <w:r>
              <w:t>≥90%</w:t>
            </w:r>
          </w:p>
        </w:tc>
        <w:tc>
          <w:tcPr>
            <w:tcW w:w="1276" w:type="dxa"/>
            <w:vAlign w:val="center"/>
          </w:tcPr>
          <w:p>
            <w:pPr>
              <w:pStyle w:val="15"/>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生态效益指标</w:t>
            </w:r>
          </w:p>
        </w:tc>
        <w:tc>
          <w:tcPr>
            <w:tcW w:w="2835" w:type="dxa"/>
            <w:vAlign w:val="center"/>
          </w:tcPr>
          <w:p>
            <w:pPr>
              <w:pStyle w:val="15"/>
            </w:pPr>
            <w:r>
              <w:t>节能使用办公用品</w:t>
            </w:r>
          </w:p>
        </w:tc>
        <w:tc>
          <w:tcPr>
            <w:tcW w:w="5386" w:type="dxa"/>
            <w:vAlign w:val="center"/>
          </w:tcPr>
          <w:p>
            <w:pPr>
              <w:pStyle w:val="15"/>
            </w:pPr>
            <w:r>
              <w:t>日常使用办公用品更换率</w:t>
            </w:r>
          </w:p>
        </w:tc>
        <w:tc>
          <w:tcPr>
            <w:tcW w:w="2268" w:type="dxa"/>
            <w:vAlign w:val="center"/>
          </w:tcPr>
          <w:p>
            <w:pPr>
              <w:pStyle w:val="15"/>
            </w:pPr>
            <w:r>
              <w:t>≤30%</w:t>
            </w:r>
          </w:p>
        </w:tc>
        <w:tc>
          <w:tcPr>
            <w:tcW w:w="1276" w:type="dxa"/>
            <w:vAlign w:val="center"/>
          </w:tcPr>
          <w:p>
            <w:pPr>
              <w:pStyle w:val="15"/>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可持续影响指标</w:t>
            </w:r>
          </w:p>
        </w:tc>
        <w:tc>
          <w:tcPr>
            <w:tcW w:w="2835" w:type="dxa"/>
            <w:vAlign w:val="center"/>
          </w:tcPr>
          <w:p>
            <w:pPr>
              <w:pStyle w:val="15"/>
            </w:pPr>
            <w:r>
              <w:t>业务能力增强</w:t>
            </w:r>
          </w:p>
        </w:tc>
        <w:tc>
          <w:tcPr>
            <w:tcW w:w="5386" w:type="dxa"/>
            <w:vAlign w:val="center"/>
          </w:tcPr>
          <w:p>
            <w:pPr>
              <w:pStyle w:val="15"/>
            </w:pPr>
            <w:r>
              <w:t>业务能力增强</w:t>
            </w:r>
          </w:p>
        </w:tc>
        <w:tc>
          <w:tcPr>
            <w:tcW w:w="2268" w:type="dxa"/>
            <w:vAlign w:val="center"/>
          </w:tcPr>
          <w:p>
            <w:pPr>
              <w:pStyle w:val="15"/>
            </w:pPr>
            <w:r>
              <w:t>≥90%</w:t>
            </w:r>
          </w:p>
        </w:tc>
        <w:tc>
          <w:tcPr>
            <w:tcW w:w="1276" w:type="dxa"/>
            <w:vAlign w:val="center"/>
          </w:tcPr>
          <w:p>
            <w:pPr>
              <w:pStyle w:val="15"/>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人员使用的满意度</w:t>
            </w:r>
          </w:p>
        </w:tc>
        <w:tc>
          <w:tcPr>
            <w:tcW w:w="2268" w:type="dxa"/>
            <w:vAlign w:val="center"/>
          </w:tcPr>
          <w:p>
            <w:pPr>
              <w:pStyle w:val="15"/>
            </w:pPr>
            <w:r>
              <w:t>≥90%</w:t>
            </w:r>
          </w:p>
        </w:tc>
        <w:tc>
          <w:tcPr>
            <w:tcW w:w="1276" w:type="dxa"/>
            <w:vAlign w:val="center"/>
          </w:tcPr>
          <w:p>
            <w:pPr>
              <w:pStyle w:val="15"/>
            </w:pPr>
            <w:r>
              <w:t>办公室记录本</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4、机关取暖费邮电费绩效目标表</w:t>
      </w:r>
    </w:p>
    <w:tbl>
      <w:tblPr>
        <w:tblStyle w:val="8"/>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13052525P000026100073</w:t>
            </w:r>
          </w:p>
        </w:tc>
        <w:tc>
          <w:tcPr>
            <w:tcW w:w="2835" w:type="dxa"/>
            <w:vAlign w:val="center"/>
          </w:tcPr>
          <w:p>
            <w:pPr>
              <w:pStyle w:val="13"/>
            </w:pPr>
            <w:r>
              <w:t>项目名称</w:t>
            </w:r>
          </w:p>
        </w:tc>
        <w:tc>
          <w:tcPr>
            <w:tcW w:w="6095" w:type="dxa"/>
            <w:gridSpan w:val="3"/>
            <w:vAlign w:val="center"/>
          </w:tcPr>
          <w:p>
            <w:pPr>
              <w:pStyle w:val="15"/>
            </w:pPr>
            <w:r>
              <w:t>机关取暖费邮电费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60.69</w:t>
            </w:r>
          </w:p>
        </w:tc>
        <w:tc>
          <w:tcPr>
            <w:tcW w:w="2835" w:type="dxa"/>
            <w:vAlign w:val="center"/>
          </w:tcPr>
          <w:p>
            <w:pPr>
              <w:pStyle w:val="13"/>
            </w:pPr>
            <w:r>
              <w:t>其中：财政    资金</w:t>
            </w:r>
          </w:p>
        </w:tc>
        <w:tc>
          <w:tcPr>
            <w:tcW w:w="2551" w:type="dxa"/>
            <w:vAlign w:val="center"/>
          </w:tcPr>
          <w:p>
            <w:pPr>
              <w:pStyle w:val="15"/>
            </w:pPr>
            <w:r>
              <w:t>60.69</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5"/>
            </w:pPr>
            <w:r>
              <w:t>保障大院取暖费和大院电话网费会议室正常运行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6"/>
            </w:pPr>
            <w:r>
              <w:t>100%</w:t>
            </w:r>
          </w:p>
        </w:tc>
        <w:tc>
          <w:tcPr>
            <w:tcW w:w="2835" w:type="dxa"/>
            <w:vAlign w:val="center"/>
          </w:tcPr>
          <w:p>
            <w:pPr>
              <w:pStyle w:val="16"/>
            </w:pPr>
            <w:r>
              <w:t xml:space="preserve"> </w:t>
            </w:r>
          </w:p>
        </w:tc>
        <w:tc>
          <w:tcPr>
            <w:tcW w:w="2551" w:type="dxa"/>
            <w:vAlign w:val="center"/>
          </w:tcPr>
          <w:p>
            <w:pPr>
              <w:pStyle w:val="16"/>
            </w:pPr>
            <w:r>
              <w:t xml:space="preserve"> </w:t>
            </w:r>
          </w:p>
        </w:tc>
        <w:tc>
          <w:tcPr>
            <w:tcW w:w="3544" w:type="dxa"/>
            <w:gridSpan w:val="2"/>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1.保证电话、网络正常运行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光纤租赁</w:t>
            </w:r>
          </w:p>
        </w:tc>
        <w:tc>
          <w:tcPr>
            <w:tcW w:w="5386" w:type="dxa"/>
            <w:vAlign w:val="center"/>
          </w:tcPr>
          <w:p>
            <w:pPr>
              <w:pStyle w:val="15"/>
            </w:pPr>
            <w:r>
              <w:t>光纤租赁</w:t>
            </w:r>
          </w:p>
        </w:tc>
        <w:tc>
          <w:tcPr>
            <w:tcW w:w="2268" w:type="dxa"/>
            <w:vAlign w:val="center"/>
          </w:tcPr>
          <w:p>
            <w:pPr>
              <w:pStyle w:val="15"/>
            </w:pPr>
            <w:r>
              <w:t>完成光纤的租赁</w:t>
            </w:r>
          </w:p>
        </w:tc>
        <w:tc>
          <w:tcPr>
            <w:tcW w:w="1276" w:type="dxa"/>
            <w:vAlign w:val="center"/>
          </w:tcPr>
          <w:p>
            <w:pPr>
              <w:pStyle w:val="15"/>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质量指标</w:t>
            </w:r>
          </w:p>
        </w:tc>
        <w:tc>
          <w:tcPr>
            <w:tcW w:w="2835" w:type="dxa"/>
            <w:vAlign w:val="center"/>
          </w:tcPr>
          <w:p>
            <w:pPr>
              <w:pStyle w:val="15"/>
            </w:pPr>
            <w:r>
              <w:t>资金到位率</w:t>
            </w:r>
          </w:p>
        </w:tc>
        <w:tc>
          <w:tcPr>
            <w:tcW w:w="5386" w:type="dxa"/>
            <w:vAlign w:val="center"/>
          </w:tcPr>
          <w:p>
            <w:pPr>
              <w:pStyle w:val="15"/>
            </w:pPr>
            <w:r>
              <w:t>资金到位率</w:t>
            </w:r>
          </w:p>
        </w:tc>
        <w:tc>
          <w:tcPr>
            <w:tcW w:w="2268" w:type="dxa"/>
            <w:vAlign w:val="center"/>
          </w:tcPr>
          <w:p>
            <w:pPr>
              <w:pStyle w:val="15"/>
            </w:pPr>
            <w:r>
              <w:t>资金按时到位</w:t>
            </w:r>
          </w:p>
        </w:tc>
        <w:tc>
          <w:tcPr>
            <w:tcW w:w="1276" w:type="dxa"/>
            <w:vAlign w:val="center"/>
          </w:tcPr>
          <w:p>
            <w:pPr>
              <w:pStyle w:val="15"/>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时效指标</w:t>
            </w:r>
          </w:p>
        </w:tc>
        <w:tc>
          <w:tcPr>
            <w:tcW w:w="2835" w:type="dxa"/>
            <w:vAlign w:val="center"/>
          </w:tcPr>
          <w:p>
            <w:pPr>
              <w:pStyle w:val="15"/>
            </w:pPr>
            <w:r>
              <w:t>资金拨付时限</w:t>
            </w:r>
          </w:p>
        </w:tc>
        <w:tc>
          <w:tcPr>
            <w:tcW w:w="5386" w:type="dxa"/>
            <w:vAlign w:val="center"/>
          </w:tcPr>
          <w:p>
            <w:pPr>
              <w:pStyle w:val="15"/>
            </w:pPr>
            <w:r>
              <w:t>资金拨付时限</w:t>
            </w:r>
          </w:p>
        </w:tc>
        <w:tc>
          <w:tcPr>
            <w:tcW w:w="2268" w:type="dxa"/>
            <w:vAlign w:val="center"/>
          </w:tcPr>
          <w:p>
            <w:pPr>
              <w:pStyle w:val="15"/>
            </w:pPr>
            <w:r>
              <w:t>按时支付资金</w:t>
            </w:r>
          </w:p>
        </w:tc>
        <w:tc>
          <w:tcPr>
            <w:tcW w:w="1276" w:type="dxa"/>
            <w:vAlign w:val="center"/>
          </w:tcPr>
          <w:p>
            <w:pPr>
              <w:pStyle w:val="15"/>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成本指标</w:t>
            </w:r>
          </w:p>
        </w:tc>
        <w:tc>
          <w:tcPr>
            <w:tcW w:w="2835" w:type="dxa"/>
            <w:vAlign w:val="center"/>
          </w:tcPr>
          <w:p>
            <w:pPr>
              <w:pStyle w:val="15"/>
            </w:pPr>
            <w:r>
              <w:t>24万元</w:t>
            </w:r>
          </w:p>
        </w:tc>
        <w:tc>
          <w:tcPr>
            <w:tcW w:w="5386" w:type="dxa"/>
            <w:vAlign w:val="center"/>
          </w:tcPr>
          <w:p>
            <w:pPr>
              <w:pStyle w:val="15"/>
            </w:pPr>
            <w:r>
              <w:t>邮电费24万元</w:t>
            </w:r>
          </w:p>
        </w:tc>
        <w:tc>
          <w:tcPr>
            <w:tcW w:w="2268" w:type="dxa"/>
            <w:vAlign w:val="center"/>
          </w:tcPr>
          <w:p>
            <w:pPr>
              <w:pStyle w:val="15"/>
            </w:pPr>
            <w:r>
              <w:t>邮电费24万元</w:t>
            </w:r>
          </w:p>
        </w:tc>
        <w:tc>
          <w:tcPr>
            <w:tcW w:w="1276" w:type="dxa"/>
            <w:vAlign w:val="center"/>
          </w:tcPr>
          <w:p>
            <w:pPr>
              <w:pStyle w:val="15"/>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提高工作效率</w:t>
            </w:r>
          </w:p>
        </w:tc>
        <w:tc>
          <w:tcPr>
            <w:tcW w:w="5386" w:type="dxa"/>
            <w:vAlign w:val="center"/>
          </w:tcPr>
          <w:p>
            <w:pPr>
              <w:pStyle w:val="15"/>
            </w:pPr>
            <w:r>
              <w:t>提高工作效率</w:t>
            </w:r>
          </w:p>
        </w:tc>
        <w:tc>
          <w:tcPr>
            <w:tcW w:w="2268" w:type="dxa"/>
            <w:vAlign w:val="center"/>
          </w:tcPr>
          <w:p>
            <w:pPr>
              <w:pStyle w:val="15"/>
            </w:pPr>
            <w:r>
              <w:t>提高网速</w:t>
            </w:r>
          </w:p>
        </w:tc>
        <w:tc>
          <w:tcPr>
            <w:tcW w:w="1276" w:type="dxa"/>
            <w:vAlign w:val="center"/>
          </w:tcPr>
          <w:p>
            <w:pPr>
              <w:pStyle w:val="15"/>
            </w:pPr>
            <w:r>
              <w:t>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工作人员满意度</w:t>
            </w:r>
          </w:p>
        </w:tc>
        <w:tc>
          <w:tcPr>
            <w:tcW w:w="5386" w:type="dxa"/>
            <w:vAlign w:val="center"/>
          </w:tcPr>
          <w:p>
            <w:pPr>
              <w:pStyle w:val="15"/>
            </w:pPr>
            <w:r>
              <w:t>工作人员满意度</w:t>
            </w:r>
          </w:p>
        </w:tc>
        <w:tc>
          <w:tcPr>
            <w:tcW w:w="2268" w:type="dxa"/>
            <w:vAlign w:val="center"/>
          </w:tcPr>
          <w:p>
            <w:pPr>
              <w:pStyle w:val="15"/>
            </w:pPr>
            <w:r>
              <w:t>邮电费使用投诉率</w:t>
            </w:r>
          </w:p>
        </w:tc>
        <w:tc>
          <w:tcPr>
            <w:tcW w:w="1276" w:type="dxa"/>
            <w:vAlign w:val="center"/>
          </w:tcPr>
          <w:p>
            <w:pPr>
              <w:pStyle w:val="15"/>
            </w:pPr>
            <w:r>
              <w:t>投诉表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5、机关水电费绩效目标表</w:t>
      </w:r>
    </w:p>
    <w:tbl>
      <w:tblPr>
        <w:tblStyle w:val="8"/>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13052525P00002610006F</w:t>
            </w:r>
          </w:p>
        </w:tc>
        <w:tc>
          <w:tcPr>
            <w:tcW w:w="2835" w:type="dxa"/>
            <w:vAlign w:val="center"/>
          </w:tcPr>
          <w:p>
            <w:pPr>
              <w:pStyle w:val="13"/>
            </w:pPr>
            <w:r>
              <w:t>项目名称</w:t>
            </w:r>
          </w:p>
        </w:tc>
        <w:tc>
          <w:tcPr>
            <w:tcW w:w="6095" w:type="dxa"/>
            <w:gridSpan w:val="3"/>
            <w:vAlign w:val="center"/>
          </w:tcPr>
          <w:p>
            <w:pPr>
              <w:pStyle w:val="15"/>
            </w:pPr>
            <w:r>
              <w:t>机关水电费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81.26</w:t>
            </w:r>
          </w:p>
        </w:tc>
        <w:tc>
          <w:tcPr>
            <w:tcW w:w="2835" w:type="dxa"/>
            <w:vAlign w:val="center"/>
          </w:tcPr>
          <w:p>
            <w:pPr>
              <w:pStyle w:val="13"/>
            </w:pPr>
            <w:r>
              <w:t>其中：财政    资金</w:t>
            </w:r>
          </w:p>
        </w:tc>
        <w:tc>
          <w:tcPr>
            <w:tcW w:w="2551" w:type="dxa"/>
            <w:vAlign w:val="center"/>
          </w:tcPr>
          <w:p>
            <w:pPr>
              <w:pStyle w:val="15"/>
            </w:pPr>
            <w:r>
              <w:t>81.26</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5"/>
            </w:pPr>
            <w:r>
              <w:t>保障机关水费正常运行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6"/>
            </w:pPr>
            <w:r>
              <w:t>30%</w:t>
            </w:r>
          </w:p>
        </w:tc>
        <w:tc>
          <w:tcPr>
            <w:tcW w:w="2835" w:type="dxa"/>
            <w:vAlign w:val="center"/>
          </w:tcPr>
          <w:p>
            <w:pPr>
              <w:pStyle w:val="16"/>
            </w:pPr>
            <w:r>
              <w:t>50%</w:t>
            </w:r>
          </w:p>
        </w:tc>
        <w:tc>
          <w:tcPr>
            <w:tcW w:w="2551" w:type="dxa"/>
            <w:vAlign w:val="center"/>
          </w:tcPr>
          <w:p>
            <w:pPr>
              <w:pStyle w:val="16"/>
            </w:pPr>
            <w:r>
              <w:t>70%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1.保障机关水费正常运行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办公用电</w:t>
            </w:r>
          </w:p>
        </w:tc>
        <w:tc>
          <w:tcPr>
            <w:tcW w:w="5386" w:type="dxa"/>
            <w:vAlign w:val="center"/>
          </w:tcPr>
          <w:p>
            <w:pPr>
              <w:pStyle w:val="15"/>
            </w:pPr>
            <w:r>
              <w:t>办公用电</w:t>
            </w:r>
          </w:p>
        </w:tc>
        <w:tc>
          <w:tcPr>
            <w:tcW w:w="2268" w:type="dxa"/>
            <w:vAlign w:val="center"/>
          </w:tcPr>
          <w:p>
            <w:pPr>
              <w:pStyle w:val="15"/>
            </w:pPr>
            <w:r>
              <w:t>≥100办公用电率100%</w:t>
            </w:r>
          </w:p>
        </w:tc>
        <w:tc>
          <w:tcPr>
            <w:tcW w:w="1276" w:type="dxa"/>
            <w:vAlign w:val="center"/>
          </w:tcPr>
          <w:p>
            <w:pPr>
              <w:pStyle w:val="15"/>
            </w:pPr>
            <w:r>
              <w:t>正常办公用电使用率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质量指标</w:t>
            </w:r>
          </w:p>
        </w:tc>
        <w:tc>
          <w:tcPr>
            <w:tcW w:w="2835" w:type="dxa"/>
            <w:vAlign w:val="center"/>
          </w:tcPr>
          <w:p>
            <w:pPr>
              <w:pStyle w:val="15"/>
            </w:pPr>
            <w:r>
              <w:t>办公用电正常时间</w:t>
            </w:r>
          </w:p>
        </w:tc>
        <w:tc>
          <w:tcPr>
            <w:tcW w:w="5386" w:type="dxa"/>
            <w:vAlign w:val="center"/>
          </w:tcPr>
          <w:p>
            <w:pPr>
              <w:pStyle w:val="15"/>
            </w:pPr>
            <w:r>
              <w:t>办公用电正常时间</w:t>
            </w:r>
          </w:p>
        </w:tc>
        <w:tc>
          <w:tcPr>
            <w:tcW w:w="2268" w:type="dxa"/>
            <w:vAlign w:val="center"/>
          </w:tcPr>
          <w:p>
            <w:pPr>
              <w:pStyle w:val="15"/>
            </w:pPr>
            <w:r>
              <w:t>办公用电正常上班时间满足供给</w:t>
            </w:r>
          </w:p>
        </w:tc>
        <w:tc>
          <w:tcPr>
            <w:tcW w:w="1276" w:type="dxa"/>
            <w:vAlign w:val="center"/>
          </w:tcPr>
          <w:p>
            <w:pPr>
              <w:pStyle w:val="15"/>
            </w:pPr>
            <w:r>
              <w:t>上班时间电使用时间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时效指标</w:t>
            </w:r>
          </w:p>
        </w:tc>
        <w:tc>
          <w:tcPr>
            <w:tcW w:w="2835" w:type="dxa"/>
            <w:vAlign w:val="center"/>
          </w:tcPr>
          <w:p>
            <w:pPr>
              <w:pStyle w:val="15"/>
            </w:pPr>
            <w:r>
              <w:t>支付完成率</w:t>
            </w:r>
          </w:p>
        </w:tc>
        <w:tc>
          <w:tcPr>
            <w:tcW w:w="5386" w:type="dxa"/>
            <w:vAlign w:val="center"/>
          </w:tcPr>
          <w:p>
            <w:pPr>
              <w:pStyle w:val="15"/>
            </w:pPr>
            <w:r>
              <w:t>按时有序支付</w:t>
            </w:r>
          </w:p>
        </w:tc>
        <w:tc>
          <w:tcPr>
            <w:tcW w:w="2268" w:type="dxa"/>
            <w:vAlign w:val="center"/>
          </w:tcPr>
          <w:p>
            <w:pPr>
              <w:pStyle w:val="15"/>
            </w:pPr>
            <w:r>
              <w:t>电费支付按时支付</w:t>
            </w:r>
          </w:p>
        </w:tc>
        <w:tc>
          <w:tcPr>
            <w:tcW w:w="1276" w:type="dxa"/>
            <w:vAlign w:val="center"/>
          </w:tcPr>
          <w:p>
            <w:pPr>
              <w:pStyle w:val="15"/>
            </w:pPr>
            <w:r>
              <w:t>电力局下发电力缴费情况表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成本指标</w:t>
            </w:r>
          </w:p>
        </w:tc>
        <w:tc>
          <w:tcPr>
            <w:tcW w:w="2835" w:type="dxa"/>
            <w:vAlign w:val="center"/>
          </w:tcPr>
          <w:p>
            <w:pPr>
              <w:pStyle w:val="15"/>
            </w:pPr>
            <w:r>
              <w:t>用电成本</w:t>
            </w:r>
          </w:p>
        </w:tc>
        <w:tc>
          <w:tcPr>
            <w:tcW w:w="5386" w:type="dxa"/>
            <w:vAlign w:val="center"/>
          </w:tcPr>
          <w:p>
            <w:pPr>
              <w:pStyle w:val="15"/>
            </w:pPr>
            <w:r>
              <w:t>用电成本</w:t>
            </w:r>
          </w:p>
        </w:tc>
        <w:tc>
          <w:tcPr>
            <w:tcW w:w="2268" w:type="dxa"/>
            <w:vAlign w:val="center"/>
          </w:tcPr>
          <w:p>
            <w:pPr>
              <w:pStyle w:val="15"/>
            </w:pPr>
            <w:r>
              <w:t>用电少于等于81.2644万元</w:t>
            </w:r>
          </w:p>
        </w:tc>
        <w:tc>
          <w:tcPr>
            <w:tcW w:w="1276" w:type="dxa"/>
            <w:vAlign w:val="center"/>
          </w:tcPr>
          <w:p>
            <w:pPr>
              <w:pStyle w:val="15"/>
            </w:pPr>
            <w:r>
              <w:t>使用电费统计</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公共服务水平提升情况</w:t>
            </w:r>
          </w:p>
        </w:tc>
        <w:tc>
          <w:tcPr>
            <w:tcW w:w="5386" w:type="dxa"/>
            <w:vAlign w:val="center"/>
          </w:tcPr>
          <w:p>
            <w:pPr>
              <w:pStyle w:val="15"/>
            </w:pPr>
            <w:r>
              <w:t>公共服务水平提升情况</w:t>
            </w:r>
          </w:p>
        </w:tc>
        <w:tc>
          <w:tcPr>
            <w:tcW w:w="2268" w:type="dxa"/>
            <w:vAlign w:val="center"/>
          </w:tcPr>
          <w:p>
            <w:pPr>
              <w:pStyle w:val="15"/>
            </w:pPr>
            <w:r>
              <w:t>水电供应对游客服务提升</w:t>
            </w:r>
          </w:p>
        </w:tc>
        <w:tc>
          <w:tcPr>
            <w:tcW w:w="1276" w:type="dxa"/>
            <w:vAlign w:val="center"/>
          </w:tcPr>
          <w:p>
            <w:pPr>
              <w:pStyle w:val="15"/>
            </w:pPr>
            <w:r>
              <w:t>投诉表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社会效益指标</w:t>
            </w:r>
          </w:p>
        </w:tc>
        <w:tc>
          <w:tcPr>
            <w:tcW w:w="2835" w:type="dxa"/>
            <w:vAlign w:val="center"/>
          </w:tcPr>
          <w:p>
            <w:pPr>
              <w:pStyle w:val="15"/>
            </w:pPr>
            <w:r>
              <w:t>提升员工电子化管理水平</w:t>
            </w:r>
          </w:p>
        </w:tc>
        <w:tc>
          <w:tcPr>
            <w:tcW w:w="5386" w:type="dxa"/>
            <w:vAlign w:val="center"/>
          </w:tcPr>
          <w:p>
            <w:pPr>
              <w:pStyle w:val="15"/>
            </w:pPr>
            <w:r>
              <w:t>提升员工电子化管理水平</w:t>
            </w:r>
          </w:p>
        </w:tc>
        <w:tc>
          <w:tcPr>
            <w:tcW w:w="2268" w:type="dxa"/>
            <w:vAlign w:val="center"/>
          </w:tcPr>
          <w:p>
            <w:pPr>
              <w:pStyle w:val="15"/>
            </w:pPr>
            <w:r>
              <w:t>用电合规</w:t>
            </w:r>
          </w:p>
        </w:tc>
        <w:tc>
          <w:tcPr>
            <w:tcW w:w="1276" w:type="dxa"/>
            <w:vAlign w:val="center"/>
          </w:tcPr>
          <w:p>
            <w:pPr>
              <w:pStyle w:val="15"/>
            </w:pPr>
            <w:r>
              <w:t>用电使用手册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生态效益指标</w:t>
            </w:r>
          </w:p>
        </w:tc>
        <w:tc>
          <w:tcPr>
            <w:tcW w:w="2835" w:type="dxa"/>
            <w:vAlign w:val="center"/>
          </w:tcPr>
          <w:p>
            <w:pPr>
              <w:pStyle w:val="15"/>
            </w:pPr>
            <w:r>
              <w:t>电资源利用率</w:t>
            </w:r>
          </w:p>
        </w:tc>
        <w:tc>
          <w:tcPr>
            <w:tcW w:w="5386" w:type="dxa"/>
            <w:vAlign w:val="center"/>
          </w:tcPr>
          <w:p>
            <w:pPr>
              <w:pStyle w:val="15"/>
            </w:pPr>
            <w:r>
              <w:t>电资源利用率</w:t>
            </w:r>
          </w:p>
        </w:tc>
        <w:tc>
          <w:tcPr>
            <w:tcW w:w="2268" w:type="dxa"/>
            <w:vAlign w:val="center"/>
          </w:tcPr>
          <w:p>
            <w:pPr>
              <w:pStyle w:val="15"/>
            </w:pPr>
            <w:r>
              <w:t>≥90节电率大于等于90%</w:t>
            </w:r>
          </w:p>
        </w:tc>
        <w:tc>
          <w:tcPr>
            <w:tcW w:w="1276" w:type="dxa"/>
            <w:vAlign w:val="center"/>
          </w:tcPr>
          <w:p>
            <w:pPr>
              <w:pStyle w:val="15"/>
            </w:pPr>
            <w:r>
              <w:t>用电统计表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可持续影响指标</w:t>
            </w:r>
          </w:p>
        </w:tc>
        <w:tc>
          <w:tcPr>
            <w:tcW w:w="2835" w:type="dxa"/>
            <w:vAlign w:val="center"/>
          </w:tcPr>
          <w:p>
            <w:pPr>
              <w:pStyle w:val="15"/>
            </w:pPr>
            <w:r>
              <w:t>节电意识</w:t>
            </w:r>
          </w:p>
        </w:tc>
        <w:tc>
          <w:tcPr>
            <w:tcW w:w="5386" w:type="dxa"/>
            <w:vAlign w:val="center"/>
          </w:tcPr>
          <w:p>
            <w:pPr>
              <w:pStyle w:val="15"/>
            </w:pPr>
            <w:r>
              <w:t>节电意识</w:t>
            </w:r>
          </w:p>
        </w:tc>
        <w:tc>
          <w:tcPr>
            <w:tcW w:w="2268" w:type="dxa"/>
            <w:vAlign w:val="center"/>
          </w:tcPr>
          <w:p>
            <w:pPr>
              <w:pStyle w:val="15"/>
            </w:pPr>
            <w:r>
              <w:t>有助于节电意识提升</w:t>
            </w:r>
          </w:p>
        </w:tc>
        <w:tc>
          <w:tcPr>
            <w:tcW w:w="1276" w:type="dxa"/>
            <w:vAlign w:val="center"/>
          </w:tcPr>
          <w:p>
            <w:pPr>
              <w:pStyle w:val="15"/>
            </w:pPr>
            <w:r>
              <w:t>节电调查表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服务对象满意度</w:t>
            </w:r>
          </w:p>
        </w:tc>
        <w:tc>
          <w:tcPr>
            <w:tcW w:w="2268" w:type="dxa"/>
            <w:vAlign w:val="center"/>
          </w:tcPr>
          <w:p>
            <w:pPr>
              <w:pStyle w:val="15"/>
            </w:pPr>
            <w:r>
              <w:t>对使用电对象满意度</w:t>
            </w:r>
          </w:p>
        </w:tc>
        <w:tc>
          <w:tcPr>
            <w:tcW w:w="1276" w:type="dxa"/>
            <w:vAlign w:val="center"/>
          </w:tcPr>
          <w:p>
            <w:pPr>
              <w:pStyle w:val="15"/>
            </w:pPr>
            <w:r>
              <w:t>投诉率</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6、机关物业保安费绩效目标表</w:t>
      </w:r>
    </w:p>
    <w:tbl>
      <w:tblPr>
        <w:tblStyle w:val="8"/>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13052525P00002610005U</w:t>
            </w:r>
          </w:p>
        </w:tc>
        <w:tc>
          <w:tcPr>
            <w:tcW w:w="2835" w:type="dxa"/>
            <w:vAlign w:val="center"/>
          </w:tcPr>
          <w:p>
            <w:pPr>
              <w:pStyle w:val="13"/>
            </w:pPr>
            <w:r>
              <w:t>项目名称</w:t>
            </w:r>
          </w:p>
        </w:tc>
        <w:tc>
          <w:tcPr>
            <w:tcW w:w="6095" w:type="dxa"/>
            <w:gridSpan w:val="3"/>
            <w:vAlign w:val="center"/>
          </w:tcPr>
          <w:p>
            <w:pPr>
              <w:pStyle w:val="15"/>
            </w:pPr>
            <w:r>
              <w:t>机关物业保安费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103.58</w:t>
            </w:r>
          </w:p>
        </w:tc>
        <w:tc>
          <w:tcPr>
            <w:tcW w:w="2835" w:type="dxa"/>
            <w:vAlign w:val="center"/>
          </w:tcPr>
          <w:p>
            <w:pPr>
              <w:pStyle w:val="13"/>
            </w:pPr>
            <w:r>
              <w:t>其中：财政    资金</w:t>
            </w:r>
          </w:p>
        </w:tc>
        <w:tc>
          <w:tcPr>
            <w:tcW w:w="2551" w:type="dxa"/>
            <w:vAlign w:val="center"/>
          </w:tcPr>
          <w:p>
            <w:pPr>
              <w:pStyle w:val="15"/>
            </w:pPr>
            <w:r>
              <w:t>103.58</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5"/>
            </w:pPr>
            <w:r>
              <w:t>大院卫生和安保。</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6"/>
            </w:pPr>
            <w:r>
              <w:t>30%</w:t>
            </w:r>
          </w:p>
        </w:tc>
        <w:tc>
          <w:tcPr>
            <w:tcW w:w="2835" w:type="dxa"/>
            <w:vAlign w:val="center"/>
          </w:tcPr>
          <w:p>
            <w:pPr>
              <w:pStyle w:val="16"/>
            </w:pPr>
            <w:r>
              <w:t>50%</w:t>
            </w:r>
          </w:p>
        </w:tc>
        <w:tc>
          <w:tcPr>
            <w:tcW w:w="2551" w:type="dxa"/>
            <w:vAlign w:val="center"/>
          </w:tcPr>
          <w:p>
            <w:pPr>
              <w:pStyle w:val="16"/>
            </w:pPr>
            <w:r>
              <w:t>80%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1.保障院内安全、卫生。</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安保任务天数</w:t>
            </w:r>
          </w:p>
        </w:tc>
        <w:tc>
          <w:tcPr>
            <w:tcW w:w="5386" w:type="dxa"/>
            <w:vAlign w:val="center"/>
          </w:tcPr>
          <w:p>
            <w:pPr>
              <w:pStyle w:val="15"/>
            </w:pPr>
            <w:r>
              <w:t>安保任务天数</w:t>
            </w:r>
          </w:p>
        </w:tc>
        <w:tc>
          <w:tcPr>
            <w:tcW w:w="2268" w:type="dxa"/>
            <w:vAlign w:val="center"/>
          </w:tcPr>
          <w:p>
            <w:pPr>
              <w:pStyle w:val="15"/>
            </w:pPr>
            <w:r>
              <w:t>≥100%</w:t>
            </w:r>
          </w:p>
        </w:tc>
        <w:tc>
          <w:tcPr>
            <w:tcW w:w="1276" w:type="dxa"/>
            <w:vAlign w:val="center"/>
          </w:tcPr>
          <w:p>
            <w:pPr>
              <w:pStyle w:val="15"/>
            </w:pPr>
            <w:r>
              <w:t>年度计划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质量指标</w:t>
            </w:r>
          </w:p>
        </w:tc>
        <w:tc>
          <w:tcPr>
            <w:tcW w:w="2835" w:type="dxa"/>
            <w:vAlign w:val="center"/>
          </w:tcPr>
          <w:p>
            <w:pPr>
              <w:pStyle w:val="15"/>
            </w:pPr>
            <w:r>
              <w:t>物业后勤服务质量</w:t>
            </w:r>
          </w:p>
        </w:tc>
        <w:tc>
          <w:tcPr>
            <w:tcW w:w="5386" w:type="dxa"/>
            <w:vAlign w:val="center"/>
          </w:tcPr>
          <w:p>
            <w:pPr>
              <w:pStyle w:val="15"/>
            </w:pPr>
            <w:r>
              <w:t>物业服务质量大于90%</w:t>
            </w:r>
          </w:p>
        </w:tc>
        <w:tc>
          <w:tcPr>
            <w:tcW w:w="2268" w:type="dxa"/>
            <w:vAlign w:val="center"/>
          </w:tcPr>
          <w:p>
            <w:pPr>
              <w:pStyle w:val="15"/>
            </w:pPr>
            <w:r>
              <w:t>≥90%</w:t>
            </w:r>
          </w:p>
        </w:tc>
        <w:tc>
          <w:tcPr>
            <w:tcW w:w="1276" w:type="dxa"/>
            <w:vAlign w:val="center"/>
          </w:tcPr>
          <w:p>
            <w:pPr>
              <w:pStyle w:val="15"/>
            </w:pPr>
            <w:r>
              <w:t>年度 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时效指标</w:t>
            </w:r>
          </w:p>
        </w:tc>
        <w:tc>
          <w:tcPr>
            <w:tcW w:w="2835" w:type="dxa"/>
            <w:vAlign w:val="center"/>
          </w:tcPr>
          <w:p>
            <w:pPr>
              <w:pStyle w:val="15"/>
            </w:pPr>
            <w:r>
              <w:t>支付完成率</w:t>
            </w:r>
          </w:p>
        </w:tc>
        <w:tc>
          <w:tcPr>
            <w:tcW w:w="5386" w:type="dxa"/>
            <w:vAlign w:val="center"/>
          </w:tcPr>
          <w:p>
            <w:pPr>
              <w:pStyle w:val="15"/>
            </w:pPr>
            <w:r>
              <w:t>按时有序支付</w:t>
            </w:r>
          </w:p>
        </w:tc>
        <w:tc>
          <w:tcPr>
            <w:tcW w:w="2268" w:type="dxa"/>
            <w:vAlign w:val="center"/>
          </w:tcPr>
          <w:p>
            <w:pPr>
              <w:pStyle w:val="15"/>
            </w:pPr>
            <w:r>
              <w:t>≥100%</w:t>
            </w:r>
          </w:p>
        </w:tc>
        <w:tc>
          <w:tcPr>
            <w:tcW w:w="1276" w:type="dxa"/>
            <w:vAlign w:val="center"/>
          </w:tcPr>
          <w:p>
            <w:pPr>
              <w:pStyle w:val="15"/>
            </w:pPr>
            <w:r>
              <w:t>发放时间</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成本指标</w:t>
            </w:r>
          </w:p>
        </w:tc>
        <w:tc>
          <w:tcPr>
            <w:tcW w:w="2835" w:type="dxa"/>
            <w:vAlign w:val="center"/>
          </w:tcPr>
          <w:p>
            <w:pPr>
              <w:pStyle w:val="15"/>
            </w:pPr>
            <w:r>
              <w:t>完成率</w:t>
            </w:r>
          </w:p>
        </w:tc>
        <w:tc>
          <w:tcPr>
            <w:tcW w:w="5386" w:type="dxa"/>
            <w:vAlign w:val="center"/>
          </w:tcPr>
          <w:p>
            <w:pPr>
              <w:pStyle w:val="15"/>
            </w:pPr>
            <w:r>
              <w:t>完成率</w:t>
            </w:r>
          </w:p>
        </w:tc>
        <w:tc>
          <w:tcPr>
            <w:tcW w:w="2268" w:type="dxa"/>
            <w:vAlign w:val="center"/>
          </w:tcPr>
          <w:p>
            <w:pPr>
              <w:pStyle w:val="15"/>
            </w:pPr>
            <w:r>
              <w:t>≥90%</w:t>
            </w:r>
          </w:p>
        </w:tc>
        <w:tc>
          <w:tcPr>
            <w:tcW w:w="1276" w:type="dxa"/>
            <w:vAlign w:val="center"/>
          </w:tcPr>
          <w:p>
            <w:pPr>
              <w:pStyle w:val="15"/>
            </w:pPr>
            <w:r>
              <w:t>保安、物业完成</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公共服务水平提升情况</w:t>
            </w:r>
          </w:p>
        </w:tc>
        <w:tc>
          <w:tcPr>
            <w:tcW w:w="5386" w:type="dxa"/>
            <w:vAlign w:val="center"/>
          </w:tcPr>
          <w:p>
            <w:pPr>
              <w:pStyle w:val="15"/>
            </w:pPr>
            <w:r>
              <w:t>公共服务水平提升情况</w:t>
            </w:r>
          </w:p>
        </w:tc>
        <w:tc>
          <w:tcPr>
            <w:tcW w:w="2268" w:type="dxa"/>
            <w:vAlign w:val="center"/>
          </w:tcPr>
          <w:p>
            <w:pPr>
              <w:pStyle w:val="15"/>
            </w:pPr>
            <w:r>
              <w:t>水电供应对游客服务提升</w:t>
            </w:r>
          </w:p>
        </w:tc>
        <w:tc>
          <w:tcPr>
            <w:tcW w:w="1276" w:type="dxa"/>
            <w:vAlign w:val="center"/>
          </w:tcPr>
          <w:p>
            <w:pPr>
              <w:pStyle w:val="15"/>
            </w:pPr>
            <w:r>
              <w:t>投诉表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社会效益指标</w:t>
            </w:r>
          </w:p>
        </w:tc>
        <w:tc>
          <w:tcPr>
            <w:tcW w:w="2835" w:type="dxa"/>
            <w:vAlign w:val="center"/>
          </w:tcPr>
          <w:p>
            <w:pPr>
              <w:pStyle w:val="15"/>
            </w:pPr>
            <w:r>
              <w:t>提升员工电子化管理水平</w:t>
            </w:r>
          </w:p>
        </w:tc>
        <w:tc>
          <w:tcPr>
            <w:tcW w:w="5386" w:type="dxa"/>
            <w:vAlign w:val="center"/>
          </w:tcPr>
          <w:p>
            <w:pPr>
              <w:pStyle w:val="15"/>
            </w:pPr>
            <w:r>
              <w:t>提升员工电子化管理水平</w:t>
            </w:r>
          </w:p>
        </w:tc>
        <w:tc>
          <w:tcPr>
            <w:tcW w:w="2268" w:type="dxa"/>
            <w:vAlign w:val="center"/>
          </w:tcPr>
          <w:p>
            <w:pPr>
              <w:pStyle w:val="15"/>
            </w:pPr>
            <w:r>
              <w:t>用电合规</w:t>
            </w:r>
          </w:p>
        </w:tc>
        <w:tc>
          <w:tcPr>
            <w:tcW w:w="1276" w:type="dxa"/>
            <w:vAlign w:val="center"/>
          </w:tcPr>
          <w:p>
            <w:pPr>
              <w:pStyle w:val="15"/>
            </w:pPr>
            <w:r>
              <w:t>用电使用手册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生态效益指标</w:t>
            </w:r>
          </w:p>
        </w:tc>
        <w:tc>
          <w:tcPr>
            <w:tcW w:w="2835" w:type="dxa"/>
            <w:vAlign w:val="center"/>
          </w:tcPr>
          <w:p>
            <w:pPr>
              <w:pStyle w:val="15"/>
            </w:pPr>
            <w:r>
              <w:t>环保节能</w:t>
            </w:r>
          </w:p>
        </w:tc>
        <w:tc>
          <w:tcPr>
            <w:tcW w:w="5386" w:type="dxa"/>
            <w:vAlign w:val="center"/>
          </w:tcPr>
          <w:p>
            <w:pPr>
              <w:pStyle w:val="15"/>
            </w:pPr>
            <w:r>
              <w:t>环保节能</w:t>
            </w:r>
          </w:p>
        </w:tc>
        <w:tc>
          <w:tcPr>
            <w:tcW w:w="2268" w:type="dxa"/>
            <w:vAlign w:val="center"/>
          </w:tcPr>
          <w:p>
            <w:pPr>
              <w:pStyle w:val="15"/>
            </w:pPr>
            <w:r>
              <w:t>≥90节水率大于等于90%</w:t>
            </w:r>
          </w:p>
        </w:tc>
        <w:tc>
          <w:tcPr>
            <w:tcW w:w="1276" w:type="dxa"/>
            <w:vAlign w:val="center"/>
          </w:tcPr>
          <w:p>
            <w:pPr>
              <w:pStyle w:val="15"/>
            </w:pPr>
            <w:r>
              <w:t>用水统计表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可持续影响指标</w:t>
            </w:r>
          </w:p>
        </w:tc>
        <w:tc>
          <w:tcPr>
            <w:tcW w:w="2835" w:type="dxa"/>
            <w:vAlign w:val="center"/>
          </w:tcPr>
          <w:p>
            <w:pPr>
              <w:pStyle w:val="15"/>
            </w:pPr>
            <w:r>
              <w:t>提升行业管理水平</w:t>
            </w:r>
          </w:p>
        </w:tc>
        <w:tc>
          <w:tcPr>
            <w:tcW w:w="5386" w:type="dxa"/>
            <w:vAlign w:val="center"/>
          </w:tcPr>
          <w:p>
            <w:pPr>
              <w:pStyle w:val="15"/>
            </w:pPr>
            <w:r>
              <w:t>提升行业管理水平</w:t>
            </w:r>
          </w:p>
        </w:tc>
        <w:tc>
          <w:tcPr>
            <w:tcW w:w="2268" w:type="dxa"/>
            <w:vAlign w:val="center"/>
          </w:tcPr>
          <w:p>
            <w:pPr>
              <w:pStyle w:val="15"/>
            </w:pPr>
            <w:r>
              <w:t>有助于提升管理</w:t>
            </w:r>
          </w:p>
        </w:tc>
        <w:tc>
          <w:tcPr>
            <w:tcW w:w="1276" w:type="dxa"/>
            <w:vAlign w:val="center"/>
          </w:tcPr>
          <w:p>
            <w:pPr>
              <w:pStyle w:val="15"/>
            </w:pPr>
            <w:r>
              <w:t>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服务对象满意度</w:t>
            </w:r>
          </w:p>
        </w:tc>
        <w:tc>
          <w:tcPr>
            <w:tcW w:w="2268" w:type="dxa"/>
            <w:vAlign w:val="center"/>
          </w:tcPr>
          <w:p>
            <w:pPr>
              <w:pStyle w:val="15"/>
            </w:pPr>
            <w:r>
              <w:t>对物业、安保对象满意度</w:t>
            </w:r>
          </w:p>
        </w:tc>
        <w:tc>
          <w:tcPr>
            <w:tcW w:w="1276" w:type="dxa"/>
            <w:vAlign w:val="center"/>
          </w:tcPr>
          <w:p>
            <w:pPr>
              <w:pStyle w:val="15"/>
            </w:pPr>
            <w:r>
              <w:t>投诉率</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7、劳务派遣司机工资绩效目标表</w:t>
      </w:r>
    </w:p>
    <w:tbl>
      <w:tblPr>
        <w:tblStyle w:val="8"/>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13052525P00003910001M</w:t>
            </w:r>
          </w:p>
        </w:tc>
        <w:tc>
          <w:tcPr>
            <w:tcW w:w="2835" w:type="dxa"/>
            <w:vAlign w:val="center"/>
          </w:tcPr>
          <w:p>
            <w:pPr>
              <w:pStyle w:val="13"/>
            </w:pPr>
            <w:r>
              <w:t>项目名称</w:t>
            </w:r>
          </w:p>
        </w:tc>
        <w:tc>
          <w:tcPr>
            <w:tcW w:w="6095" w:type="dxa"/>
            <w:gridSpan w:val="3"/>
            <w:vAlign w:val="center"/>
          </w:tcPr>
          <w:p>
            <w:pPr>
              <w:pStyle w:val="15"/>
            </w:pPr>
            <w:r>
              <w:t>劳务派遣司机工资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48.56</w:t>
            </w:r>
          </w:p>
        </w:tc>
        <w:tc>
          <w:tcPr>
            <w:tcW w:w="2835" w:type="dxa"/>
            <w:vAlign w:val="center"/>
          </w:tcPr>
          <w:p>
            <w:pPr>
              <w:pStyle w:val="13"/>
            </w:pPr>
            <w:r>
              <w:t>其中：财政    资金</w:t>
            </w:r>
          </w:p>
        </w:tc>
        <w:tc>
          <w:tcPr>
            <w:tcW w:w="2551" w:type="dxa"/>
            <w:vAlign w:val="center"/>
          </w:tcPr>
          <w:p>
            <w:pPr>
              <w:pStyle w:val="15"/>
            </w:pPr>
            <w:r>
              <w:t>48.56</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5"/>
            </w:pPr>
            <w:r>
              <w:t>保障全年劳务派遣人员工资保险</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6"/>
            </w:pPr>
            <w:r>
              <w:t>30%</w:t>
            </w:r>
          </w:p>
        </w:tc>
        <w:tc>
          <w:tcPr>
            <w:tcW w:w="2835" w:type="dxa"/>
            <w:vAlign w:val="center"/>
          </w:tcPr>
          <w:p>
            <w:pPr>
              <w:pStyle w:val="16"/>
            </w:pPr>
            <w:r>
              <w:t>50%</w:t>
            </w:r>
          </w:p>
        </w:tc>
        <w:tc>
          <w:tcPr>
            <w:tcW w:w="2551" w:type="dxa"/>
            <w:vAlign w:val="center"/>
          </w:tcPr>
          <w:p>
            <w:pPr>
              <w:pStyle w:val="16"/>
            </w:pPr>
            <w:r>
              <w:t>70%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1.保障全年劳务派遣人员工资保险</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劳务派遣人员工资保险为485561.6元</w:t>
            </w:r>
          </w:p>
        </w:tc>
        <w:tc>
          <w:tcPr>
            <w:tcW w:w="5386" w:type="dxa"/>
            <w:vAlign w:val="center"/>
          </w:tcPr>
          <w:p>
            <w:pPr>
              <w:pStyle w:val="15"/>
            </w:pPr>
            <w:r>
              <w:t>劳务派遣人员工资保险小于等于485561.6元</w:t>
            </w:r>
          </w:p>
        </w:tc>
        <w:tc>
          <w:tcPr>
            <w:tcW w:w="2268" w:type="dxa"/>
            <w:vAlign w:val="center"/>
          </w:tcPr>
          <w:p>
            <w:pPr>
              <w:pStyle w:val="15"/>
            </w:pPr>
            <w:r>
              <w:t>≤100%</w:t>
            </w:r>
          </w:p>
        </w:tc>
        <w:tc>
          <w:tcPr>
            <w:tcW w:w="1276" w:type="dxa"/>
            <w:vAlign w:val="center"/>
          </w:tcPr>
          <w:p>
            <w:pPr>
              <w:pStyle w:val="15"/>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质量指标</w:t>
            </w:r>
          </w:p>
        </w:tc>
        <w:tc>
          <w:tcPr>
            <w:tcW w:w="2835" w:type="dxa"/>
            <w:vAlign w:val="center"/>
          </w:tcPr>
          <w:p>
            <w:pPr>
              <w:pStyle w:val="15"/>
            </w:pPr>
            <w:r>
              <w:t>发放补助人数</w:t>
            </w:r>
          </w:p>
        </w:tc>
        <w:tc>
          <w:tcPr>
            <w:tcW w:w="5386" w:type="dxa"/>
            <w:vAlign w:val="center"/>
          </w:tcPr>
          <w:p>
            <w:pPr>
              <w:pStyle w:val="15"/>
            </w:pPr>
            <w:r>
              <w:t>反映发放或补助人员数量情况</w:t>
            </w:r>
          </w:p>
        </w:tc>
        <w:tc>
          <w:tcPr>
            <w:tcW w:w="2268" w:type="dxa"/>
            <w:vAlign w:val="center"/>
          </w:tcPr>
          <w:p>
            <w:pPr>
              <w:pStyle w:val="15"/>
            </w:pPr>
            <w:r>
              <w:t>≥10个</w:t>
            </w:r>
          </w:p>
        </w:tc>
        <w:tc>
          <w:tcPr>
            <w:tcW w:w="1276" w:type="dxa"/>
            <w:vAlign w:val="center"/>
          </w:tcPr>
          <w:p>
            <w:pPr>
              <w:pStyle w:val="15"/>
            </w:pPr>
            <w:r>
              <w:t>劳务派遣合同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时效指标</w:t>
            </w:r>
          </w:p>
        </w:tc>
        <w:tc>
          <w:tcPr>
            <w:tcW w:w="2835" w:type="dxa"/>
            <w:vAlign w:val="center"/>
          </w:tcPr>
          <w:p>
            <w:pPr>
              <w:pStyle w:val="15"/>
            </w:pPr>
            <w:r>
              <w:t>发放（补助）次数</w:t>
            </w:r>
          </w:p>
        </w:tc>
        <w:tc>
          <w:tcPr>
            <w:tcW w:w="5386" w:type="dxa"/>
            <w:vAlign w:val="center"/>
          </w:tcPr>
          <w:p>
            <w:pPr>
              <w:pStyle w:val="15"/>
            </w:pPr>
            <w:r>
              <w:t>反映发放或补助频次情况</w:t>
            </w:r>
          </w:p>
        </w:tc>
        <w:tc>
          <w:tcPr>
            <w:tcW w:w="2268" w:type="dxa"/>
            <w:vAlign w:val="center"/>
          </w:tcPr>
          <w:p>
            <w:pPr>
              <w:pStyle w:val="15"/>
            </w:pPr>
            <w:r>
              <w:t>≥12次</w:t>
            </w:r>
          </w:p>
        </w:tc>
        <w:tc>
          <w:tcPr>
            <w:tcW w:w="1276" w:type="dxa"/>
            <w:vAlign w:val="center"/>
          </w:tcPr>
          <w:p>
            <w:pPr>
              <w:pStyle w:val="15"/>
            </w:pPr>
            <w:r>
              <w:t>劳务派遣合同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成本指标</w:t>
            </w:r>
          </w:p>
        </w:tc>
        <w:tc>
          <w:tcPr>
            <w:tcW w:w="2835" w:type="dxa"/>
            <w:vAlign w:val="center"/>
          </w:tcPr>
          <w:p>
            <w:pPr>
              <w:pStyle w:val="15"/>
            </w:pPr>
            <w:r>
              <w:t>资金发放（补助）及时性</w:t>
            </w:r>
          </w:p>
        </w:tc>
        <w:tc>
          <w:tcPr>
            <w:tcW w:w="5386" w:type="dxa"/>
            <w:vAlign w:val="center"/>
          </w:tcPr>
          <w:p>
            <w:pPr>
              <w:pStyle w:val="15"/>
            </w:pPr>
            <w:r>
              <w:t>反映资金发放（补助）及时性</w:t>
            </w:r>
          </w:p>
        </w:tc>
        <w:tc>
          <w:tcPr>
            <w:tcW w:w="2268" w:type="dxa"/>
            <w:vAlign w:val="center"/>
          </w:tcPr>
          <w:p>
            <w:pPr>
              <w:pStyle w:val="15"/>
            </w:pPr>
            <w:r>
              <w:t>≥100%</w:t>
            </w:r>
          </w:p>
        </w:tc>
        <w:tc>
          <w:tcPr>
            <w:tcW w:w="1276" w:type="dxa"/>
            <w:vAlign w:val="center"/>
          </w:tcPr>
          <w:p>
            <w:pPr>
              <w:pStyle w:val="15"/>
            </w:pPr>
            <w:r>
              <w:t>劳务派遣合同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增强服务保障能力</w:t>
            </w:r>
          </w:p>
        </w:tc>
        <w:tc>
          <w:tcPr>
            <w:tcW w:w="5386" w:type="dxa"/>
            <w:vAlign w:val="center"/>
          </w:tcPr>
          <w:p>
            <w:pPr>
              <w:pStyle w:val="15"/>
            </w:pPr>
            <w:r>
              <w:t>增强服务保障能力</w:t>
            </w:r>
          </w:p>
        </w:tc>
        <w:tc>
          <w:tcPr>
            <w:tcW w:w="2268" w:type="dxa"/>
            <w:vAlign w:val="center"/>
          </w:tcPr>
          <w:p>
            <w:pPr>
              <w:pStyle w:val="15"/>
            </w:pPr>
            <w:r>
              <w:t>≥90%</w:t>
            </w:r>
          </w:p>
        </w:tc>
        <w:tc>
          <w:tcPr>
            <w:tcW w:w="1276" w:type="dxa"/>
            <w:vAlign w:val="center"/>
          </w:tcPr>
          <w:p>
            <w:pPr>
              <w:pStyle w:val="15"/>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社会效益指标</w:t>
            </w:r>
          </w:p>
        </w:tc>
        <w:tc>
          <w:tcPr>
            <w:tcW w:w="2835" w:type="dxa"/>
            <w:vAlign w:val="center"/>
          </w:tcPr>
          <w:p>
            <w:pPr>
              <w:pStyle w:val="15"/>
            </w:pPr>
            <w:r>
              <w:t>招聘劳务派遣人员增加就业率</w:t>
            </w:r>
          </w:p>
        </w:tc>
        <w:tc>
          <w:tcPr>
            <w:tcW w:w="5386" w:type="dxa"/>
            <w:vAlign w:val="center"/>
          </w:tcPr>
          <w:p>
            <w:pPr>
              <w:pStyle w:val="15"/>
            </w:pPr>
            <w:r>
              <w:t>招聘劳务派遣人员增加就业率</w:t>
            </w:r>
          </w:p>
        </w:tc>
        <w:tc>
          <w:tcPr>
            <w:tcW w:w="2268" w:type="dxa"/>
            <w:vAlign w:val="center"/>
          </w:tcPr>
          <w:p>
            <w:pPr>
              <w:pStyle w:val="15"/>
            </w:pPr>
            <w:r>
              <w:t>≥100%</w:t>
            </w:r>
          </w:p>
        </w:tc>
        <w:tc>
          <w:tcPr>
            <w:tcW w:w="1276" w:type="dxa"/>
            <w:vAlign w:val="center"/>
          </w:tcPr>
          <w:p>
            <w:pPr>
              <w:pStyle w:val="15"/>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生态效益指标</w:t>
            </w:r>
          </w:p>
        </w:tc>
        <w:tc>
          <w:tcPr>
            <w:tcW w:w="2835" w:type="dxa"/>
            <w:vAlign w:val="center"/>
          </w:tcPr>
          <w:p>
            <w:pPr>
              <w:pStyle w:val="15"/>
            </w:pPr>
            <w:r>
              <w:t>高效完成工作量</w:t>
            </w:r>
          </w:p>
        </w:tc>
        <w:tc>
          <w:tcPr>
            <w:tcW w:w="5386" w:type="dxa"/>
            <w:vAlign w:val="center"/>
          </w:tcPr>
          <w:p>
            <w:pPr>
              <w:pStyle w:val="15"/>
            </w:pPr>
            <w:r>
              <w:t>高效完成工作量完成工作</w:t>
            </w:r>
          </w:p>
        </w:tc>
        <w:tc>
          <w:tcPr>
            <w:tcW w:w="2268" w:type="dxa"/>
            <w:vAlign w:val="center"/>
          </w:tcPr>
          <w:p>
            <w:pPr>
              <w:pStyle w:val="15"/>
            </w:pPr>
            <w:r>
              <w:t>≥90%</w:t>
            </w:r>
          </w:p>
        </w:tc>
        <w:tc>
          <w:tcPr>
            <w:tcW w:w="1276" w:type="dxa"/>
            <w:vAlign w:val="center"/>
          </w:tcPr>
          <w:p>
            <w:pPr>
              <w:pStyle w:val="15"/>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可持续影响指标</w:t>
            </w:r>
          </w:p>
        </w:tc>
        <w:tc>
          <w:tcPr>
            <w:tcW w:w="2835" w:type="dxa"/>
            <w:vAlign w:val="center"/>
          </w:tcPr>
          <w:p>
            <w:pPr>
              <w:pStyle w:val="15"/>
            </w:pPr>
            <w:r>
              <w:t>日常出行率</w:t>
            </w:r>
          </w:p>
        </w:tc>
        <w:tc>
          <w:tcPr>
            <w:tcW w:w="5386" w:type="dxa"/>
            <w:vAlign w:val="center"/>
          </w:tcPr>
          <w:p>
            <w:pPr>
              <w:pStyle w:val="15"/>
            </w:pPr>
            <w:r>
              <w:t>日常出行使用司机</w:t>
            </w:r>
          </w:p>
        </w:tc>
        <w:tc>
          <w:tcPr>
            <w:tcW w:w="2268" w:type="dxa"/>
            <w:vAlign w:val="center"/>
          </w:tcPr>
          <w:p>
            <w:pPr>
              <w:pStyle w:val="15"/>
            </w:pPr>
            <w:r>
              <w:t>≥80%</w:t>
            </w:r>
          </w:p>
        </w:tc>
        <w:tc>
          <w:tcPr>
            <w:tcW w:w="1276" w:type="dxa"/>
            <w:vAlign w:val="center"/>
          </w:tcPr>
          <w:p>
            <w:pPr>
              <w:pStyle w:val="15"/>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受益人员满意度</w:t>
            </w:r>
          </w:p>
        </w:tc>
        <w:tc>
          <w:tcPr>
            <w:tcW w:w="5386" w:type="dxa"/>
            <w:vAlign w:val="center"/>
          </w:tcPr>
          <w:p>
            <w:pPr>
              <w:pStyle w:val="15"/>
            </w:pPr>
            <w:r>
              <w:t>反映参加受益人员满意情况</w:t>
            </w:r>
          </w:p>
        </w:tc>
        <w:tc>
          <w:tcPr>
            <w:tcW w:w="2268" w:type="dxa"/>
            <w:vAlign w:val="center"/>
          </w:tcPr>
          <w:p>
            <w:pPr>
              <w:pStyle w:val="15"/>
            </w:pPr>
            <w:r>
              <w:t>≥90%</w:t>
            </w:r>
          </w:p>
        </w:tc>
        <w:tc>
          <w:tcPr>
            <w:tcW w:w="1276" w:type="dxa"/>
            <w:vAlign w:val="center"/>
          </w:tcPr>
          <w:p>
            <w:pPr>
              <w:pStyle w:val="15"/>
            </w:pPr>
            <w:r>
              <w:t>劳务派遣人员签订情况表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8、领导干部健康服务费绩效目标表</w:t>
      </w:r>
    </w:p>
    <w:tbl>
      <w:tblPr>
        <w:tblStyle w:val="8"/>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13052525P000026100119</w:t>
            </w:r>
          </w:p>
        </w:tc>
        <w:tc>
          <w:tcPr>
            <w:tcW w:w="2835" w:type="dxa"/>
            <w:vAlign w:val="center"/>
          </w:tcPr>
          <w:p>
            <w:pPr>
              <w:pStyle w:val="13"/>
            </w:pPr>
            <w:r>
              <w:t>项目名称</w:t>
            </w:r>
          </w:p>
        </w:tc>
        <w:tc>
          <w:tcPr>
            <w:tcW w:w="6095" w:type="dxa"/>
            <w:gridSpan w:val="3"/>
            <w:vAlign w:val="center"/>
          </w:tcPr>
          <w:p>
            <w:pPr>
              <w:pStyle w:val="15"/>
            </w:pPr>
            <w:r>
              <w:t>领导干部健康服务费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5.71</w:t>
            </w:r>
          </w:p>
        </w:tc>
        <w:tc>
          <w:tcPr>
            <w:tcW w:w="2835" w:type="dxa"/>
            <w:vAlign w:val="center"/>
          </w:tcPr>
          <w:p>
            <w:pPr>
              <w:pStyle w:val="13"/>
            </w:pPr>
            <w:r>
              <w:t>其中：财政    资金</w:t>
            </w:r>
          </w:p>
        </w:tc>
        <w:tc>
          <w:tcPr>
            <w:tcW w:w="2551" w:type="dxa"/>
            <w:vAlign w:val="center"/>
          </w:tcPr>
          <w:p>
            <w:pPr>
              <w:pStyle w:val="15"/>
            </w:pPr>
            <w:r>
              <w:t>5.71</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5"/>
            </w:pPr>
            <w:r>
              <w:t>保障领导干部身体健康</w:t>
            </w:r>
            <w:r>
              <w:tab/>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6"/>
            </w:pPr>
            <w:r>
              <w:t>50%</w:t>
            </w:r>
          </w:p>
        </w:tc>
        <w:tc>
          <w:tcPr>
            <w:tcW w:w="2835" w:type="dxa"/>
            <w:vAlign w:val="center"/>
          </w:tcPr>
          <w:p>
            <w:pPr>
              <w:pStyle w:val="16"/>
            </w:pPr>
            <w:r>
              <w:t>100%</w:t>
            </w:r>
          </w:p>
        </w:tc>
        <w:tc>
          <w:tcPr>
            <w:tcW w:w="2551" w:type="dxa"/>
            <w:vAlign w:val="center"/>
          </w:tcPr>
          <w:p>
            <w:pPr>
              <w:pStyle w:val="16"/>
            </w:pPr>
            <w:r>
              <w:t xml:space="preserve"> </w:t>
            </w:r>
          </w:p>
        </w:tc>
        <w:tc>
          <w:tcPr>
            <w:tcW w:w="3544" w:type="dxa"/>
            <w:gridSpan w:val="2"/>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1.保障领导干部身体健康</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体检劳模人数</w:t>
            </w:r>
          </w:p>
        </w:tc>
        <w:tc>
          <w:tcPr>
            <w:tcW w:w="5386" w:type="dxa"/>
            <w:vAlign w:val="center"/>
          </w:tcPr>
          <w:p>
            <w:pPr>
              <w:pStyle w:val="15"/>
            </w:pPr>
            <w:r>
              <w:t>体检劳模人数</w:t>
            </w:r>
          </w:p>
        </w:tc>
        <w:tc>
          <w:tcPr>
            <w:tcW w:w="2268" w:type="dxa"/>
            <w:vAlign w:val="center"/>
          </w:tcPr>
          <w:p>
            <w:pPr>
              <w:pStyle w:val="15"/>
            </w:pPr>
            <w:r>
              <w:t>≥100%</w:t>
            </w:r>
          </w:p>
        </w:tc>
        <w:tc>
          <w:tcPr>
            <w:tcW w:w="1276" w:type="dxa"/>
            <w:vAlign w:val="center"/>
          </w:tcPr>
          <w:p>
            <w:pPr>
              <w:pStyle w:val="15"/>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质量指标</w:t>
            </w:r>
          </w:p>
        </w:tc>
        <w:tc>
          <w:tcPr>
            <w:tcW w:w="2835" w:type="dxa"/>
            <w:vAlign w:val="center"/>
          </w:tcPr>
          <w:p>
            <w:pPr>
              <w:pStyle w:val="15"/>
            </w:pPr>
            <w:r>
              <w:t>体检结果准确率</w:t>
            </w:r>
          </w:p>
        </w:tc>
        <w:tc>
          <w:tcPr>
            <w:tcW w:w="5386" w:type="dxa"/>
            <w:vAlign w:val="center"/>
          </w:tcPr>
          <w:p>
            <w:pPr>
              <w:pStyle w:val="15"/>
            </w:pPr>
            <w:r>
              <w:t>体检结果准确率</w:t>
            </w:r>
          </w:p>
        </w:tc>
        <w:tc>
          <w:tcPr>
            <w:tcW w:w="2268" w:type="dxa"/>
            <w:vAlign w:val="center"/>
          </w:tcPr>
          <w:p>
            <w:pPr>
              <w:pStyle w:val="15"/>
            </w:pPr>
            <w:r>
              <w:t>≥100%</w:t>
            </w:r>
          </w:p>
        </w:tc>
        <w:tc>
          <w:tcPr>
            <w:tcW w:w="1276" w:type="dxa"/>
            <w:vAlign w:val="center"/>
          </w:tcPr>
          <w:p>
            <w:pPr>
              <w:pStyle w:val="15"/>
            </w:pPr>
            <w:r>
              <w:t>体检报告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时效指标</w:t>
            </w:r>
          </w:p>
        </w:tc>
        <w:tc>
          <w:tcPr>
            <w:tcW w:w="2835" w:type="dxa"/>
            <w:vAlign w:val="center"/>
          </w:tcPr>
          <w:p>
            <w:pPr>
              <w:pStyle w:val="15"/>
            </w:pPr>
            <w:r>
              <w:t>体检工作完成是否及时</w:t>
            </w:r>
          </w:p>
        </w:tc>
        <w:tc>
          <w:tcPr>
            <w:tcW w:w="5386" w:type="dxa"/>
            <w:vAlign w:val="center"/>
          </w:tcPr>
          <w:p>
            <w:pPr>
              <w:pStyle w:val="15"/>
            </w:pPr>
            <w:r>
              <w:t>体检工作完成是否及时</w:t>
            </w:r>
          </w:p>
        </w:tc>
        <w:tc>
          <w:tcPr>
            <w:tcW w:w="2268" w:type="dxa"/>
            <w:vAlign w:val="center"/>
          </w:tcPr>
          <w:p>
            <w:pPr>
              <w:pStyle w:val="15"/>
            </w:pPr>
            <w:r>
              <w:t>≥100%</w:t>
            </w:r>
          </w:p>
        </w:tc>
        <w:tc>
          <w:tcPr>
            <w:tcW w:w="1276" w:type="dxa"/>
            <w:vAlign w:val="center"/>
          </w:tcPr>
          <w:p>
            <w:pPr>
              <w:pStyle w:val="15"/>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成本指标</w:t>
            </w:r>
          </w:p>
        </w:tc>
        <w:tc>
          <w:tcPr>
            <w:tcW w:w="2835" w:type="dxa"/>
            <w:vAlign w:val="center"/>
          </w:tcPr>
          <w:p>
            <w:pPr>
              <w:pStyle w:val="15"/>
            </w:pPr>
            <w:r>
              <w:t>劳模体检成本</w:t>
            </w:r>
          </w:p>
        </w:tc>
        <w:tc>
          <w:tcPr>
            <w:tcW w:w="5386" w:type="dxa"/>
            <w:vAlign w:val="center"/>
          </w:tcPr>
          <w:p>
            <w:pPr>
              <w:pStyle w:val="15"/>
            </w:pPr>
            <w:r>
              <w:t>劳模体检成本</w:t>
            </w:r>
          </w:p>
        </w:tc>
        <w:tc>
          <w:tcPr>
            <w:tcW w:w="2268" w:type="dxa"/>
            <w:vAlign w:val="center"/>
          </w:tcPr>
          <w:p>
            <w:pPr>
              <w:pStyle w:val="15"/>
            </w:pPr>
            <w:r>
              <w:t>≤100%</w:t>
            </w:r>
          </w:p>
        </w:tc>
        <w:tc>
          <w:tcPr>
            <w:tcW w:w="1276" w:type="dxa"/>
            <w:vAlign w:val="center"/>
          </w:tcPr>
          <w:p>
            <w:pPr>
              <w:pStyle w:val="15"/>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资金使用合规性</w:t>
            </w:r>
          </w:p>
        </w:tc>
        <w:tc>
          <w:tcPr>
            <w:tcW w:w="5386" w:type="dxa"/>
            <w:vAlign w:val="center"/>
          </w:tcPr>
          <w:p>
            <w:pPr>
              <w:pStyle w:val="15"/>
            </w:pPr>
            <w:r>
              <w:t>资金使用合规性</w:t>
            </w:r>
          </w:p>
        </w:tc>
        <w:tc>
          <w:tcPr>
            <w:tcW w:w="2268" w:type="dxa"/>
            <w:vAlign w:val="center"/>
          </w:tcPr>
          <w:p>
            <w:pPr>
              <w:pStyle w:val="15"/>
            </w:pPr>
            <w:r>
              <w:t>≥100%</w:t>
            </w:r>
          </w:p>
        </w:tc>
        <w:tc>
          <w:tcPr>
            <w:tcW w:w="1276" w:type="dxa"/>
            <w:vAlign w:val="center"/>
          </w:tcPr>
          <w:p>
            <w:pPr>
              <w:pStyle w:val="15"/>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社会效益指标</w:t>
            </w:r>
          </w:p>
        </w:tc>
        <w:tc>
          <w:tcPr>
            <w:tcW w:w="2835" w:type="dxa"/>
            <w:vAlign w:val="center"/>
          </w:tcPr>
          <w:p>
            <w:pPr>
              <w:pStyle w:val="15"/>
            </w:pPr>
            <w:r>
              <w:t xml:space="preserve"> 确诊领导救治率</w:t>
            </w:r>
          </w:p>
        </w:tc>
        <w:tc>
          <w:tcPr>
            <w:tcW w:w="5386" w:type="dxa"/>
            <w:vAlign w:val="center"/>
          </w:tcPr>
          <w:p>
            <w:pPr>
              <w:pStyle w:val="15"/>
            </w:pPr>
            <w:r>
              <w:t xml:space="preserve"> 确诊领导救治率</w:t>
            </w:r>
          </w:p>
        </w:tc>
        <w:tc>
          <w:tcPr>
            <w:tcW w:w="2268" w:type="dxa"/>
            <w:vAlign w:val="center"/>
          </w:tcPr>
          <w:p>
            <w:pPr>
              <w:pStyle w:val="15"/>
            </w:pPr>
            <w:r>
              <w:t>≥100%</w:t>
            </w:r>
          </w:p>
        </w:tc>
        <w:tc>
          <w:tcPr>
            <w:tcW w:w="1276" w:type="dxa"/>
            <w:vAlign w:val="center"/>
          </w:tcPr>
          <w:p>
            <w:pPr>
              <w:pStyle w:val="15"/>
            </w:pPr>
            <w:r>
              <w:t>体检报告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生态效益指标</w:t>
            </w:r>
          </w:p>
        </w:tc>
        <w:tc>
          <w:tcPr>
            <w:tcW w:w="2835" w:type="dxa"/>
            <w:vAlign w:val="center"/>
          </w:tcPr>
          <w:p>
            <w:pPr>
              <w:pStyle w:val="15"/>
            </w:pPr>
            <w:r>
              <w:t>制度执行有效性</w:t>
            </w:r>
          </w:p>
        </w:tc>
        <w:tc>
          <w:tcPr>
            <w:tcW w:w="5386" w:type="dxa"/>
            <w:vAlign w:val="center"/>
          </w:tcPr>
          <w:p>
            <w:pPr>
              <w:pStyle w:val="15"/>
            </w:pPr>
            <w:r>
              <w:t>制度执行有效性</w:t>
            </w:r>
          </w:p>
        </w:tc>
        <w:tc>
          <w:tcPr>
            <w:tcW w:w="2268" w:type="dxa"/>
            <w:vAlign w:val="center"/>
          </w:tcPr>
          <w:p>
            <w:pPr>
              <w:pStyle w:val="15"/>
            </w:pPr>
            <w:r>
              <w:t>≥100%</w:t>
            </w:r>
          </w:p>
        </w:tc>
        <w:tc>
          <w:tcPr>
            <w:tcW w:w="1276" w:type="dxa"/>
            <w:vAlign w:val="center"/>
          </w:tcPr>
          <w:p>
            <w:pPr>
              <w:pStyle w:val="15"/>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可持续影响指标</w:t>
            </w:r>
          </w:p>
        </w:tc>
        <w:tc>
          <w:tcPr>
            <w:tcW w:w="2835" w:type="dxa"/>
            <w:vAlign w:val="center"/>
          </w:tcPr>
          <w:p>
            <w:pPr>
              <w:pStyle w:val="15"/>
            </w:pPr>
            <w:r>
              <w:t>领导健康有利于工作进展</w:t>
            </w:r>
          </w:p>
        </w:tc>
        <w:tc>
          <w:tcPr>
            <w:tcW w:w="5386" w:type="dxa"/>
            <w:vAlign w:val="center"/>
          </w:tcPr>
          <w:p>
            <w:pPr>
              <w:pStyle w:val="15"/>
            </w:pPr>
            <w:r>
              <w:t>领导健康有利于工作进展程度</w:t>
            </w:r>
          </w:p>
        </w:tc>
        <w:tc>
          <w:tcPr>
            <w:tcW w:w="2268" w:type="dxa"/>
            <w:vAlign w:val="center"/>
          </w:tcPr>
          <w:p>
            <w:pPr>
              <w:pStyle w:val="15"/>
            </w:pPr>
            <w:r>
              <w:t>≥100%</w:t>
            </w:r>
          </w:p>
        </w:tc>
        <w:tc>
          <w:tcPr>
            <w:tcW w:w="1276" w:type="dxa"/>
            <w:vAlign w:val="center"/>
          </w:tcPr>
          <w:p>
            <w:pPr>
              <w:pStyle w:val="15"/>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领导满意度</w:t>
            </w:r>
          </w:p>
        </w:tc>
        <w:tc>
          <w:tcPr>
            <w:tcW w:w="5386" w:type="dxa"/>
            <w:vAlign w:val="center"/>
          </w:tcPr>
          <w:p>
            <w:pPr>
              <w:pStyle w:val="15"/>
            </w:pPr>
            <w:r>
              <w:t>领导满意度</w:t>
            </w:r>
          </w:p>
        </w:tc>
        <w:tc>
          <w:tcPr>
            <w:tcW w:w="2268" w:type="dxa"/>
            <w:vAlign w:val="center"/>
          </w:tcPr>
          <w:p>
            <w:pPr>
              <w:pStyle w:val="15"/>
            </w:pPr>
            <w:r>
              <w:t>≥90%</w:t>
            </w:r>
          </w:p>
        </w:tc>
        <w:tc>
          <w:tcPr>
            <w:tcW w:w="1276" w:type="dxa"/>
            <w:vAlign w:val="center"/>
          </w:tcPr>
          <w:p>
            <w:pPr>
              <w:pStyle w:val="15"/>
            </w:pPr>
            <w:r>
              <w:t>领导体检反馈表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9、食堂服务费绩效目标表</w:t>
      </w:r>
    </w:p>
    <w:tbl>
      <w:tblPr>
        <w:tblStyle w:val="8"/>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13052525P00002610010M</w:t>
            </w:r>
          </w:p>
        </w:tc>
        <w:tc>
          <w:tcPr>
            <w:tcW w:w="2835" w:type="dxa"/>
            <w:vAlign w:val="center"/>
          </w:tcPr>
          <w:p>
            <w:pPr>
              <w:pStyle w:val="13"/>
            </w:pPr>
            <w:r>
              <w:t>项目名称</w:t>
            </w:r>
          </w:p>
        </w:tc>
        <w:tc>
          <w:tcPr>
            <w:tcW w:w="6095" w:type="dxa"/>
            <w:gridSpan w:val="3"/>
            <w:vAlign w:val="center"/>
          </w:tcPr>
          <w:p>
            <w:pPr>
              <w:pStyle w:val="15"/>
            </w:pPr>
            <w:r>
              <w:t>食堂服务费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120.00</w:t>
            </w:r>
          </w:p>
        </w:tc>
        <w:tc>
          <w:tcPr>
            <w:tcW w:w="2835" w:type="dxa"/>
            <w:vAlign w:val="center"/>
          </w:tcPr>
          <w:p>
            <w:pPr>
              <w:pStyle w:val="13"/>
            </w:pPr>
            <w:r>
              <w:t>其中：财政    资金</w:t>
            </w:r>
          </w:p>
        </w:tc>
        <w:tc>
          <w:tcPr>
            <w:tcW w:w="2551" w:type="dxa"/>
            <w:vAlign w:val="center"/>
          </w:tcPr>
          <w:p>
            <w:pPr>
              <w:pStyle w:val="15"/>
            </w:pPr>
            <w:r>
              <w:t>120.00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5"/>
            </w:pPr>
            <w:r>
              <w:t>保障大院人员就餐</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6"/>
            </w:pPr>
            <w:r>
              <w:t>30%</w:t>
            </w:r>
          </w:p>
        </w:tc>
        <w:tc>
          <w:tcPr>
            <w:tcW w:w="2835" w:type="dxa"/>
            <w:vAlign w:val="center"/>
          </w:tcPr>
          <w:p>
            <w:pPr>
              <w:pStyle w:val="16"/>
            </w:pPr>
            <w:r>
              <w:t>50%</w:t>
            </w:r>
          </w:p>
        </w:tc>
        <w:tc>
          <w:tcPr>
            <w:tcW w:w="2551" w:type="dxa"/>
            <w:vAlign w:val="center"/>
          </w:tcPr>
          <w:p>
            <w:pPr>
              <w:pStyle w:val="16"/>
            </w:pPr>
            <w:r>
              <w:t>70%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1.政府县委大院人员就餐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每日供养菜品种类</w:t>
            </w:r>
          </w:p>
        </w:tc>
        <w:tc>
          <w:tcPr>
            <w:tcW w:w="5386" w:type="dxa"/>
            <w:vAlign w:val="center"/>
          </w:tcPr>
          <w:p>
            <w:pPr>
              <w:pStyle w:val="15"/>
            </w:pPr>
            <w:r>
              <w:t>每日供养菜品种类</w:t>
            </w:r>
          </w:p>
        </w:tc>
        <w:tc>
          <w:tcPr>
            <w:tcW w:w="2268" w:type="dxa"/>
            <w:vAlign w:val="center"/>
          </w:tcPr>
          <w:p>
            <w:pPr>
              <w:pStyle w:val="15"/>
            </w:pPr>
            <w:r>
              <w:t>≥15种</w:t>
            </w:r>
          </w:p>
        </w:tc>
        <w:tc>
          <w:tcPr>
            <w:tcW w:w="1276" w:type="dxa"/>
            <w:vAlign w:val="center"/>
          </w:tcPr>
          <w:p>
            <w:pPr>
              <w:pStyle w:val="15"/>
            </w:pPr>
            <w:r>
              <w:t>按合同标准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质量指标</w:t>
            </w:r>
          </w:p>
        </w:tc>
        <w:tc>
          <w:tcPr>
            <w:tcW w:w="2835" w:type="dxa"/>
            <w:vAlign w:val="center"/>
          </w:tcPr>
          <w:p>
            <w:pPr>
              <w:pStyle w:val="15"/>
            </w:pPr>
            <w:r>
              <w:t>食品抽检合格率</w:t>
            </w:r>
          </w:p>
        </w:tc>
        <w:tc>
          <w:tcPr>
            <w:tcW w:w="5386" w:type="dxa"/>
            <w:vAlign w:val="center"/>
          </w:tcPr>
          <w:p>
            <w:pPr>
              <w:pStyle w:val="15"/>
            </w:pPr>
            <w:r>
              <w:t>食品抽检合格率</w:t>
            </w:r>
          </w:p>
        </w:tc>
        <w:tc>
          <w:tcPr>
            <w:tcW w:w="2268" w:type="dxa"/>
            <w:vAlign w:val="center"/>
          </w:tcPr>
          <w:p>
            <w:pPr>
              <w:pStyle w:val="15"/>
            </w:pPr>
            <w:r>
              <w:t>≥95%</w:t>
            </w:r>
          </w:p>
        </w:tc>
        <w:tc>
          <w:tcPr>
            <w:tcW w:w="1276" w:type="dxa"/>
            <w:vAlign w:val="center"/>
          </w:tcPr>
          <w:p>
            <w:pPr>
              <w:pStyle w:val="15"/>
            </w:pPr>
            <w:r>
              <w:t>检验部门出具证明</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时效指标</w:t>
            </w:r>
          </w:p>
        </w:tc>
        <w:tc>
          <w:tcPr>
            <w:tcW w:w="2835" w:type="dxa"/>
            <w:vAlign w:val="center"/>
          </w:tcPr>
          <w:p>
            <w:pPr>
              <w:pStyle w:val="15"/>
            </w:pPr>
            <w:r>
              <w:t>设备设施完好率</w:t>
            </w:r>
          </w:p>
        </w:tc>
        <w:tc>
          <w:tcPr>
            <w:tcW w:w="5386" w:type="dxa"/>
            <w:vAlign w:val="center"/>
          </w:tcPr>
          <w:p>
            <w:pPr>
              <w:pStyle w:val="15"/>
            </w:pPr>
            <w:r>
              <w:t>设备设施完好率大于等于80%</w:t>
            </w:r>
          </w:p>
        </w:tc>
        <w:tc>
          <w:tcPr>
            <w:tcW w:w="2268" w:type="dxa"/>
            <w:vAlign w:val="center"/>
          </w:tcPr>
          <w:p>
            <w:pPr>
              <w:pStyle w:val="15"/>
            </w:pPr>
            <w:r>
              <w:t>≥80%</w:t>
            </w:r>
          </w:p>
        </w:tc>
        <w:tc>
          <w:tcPr>
            <w:tcW w:w="1276" w:type="dxa"/>
            <w:vAlign w:val="center"/>
          </w:tcPr>
          <w:p>
            <w:pPr>
              <w:pStyle w:val="15"/>
            </w:pPr>
            <w:r>
              <w:t>按合同标准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成本指标</w:t>
            </w:r>
          </w:p>
        </w:tc>
        <w:tc>
          <w:tcPr>
            <w:tcW w:w="2835" w:type="dxa"/>
            <w:vAlign w:val="center"/>
          </w:tcPr>
          <w:p>
            <w:pPr>
              <w:pStyle w:val="15"/>
            </w:pPr>
            <w:r>
              <w:t>全年指标花费</w:t>
            </w:r>
          </w:p>
        </w:tc>
        <w:tc>
          <w:tcPr>
            <w:tcW w:w="5386" w:type="dxa"/>
            <w:vAlign w:val="center"/>
          </w:tcPr>
          <w:p>
            <w:pPr>
              <w:pStyle w:val="15"/>
            </w:pPr>
            <w:r>
              <w:t>全年指标花费小于等于</w:t>
            </w:r>
          </w:p>
        </w:tc>
        <w:tc>
          <w:tcPr>
            <w:tcW w:w="2268" w:type="dxa"/>
            <w:vAlign w:val="center"/>
          </w:tcPr>
          <w:p>
            <w:pPr>
              <w:pStyle w:val="15"/>
            </w:pPr>
            <w:r>
              <w:t>≤100%</w:t>
            </w:r>
          </w:p>
        </w:tc>
        <w:tc>
          <w:tcPr>
            <w:tcW w:w="1276" w:type="dxa"/>
            <w:vAlign w:val="center"/>
          </w:tcPr>
          <w:p>
            <w:pPr>
              <w:pStyle w:val="15"/>
            </w:pPr>
            <w:r>
              <w:t>结算金额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卫生清洁达标率</w:t>
            </w:r>
          </w:p>
        </w:tc>
        <w:tc>
          <w:tcPr>
            <w:tcW w:w="5386" w:type="dxa"/>
            <w:vAlign w:val="center"/>
          </w:tcPr>
          <w:p>
            <w:pPr>
              <w:pStyle w:val="15"/>
            </w:pPr>
            <w:r>
              <w:t>考核期内卫生达标90%</w:t>
            </w:r>
          </w:p>
        </w:tc>
        <w:tc>
          <w:tcPr>
            <w:tcW w:w="2268" w:type="dxa"/>
            <w:vAlign w:val="center"/>
          </w:tcPr>
          <w:p>
            <w:pPr>
              <w:pStyle w:val="15"/>
            </w:pPr>
            <w:r>
              <w:t>≥90%</w:t>
            </w:r>
          </w:p>
        </w:tc>
        <w:tc>
          <w:tcPr>
            <w:tcW w:w="1276" w:type="dxa"/>
            <w:vAlign w:val="center"/>
          </w:tcPr>
          <w:p>
            <w:pPr>
              <w:pStyle w:val="15"/>
            </w:pPr>
            <w:r>
              <w:t>检查报告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社会效益指标</w:t>
            </w:r>
          </w:p>
        </w:tc>
        <w:tc>
          <w:tcPr>
            <w:tcW w:w="2835" w:type="dxa"/>
            <w:vAlign w:val="center"/>
          </w:tcPr>
          <w:p>
            <w:pPr>
              <w:pStyle w:val="15"/>
            </w:pPr>
            <w:r>
              <w:t>经营GOP率</w:t>
            </w:r>
          </w:p>
        </w:tc>
        <w:tc>
          <w:tcPr>
            <w:tcW w:w="5386" w:type="dxa"/>
            <w:vAlign w:val="center"/>
          </w:tcPr>
          <w:p>
            <w:pPr>
              <w:pStyle w:val="15"/>
            </w:pPr>
            <w:r>
              <w:t>经营GOP大于等于90%</w:t>
            </w:r>
          </w:p>
        </w:tc>
        <w:tc>
          <w:tcPr>
            <w:tcW w:w="2268" w:type="dxa"/>
            <w:vAlign w:val="center"/>
          </w:tcPr>
          <w:p>
            <w:pPr>
              <w:pStyle w:val="15"/>
            </w:pPr>
            <w:r>
              <w:t>≥90%</w:t>
            </w:r>
          </w:p>
        </w:tc>
        <w:tc>
          <w:tcPr>
            <w:tcW w:w="1276" w:type="dxa"/>
            <w:vAlign w:val="center"/>
          </w:tcPr>
          <w:p>
            <w:pPr>
              <w:pStyle w:val="15"/>
            </w:pPr>
            <w:r>
              <w:t>按合同标准</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生态效益指标</w:t>
            </w:r>
          </w:p>
        </w:tc>
        <w:tc>
          <w:tcPr>
            <w:tcW w:w="2835" w:type="dxa"/>
            <w:vAlign w:val="center"/>
          </w:tcPr>
          <w:p>
            <w:pPr>
              <w:pStyle w:val="15"/>
            </w:pPr>
            <w:r>
              <w:t>经营成本节约率</w:t>
            </w:r>
          </w:p>
        </w:tc>
        <w:tc>
          <w:tcPr>
            <w:tcW w:w="5386" w:type="dxa"/>
            <w:vAlign w:val="center"/>
          </w:tcPr>
          <w:p>
            <w:pPr>
              <w:pStyle w:val="15"/>
            </w:pPr>
            <w:r>
              <w:t>经营成本节约粮食率</w:t>
            </w:r>
          </w:p>
        </w:tc>
        <w:tc>
          <w:tcPr>
            <w:tcW w:w="2268" w:type="dxa"/>
            <w:vAlign w:val="center"/>
          </w:tcPr>
          <w:p>
            <w:pPr>
              <w:pStyle w:val="15"/>
            </w:pPr>
            <w:r>
              <w:t>≥100%</w:t>
            </w:r>
          </w:p>
        </w:tc>
        <w:tc>
          <w:tcPr>
            <w:tcW w:w="1276" w:type="dxa"/>
            <w:vAlign w:val="center"/>
          </w:tcPr>
          <w:p>
            <w:pPr>
              <w:pStyle w:val="15"/>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可持续影响指标</w:t>
            </w:r>
          </w:p>
        </w:tc>
        <w:tc>
          <w:tcPr>
            <w:tcW w:w="2835" w:type="dxa"/>
            <w:vAlign w:val="center"/>
          </w:tcPr>
          <w:p>
            <w:pPr>
              <w:pStyle w:val="15"/>
            </w:pPr>
            <w:r>
              <w:t>饭菜投诉率</w:t>
            </w:r>
          </w:p>
        </w:tc>
        <w:tc>
          <w:tcPr>
            <w:tcW w:w="5386" w:type="dxa"/>
            <w:vAlign w:val="center"/>
          </w:tcPr>
          <w:p>
            <w:pPr>
              <w:pStyle w:val="15"/>
            </w:pPr>
            <w:r>
              <w:t>饭菜投诉率小于等于80%</w:t>
            </w:r>
          </w:p>
        </w:tc>
        <w:tc>
          <w:tcPr>
            <w:tcW w:w="2268" w:type="dxa"/>
            <w:vAlign w:val="center"/>
          </w:tcPr>
          <w:p>
            <w:pPr>
              <w:pStyle w:val="15"/>
            </w:pPr>
            <w:r>
              <w:t>≤80%</w:t>
            </w:r>
          </w:p>
        </w:tc>
        <w:tc>
          <w:tcPr>
            <w:tcW w:w="1276" w:type="dxa"/>
            <w:vAlign w:val="center"/>
          </w:tcPr>
          <w:p>
            <w:pPr>
              <w:pStyle w:val="15"/>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人员就餐满意度</w:t>
            </w:r>
          </w:p>
        </w:tc>
        <w:tc>
          <w:tcPr>
            <w:tcW w:w="2268" w:type="dxa"/>
            <w:vAlign w:val="center"/>
          </w:tcPr>
          <w:p>
            <w:pPr>
              <w:pStyle w:val="15"/>
            </w:pPr>
            <w:r>
              <w:t>≥90%</w:t>
            </w:r>
          </w:p>
        </w:tc>
        <w:tc>
          <w:tcPr>
            <w:tcW w:w="1276" w:type="dxa"/>
            <w:vAlign w:val="center"/>
          </w:tcPr>
          <w:p>
            <w:pPr>
              <w:pStyle w:val="15"/>
            </w:pPr>
            <w:r>
              <w:t>年度考核</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10、退役军人岗位补贴绩效目标表</w:t>
      </w:r>
    </w:p>
    <w:tbl>
      <w:tblPr>
        <w:tblStyle w:val="8"/>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13052525P000039100029</w:t>
            </w:r>
          </w:p>
        </w:tc>
        <w:tc>
          <w:tcPr>
            <w:tcW w:w="2835" w:type="dxa"/>
            <w:vAlign w:val="center"/>
          </w:tcPr>
          <w:p>
            <w:pPr>
              <w:pStyle w:val="13"/>
            </w:pPr>
            <w:r>
              <w:t>项目名称</w:t>
            </w:r>
          </w:p>
        </w:tc>
        <w:tc>
          <w:tcPr>
            <w:tcW w:w="6095" w:type="dxa"/>
            <w:gridSpan w:val="3"/>
            <w:vAlign w:val="center"/>
          </w:tcPr>
          <w:p>
            <w:pPr>
              <w:pStyle w:val="15"/>
            </w:pPr>
            <w:r>
              <w:t>退役军人岗位补贴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11.14</w:t>
            </w:r>
          </w:p>
        </w:tc>
        <w:tc>
          <w:tcPr>
            <w:tcW w:w="2835" w:type="dxa"/>
            <w:vAlign w:val="center"/>
          </w:tcPr>
          <w:p>
            <w:pPr>
              <w:pStyle w:val="13"/>
            </w:pPr>
            <w:r>
              <w:t>其中：财政    资金</w:t>
            </w:r>
          </w:p>
        </w:tc>
        <w:tc>
          <w:tcPr>
            <w:tcW w:w="2551" w:type="dxa"/>
            <w:vAlign w:val="center"/>
          </w:tcPr>
          <w:p>
            <w:pPr>
              <w:pStyle w:val="15"/>
            </w:pPr>
            <w:r>
              <w:t>11.14</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5"/>
            </w:pPr>
            <w:r>
              <w:t>3名退役军人岗位补贴</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6"/>
            </w:pPr>
            <w:r>
              <w:t>20%</w:t>
            </w:r>
          </w:p>
        </w:tc>
        <w:tc>
          <w:tcPr>
            <w:tcW w:w="2835" w:type="dxa"/>
            <w:vAlign w:val="center"/>
          </w:tcPr>
          <w:p>
            <w:pPr>
              <w:pStyle w:val="16"/>
            </w:pPr>
            <w:r>
              <w:t>40%</w:t>
            </w:r>
          </w:p>
        </w:tc>
        <w:tc>
          <w:tcPr>
            <w:tcW w:w="2551" w:type="dxa"/>
            <w:vAlign w:val="center"/>
          </w:tcPr>
          <w:p>
            <w:pPr>
              <w:pStyle w:val="16"/>
            </w:pPr>
            <w:r>
              <w:t>60%</w:t>
            </w:r>
          </w:p>
        </w:tc>
        <w:tc>
          <w:tcPr>
            <w:tcW w:w="3544" w:type="dxa"/>
            <w:gridSpan w:val="2"/>
            <w:vAlign w:val="center"/>
          </w:tcPr>
          <w:p>
            <w:pPr>
              <w:pStyle w:val="16"/>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1.保证机关大院卫生情况</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发放补助人数</w:t>
            </w:r>
          </w:p>
        </w:tc>
        <w:tc>
          <w:tcPr>
            <w:tcW w:w="5386" w:type="dxa"/>
            <w:vAlign w:val="center"/>
          </w:tcPr>
          <w:p>
            <w:pPr>
              <w:pStyle w:val="15"/>
            </w:pPr>
            <w:r>
              <w:t>反映发放或补助人员数量情况</w:t>
            </w:r>
          </w:p>
        </w:tc>
        <w:tc>
          <w:tcPr>
            <w:tcW w:w="2268" w:type="dxa"/>
            <w:vAlign w:val="center"/>
          </w:tcPr>
          <w:p>
            <w:pPr>
              <w:pStyle w:val="15"/>
            </w:pPr>
            <w:r>
              <w:t>3人</w:t>
            </w:r>
          </w:p>
        </w:tc>
        <w:tc>
          <w:tcPr>
            <w:tcW w:w="1276" w:type="dxa"/>
            <w:vAlign w:val="center"/>
          </w:tcPr>
          <w:p>
            <w:pPr>
              <w:pStyle w:val="15"/>
            </w:pPr>
            <w:r>
              <w:t>签订的合同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质量指标</w:t>
            </w:r>
          </w:p>
        </w:tc>
        <w:tc>
          <w:tcPr>
            <w:tcW w:w="2835" w:type="dxa"/>
            <w:vAlign w:val="center"/>
          </w:tcPr>
          <w:p>
            <w:pPr>
              <w:pStyle w:val="15"/>
            </w:pPr>
            <w:r>
              <w:t>发放（补助）次数</w:t>
            </w:r>
          </w:p>
        </w:tc>
        <w:tc>
          <w:tcPr>
            <w:tcW w:w="5386" w:type="dxa"/>
            <w:vAlign w:val="center"/>
          </w:tcPr>
          <w:p>
            <w:pPr>
              <w:pStyle w:val="15"/>
            </w:pPr>
            <w:r>
              <w:t>反映发放或补助频次情况</w:t>
            </w:r>
          </w:p>
        </w:tc>
        <w:tc>
          <w:tcPr>
            <w:tcW w:w="2268" w:type="dxa"/>
            <w:vAlign w:val="center"/>
          </w:tcPr>
          <w:p>
            <w:pPr>
              <w:pStyle w:val="15"/>
            </w:pPr>
            <w:r>
              <w:t>12次</w:t>
            </w:r>
          </w:p>
        </w:tc>
        <w:tc>
          <w:tcPr>
            <w:tcW w:w="1276" w:type="dxa"/>
            <w:vAlign w:val="center"/>
          </w:tcPr>
          <w:p>
            <w:pPr>
              <w:pStyle w:val="15"/>
            </w:pPr>
            <w:r>
              <w:t>签订的合同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时效指标</w:t>
            </w:r>
          </w:p>
        </w:tc>
        <w:tc>
          <w:tcPr>
            <w:tcW w:w="2835" w:type="dxa"/>
            <w:vAlign w:val="center"/>
          </w:tcPr>
          <w:p>
            <w:pPr>
              <w:pStyle w:val="15"/>
            </w:pPr>
            <w:r>
              <w:t>资金发放（补助）及时性</w:t>
            </w:r>
          </w:p>
        </w:tc>
        <w:tc>
          <w:tcPr>
            <w:tcW w:w="5386" w:type="dxa"/>
            <w:vAlign w:val="center"/>
          </w:tcPr>
          <w:p>
            <w:pPr>
              <w:pStyle w:val="15"/>
            </w:pPr>
            <w:r>
              <w:t>反映资金发放（补助）及时性</w:t>
            </w:r>
          </w:p>
        </w:tc>
        <w:tc>
          <w:tcPr>
            <w:tcW w:w="2268" w:type="dxa"/>
            <w:vAlign w:val="center"/>
          </w:tcPr>
          <w:p>
            <w:pPr>
              <w:pStyle w:val="15"/>
            </w:pPr>
            <w:r>
              <w:t>≥100%</w:t>
            </w:r>
          </w:p>
        </w:tc>
        <w:tc>
          <w:tcPr>
            <w:tcW w:w="1276" w:type="dxa"/>
            <w:vAlign w:val="center"/>
          </w:tcPr>
          <w:p>
            <w:pPr>
              <w:pStyle w:val="15"/>
            </w:pPr>
            <w:r>
              <w:t>投诉率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成本指标</w:t>
            </w:r>
          </w:p>
        </w:tc>
        <w:tc>
          <w:tcPr>
            <w:tcW w:w="2835" w:type="dxa"/>
            <w:vAlign w:val="center"/>
          </w:tcPr>
          <w:p>
            <w:pPr>
              <w:pStyle w:val="15"/>
            </w:pPr>
            <w:r>
              <w:t>人员工资保险小于等于111356.28元</w:t>
            </w:r>
          </w:p>
        </w:tc>
        <w:tc>
          <w:tcPr>
            <w:tcW w:w="5386" w:type="dxa"/>
            <w:vAlign w:val="center"/>
          </w:tcPr>
          <w:p>
            <w:pPr>
              <w:pStyle w:val="15"/>
            </w:pPr>
            <w:r>
              <w:t>人员工资保险小于等于111356.28元</w:t>
            </w:r>
          </w:p>
        </w:tc>
        <w:tc>
          <w:tcPr>
            <w:tcW w:w="2268" w:type="dxa"/>
            <w:vAlign w:val="center"/>
          </w:tcPr>
          <w:p>
            <w:pPr>
              <w:pStyle w:val="15"/>
            </w:pPr>
            <w:r>
              <w:t>≤100%</w:t>
            </w:r>
          </w:p>
        </w:tc>
        <w:tc>
          <w:tcPr>
            <w:tcW w:w="1276" w:type="dxa"/>
            <w:vAlign w:val="center"/>
          </w:tcPr>
          <w:p>
            <w:pPr>
              <w:pStyle w:val="15"/>
            </w:pPr>
            <w:r>
              <w:t>年初预算</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招聘退役军人人员增加就业率</w:t>
            </w:r>
          </w:p>
        </w:tc>
        <w:tc>
          <w:tcPr>
            <w:tcW w:w="5386" w:type="dxa"/>
            <w:vAlign w:val="center"/>
          </w:tcPr>
          <w:p>
            <w:pPr>
              <w:pStyle w:val="15"/>
            </w:pPr>
            <w:r>
              <w:t>招聘退役军人人员增加就业率</w:t>
            </w:r>
          </w:p>
        </w:tc>
        <w:tc>
          <w:tcPr>
            <w:tcW w:w="2268" w:type="dxa"/>
            <w:vAlign w:val="center"/>
          </w:tcPr>
          <w:p>
            <w:pPr>
              <w:pStyle w:val="15"/>
            </w:pPr>
            <w:r>
              <w:t>≥10%</w:t>
            </w:r>
          </w:p>
        </w:tc>
        <w:tc>
          <w:tcPr>
            <w:tcW w:w="1276" w:type="dxa"/>
            <w:vAlign w:val="center"/>
          </w:tcPr>
          <w:p>
            <w:pPr>
              <w:pStyle w:val="15"/>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社会效益指标</w:t>
            </w:r>
          </w:p>
        </w:tc>
        <w:tc>
          <w:tcPr>
            <w:tcW w:w="2835" w:type="dxa"/>
            <w:vAlign w:val="center"/>
          </w:tcPr>
          <w:p>
            <w:pPr>
              <w:pStyle w:val="15"/>
            </w:pPr>
            <w:r>
              <w:t>招聘退役军人人员增加就业率</w:t>
            </w:r>
          </w:p>
        </w:tc>
        <w:tc>
          <w:tcPr>
            <w:tcW w:w="5386" w:type="dxa"/>
            <w:vAlign w:val="center"/>
          </w:tcPr>
          <w:p>
            <w:pPr>
              <w:pStyle w:val="15"/>
            </w:pPr>
            <w:r>
              <w:t>招聘退役军人人员增加就业率</w:t>
            </w:r>
          </w:p>
        </w:tc>
        <w:tc>
          <w:tcPr>
            <w:tcW w:w="2268" w:type="dxa"/>
            <w:vAlign w:val="center"/>
          </w:tcPr>
          <w:p>
            <w:pPr>
              <w:pStyle w:val="15"/>
            </w:pPr>
            <w:r>
              <w:t>≥10%</w:t>
            </w:r>
          </w:p>
        </w:tc>
        <w:tc>
          <w:tcPr>
            <w:tcW w:w="1276" w:type="dxa"/>
            <w:vAlign w:val="center"/>
          </w:tcPr>
          <w:p>
            <w:pPr>
              <w:pStyle w:val="15"/>
            </w:pPr>
            <w:r>
              <w:t>领导批示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生态效益指标</w:t>
            </w:r>
          </w:p>
        </w:tc>
        <w:tc>
          <w:tcPr>
            <w:tcW w:w="2835" w:type="dxa"/>
            <w:vAlign w:val="center"/>
          </w:tcPr>
          <w:p>
            <w:pPr>
              <w:pStyle w:val="15"/>
            </w:pPr>
            <w:r>
              <w:t>高效完成工作量</w:t>
            </w:r>
          </w:p>
        </w:tc>
        <w:tc>
          <w:tcPr>
            <w:tcW w:w="5386" w:type="dxa"/>
            <w:vAlign w:val="center"/>
          </w:tcPr>
          <w:p>
            <w:pPr>
              <w:pStyle w:val="15"/>
            </w:pPr>
            <w:r>
              <w:t>高效完成工作量完成工作</w:t>
            </w:r>
          </w:p>
        </w:tc>
        <w:tc>
          <w:tcPr>
            <w:tcW w:w="2268" w:type="dxa"/>
            <w:vAlign w:val="center"/>
          </w:tcPr>
          <w:p>
            <w:pPr>
              <w:pStyle w:val="15"/>
            </w:pPr>
            <w:r>
              <w:t>≥90%</w:t>
            </w:r>
          </w:p>
        </w:tc>
        <w:tc>
          <w:tcPr>
            <w:tcW w:w="1276" w:type="dxa"/>
            <w:vAlign w:val="center"/>
          </w:tcPr>
          <w:p>
            <w:pPr>
              <w:pStyle w:val="15"/>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可持续影响指标</w:t>
            </w:r>
          </w:p>
        </w:tc>
        <w:tc>
          <w:tcPr>
            <w:tcW w:w="2835" w:type="dxa"/>
            <w:vAlign w:val="center"/>
          </w:tcPr>
          <w:p>
            <w:pPr>
              <w:pStyle w:val="15"/>
            </w:pPr>
            <w:r>
              <w:t>可持续性服务</w:t>
            </w:r>
          </w:p>
        </w:tc>
        <w:tc>
          <w:tcPr>
            <w:tcW w:w="5386" w:type="dxa"/>
            <w:vAlign w:val="center"/>
          </w:tcPr>
          <w:p>
            <w:pPr>
              <w:pStyle w:val="15"/>
            </w:pPr>
            <w:r>
              <w:t>可持续性服务</w:t>
            </w:r>
          </w:p>
        </w:tc>
        <w:tc>
          <w:tcPr>
            <w:tcW w:w="2268" w:type="dxa"/>
            <w:vAlign w:val="center"/>
          </w:tcPr>
          <w:p>
            <w:pPr>
              <w:pStyle w:val="15"/>
            </w:pPr>
            <w:r>
              <w:t>≥90%</w:t>
            </w:r>
          </w:p>
        </w:tc>
        <w:tc>
          <w:tcPr>
            <w:tcW w:w="1276" w:type="dxa"/>
            <w:vAlign w:val="center"/>
          </w:tcPr>
          <w:p>
            <w:pPr>
              <w:pStyle w:val="15"/>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受益人员满意度</w:t>
            </w:r>
          </w:p>
        </w:tc>
        <w:tc>
          <w:tcPr>
            <w:tcW w:w="5386" w:type="dxa"/>
            <w:vAlign w:val="center"/>
          </w:tcPr>
          <w:p>
            <w:pPr>
              <w:pStyle w:val="15"/>
            </w:pPr>
            <w:r>
              <w:t>反映参加受益人员满意情况</w:t>
            </w:r>
          </w:p>
        </w:tc>
        <w:tc>
          <w:tcPr>
            <w:tcW w:w="2268" w:type="dxa"/>
            <w:vAlign w:val="center"/>
          </w:tcPr>
          <w:p>
            <w:pPr>
              <w:pStyle w:val="15"/>
            </w:pPr>
            <w:r>
              <w:t>≥80%</w:t>
            </w:r>
          </w:p>
        </w:tc>
        <w:tc>
          <w:tcPr>
            <w:tcW w:w="1276" w:type="dxa"/>
            <w:vAlign w:val="center"/>
          </w:tcPr>
          <w:p>
            <w:pPr>
              <w:pStyle w:val="15"/>
            </w:pPr>
            <w:r>
              <w:t>合同签订情况表</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11、租赁费绩效目标表</w:t>
      </w:r>
    </w:p>
    <w:tbl>
      <w:tblPr>
        <w:tblStyle w:val="8"/>
        <w:tblW w:w="15309" w:type="dxa"/>
        <w:jc w:val="center"/>
        <w:tblInd w:w="0" w:type="dxa"/>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4"/>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项目编码</w:t>
            </w:r>
          </w:p>
        </w:tc>
        <w:tc>
          <w:tcPr>
            <w:tcW w:w="5103" w:type="dxa"/>
            <w:gridSpan w:val="2"/>
            <w:vAlign w:val="center"/>
          </w:tcPr>
          <w:p>
            <w:pPr>
              <w:pStyle w:val="15"/>
            </w:pPr>
            <w:r>
              <w:t>13052525P00002610009A</w:t>
            </w:r>
          </w:p>
        </w:tc>
        <w:tc>
          <w:tcPr>
            <w:tcW w:w="2835" w:type="dxa"/>
            <w:vAlign w:val="center"/>
          </w:tcPr>
          <w:p>
            <w:pPr>
              <w:pStyle w:val="13"/>
            </w:pPr>
            <w:r>
              <w:t>项目名称</w:t>
            </w:r>
          </w:p>
        </w:tc>
        <w:tc>
          <w:tcPr>
            <w:tcW w:w="6095" w:type="dxa"/>
            <w:gridSpan w:val="3"/>
            <w:vAlign w:val="center"/>
          </w:tcPr>
          <w:p>
            <w:pPr>
              <w:pStyle w:val="15"/>
            </w:pPr>
            <w:r>
              <w:t>租赁费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预算规模及资金用途</w:t>
            </w:r>
          </w:p>
        </w:tc>
        <w:tc>
          <w:tcPr>
            <w:tcW w:w="2268" w:type="dxa"/>
            <w:vAlign w:val="center"/>
          </w:tcPr>
          <w:p>
            <w:pPr>
              <w:pStyle w:val="13"/>
            </w:pPr>
            <w:r>
              <w:t>预算数</w:t>
            </w:r>
          </w:p>
        </w:tc>
        <w:tc>
          <w:tcPr>
            <w:tcW w:w="2835" w:type="dxa"/>
            <w:vAlign w:val="center"/>
          </w:tcPr>
          <w:p>
            <w:pPr>
              <w:pStyle w:val="15"/>
            </w:pPr>
            <w:r>
              <w:t>34.50</w:t>
            </w:r>
          </w:p>
        </w:tc>
        <w:tc>
          <w:tcPr>
            <w:tcW w:w="2835" w:type="dxa"/>
            <w:vAlign w:val="center"/>
          </w:tcPr>
          <w:p>
            <w:pPr>
              <w:pStyle w:val="13"/>
            </w:pPr>
            <w:r>
              <w:t>其中：财政    资金</w:t>
            </w:r>
          </w:p>
        </w:tc>
        <w:tc>
          <w:tcPr>
            <w:tcW w:w="2551" w:type="dxa"/>
            <w:vAlign w:val="center"/>
          </w:tcPr>
          <w:p>
            <w:pPr>
              <w:pStyle w:val="15"/>
            </w:pPr>
            <w:r>
              <w:t>34.50</w:t>
            </w:r>
          </w:p>
        </w:tc>
        <w:tc>
          <w:tcPr>
            <w:tcW w:w="2268" w:type="dxa"/>
            <w:vAlign w:val="center"/>
          </w:tcPr>
          <w:p>
            <w:pPr>
              <w:pStyle w:val="13"/>
            </w:pPr>
            <w:r>
              <w:t>其他资金</w:t>
            </w:r>
          </w:p>
        </w:tc>
        <w:tc>
          <w:tcPr>
            <w:tcW w:w="1276" w:type="dxa"/>
            <w:vAlign w:val="center"/>
          </w:tcPr>
          <w:p>
            <w:pPr>
              <w:pStyle w:val="15"/>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5"/>
            </w:pPr>
            <w:r>
              <w:t>保障公务用车GPS费，会议室、周转房和办公用房正常运行。</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3"/>
            </w:pPr>
            <w:r>
              <w:t>资金支出计划（%）</w:t>
            </w:r>
          </w:p>
        </w:tc>
        <w:tc>
          <w:tcPr>
            <w:tcW w:w="5103" w:type="dxa"/>
            <w:gridSpan w:val="2"/>
            <w:vAlign w:val="center"/>
          </w:tcPr>
          <w:p>
            <w:pPr>
              <w:pStyle w:val="13"/>
            </w:pPr>
            <w:r>
              <w:t>3月底</w:t>
            </w:r>
          </w:p>
        </w:tc>
        <w:tc>
          <w:tcPr>
            <w:tcW w:w="2835" w:type="dxa"/>
            <w:vAlign w:val="center"/>
          </w:tcPr>
          <w:p>
            <w:pPr>
              <w:pStyle w:val="13"/>
            </w:pPr>
            <w:r>
              <w:t>6月底</w:t>
            </w:r>
          </w:p>
        </w:tc>
        <w:tc>
          <w:tcPr>
            <w:tcW w:w="2551" w:type="dxa"/>
            <w:vAlign w:val="center"/>
          </w:tcPr>
          <w:p>
            <w:pPr>
              <w:pStyle w:val="13"/>
            </w:pPr>
            <w:r>
              <w:t>10月底</w:t>
            </w:r>
          </w:p>
        </w:tc>
        <w:tc>
          <w:tcPr>
            <w:tcW w:w="3544" w:type="dxa"/>
            <w:gridSpan w:val="2"/>
            <w:vAlign w:val="center"/>
          </w:tcPr>
          <w:p>
            <w:pPr>
              <w:pStyle w:val="13"/>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6"/>
            </w:pPr>
            <w:r>
              <w:t>20%</w:t>
            </w:r>
          </w:p>
        </w:tc>
        <w:tc>
          <w:tcPr>
            <w:tcW w:w="2835" w:type="dxa"/>
            <w:vAlign w:val="center"/>
          </w:tcPr>
          <w:p>
            <w:pPr>
              <w:pStyle w:val="16"/>
            </w:pPr>
            <w:r>
              <w:t>60%</w:t>
            </w:r>
          </w:p>
        </w:tc>
        <w:tc>
          <w:tcPr>
            <w:tcW w:w="2551" w:type="dxa"/>
            <w:vAlign w:val="center"/>
          </w:tcPr>
          <w:p>
            <w:pPr>
              <w:pStyle w:val="16"/>
            </w:pPr>
            <w:r>
              <w:t>100%</w:t>
            </w:r>
          </w:p>
        </w:tc>
        <w:tc>
          <w:tcPr>
            <w:tcW w:w="3544" w:type="dxa"/>
            <w:gridSpan w:val="2"/>
            <w:vAlign w:val="center"/>
          </w:tcPr>
          <w:p>
            <w:pPr>
              <w:pStyle w:val="16"/>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3"/>
            </w:pPr>
            <w:r>
              <w:t>绩效目标</w:t>
            </w:r>
          </w:p>
        </w:tc>
        <w:tc>
          <w:tcPr>
            <w:tcW w:w="14033" w:type="dxa"/>
            <w:gridSpan w:val="6"/>
            <w:vAlign w:val="center"/>
          </w:tcPr>
          <w:p>
            <w:pPr>
              <w:pStyle w:val="15"/>
            </w:pPr>
            <w:r>
              <w:t>1.保障公车服务平台的正常运行和车辆定位，保障视频会议室正常运行</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8"/>
        <w:tblW w:w="15309"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3"/>
            </w:pPr>
            <w:r>
              <w:t>一级指标</w:t>
            </w:r>
          </w:p>
        </w:tc>
        <w:tc>
          <w:tcPr>
            <w:tcW w:w="2268" w:type="dxa"/>
            <w:vAlign w:val="center"/>
          </w:tcPr>
          <w:p>
            <w:pPr>
              <w:pStyle w:val="13"/>
            </w:pPr>
            <w:r>
              <w:t>二级指标</w:t>
            </w:r>
          </w:p>
        </w:tc>
        <w:tc>
          <w:tcPr>
            <w:tcW w:w="2835" w:type="dxa"/>
            <w:vAlign w:val="center"/>
          </w:tcPr>
          <w:p>
            <w:pPr>
              <w:pStyle w:val="13"/>
            </w:pPr>
            <w:r>
              <w:t>三级指标</w:t>
            </w:r>
          </w:p>
        </w:tc>
        <w:tc>
          <w:tcPr>
            <w:tcW w:w="5386" w:type="dxa"/>
            <w:vAlign w:val="center"/>
          </w:tcPr>
          <w:p>
            <w:pPr>
              <w:pStyle w:val="13"/>
            </w:pPr>
            <w:r>
              <w:t>绩效指标描述</w:t>
            </w:r>
          </w:p>
        </w:tc>
        <w:tc>
          <w:tcPr>
            <w:tcW w:w="2268" w:type="dxa"/>
            <w:vAlign w:val="center"/>
          </w:tcPr>
          <w:p>
            <w:pPr>
              <w:pStyle w:val="13"/>
            </w:pPr>
            <w:r>
              <w:t>指标值</w:t>
            </w:r>
          </w:p>
        </w:tc>
        <w:tc>
          <w:tcPr>
            <w:tcW w:w="1276" w:type="dxa"/>
            <w:vAlign w:val="center"/>
          </w:tcPr>
          <w:p>
            <w:pPr>
              <w:pStyle w:val="13"/>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产出指标</w:t>
            </w:r>
          </w:p>
        </w:tc>
        <w:tc>
          <w:tcPr>
            <w:tcW w:w="2268" w:type="dxa"/>
            <w:vAlign w:val="center"/>
          </w:tcPr>
          <w:p>
            <w:pPr>
              <w:pStyle w:val="15"/>
            </w:pPr>
            <w:r>
              <w:t>数量指标</w:t>
            </w:r>
          </w:p>
        </w:tc>
        <w:tc>
          <w:tcPr>
            <w:tcW w:w="2835" w:type="dxa"/>
            <w:vAlign w:val="center"/>
          </w:tcPr>
          <w:p>
            <w:pPr>
              <w:pStyle w:val="15"/>
            </w:pPr>
            <w:r>
              <w:t>购买公车软件率</w:t>
            </w:r>
          </w:p>
        </w:tc>
        <w:tc>
          <w:tcPr>
            <w:tcW w:w="5386" w:type="dxa"/>
            <w:vAlign w:val="center"/>
          </w:tcPr>
          <w:p>
            <w:pPr>
              <w:pStyle w:val="15"/>
            </w:pPr>
            <w:r>
              <w:t>购买公务用车软件率</w:t>
            </w:r>
          </w:p>
        </w:tc>
        <w:tc>
          <w:tcPr>
            <w:tcW w:w="2268" w:type="dxa"/>
            <w:vAlign w:val="center"/>
          </w:tcPr>
          <w:p>
            <w:pPr>
              <w:pStyle w:val="15"/>
            </w:pPr>
            <w:r>
              <w:t>≥100购买公务用车软件率</w:t>
            </w:r>
          </w:p>
        </w:tc>
        <w:tc>
          <w:tcPr>
            <w:tcW w:w="1276" w:type="dxa"/>
            <w:vAlign w:val="center"/>
          </w:tcPr>
          <w:p>
            <w:pPr>
              <w:pStyle w:val="15"/>
            </w:pPr>
            <w:r>
              <w:t>公车统计表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质量指标</w:t>
            </w:r>
          </w:p>
        </w:tc>
        <w:tc>
          <w:tcPr>
            <w:tcW w:w="2835" w:type="dxa"/>
            <w:vAlign w:val="center"/>
          </w:tcPr>
          <w:p>
            <w:pPr>
              <w:pStyle w:val="15"/>
            </w:pPr>
            <w:r>
              <w:t>GPS安装率</w:t>
            </w:r>
          </w:p>
        </w:tc>
        <w:tc>
          <w:tcPr>
            <w:tcW w:w="5386" w:type="dxa"/>
            <w:vAlign w:val="center"/>
          </w:tcPr>
          <w:p>
            <w:pPr>
              <w:pStyle w:val="15"/>
            </w:pPr>
            <w:r>
              <w:t>全部公车安装GPS率</w:t>
            </w:r>
          </w:p>
        </w:tc>
        <w:tc>
          <w:tcPr>
            <w:tcW w:w="2268" w:type="dxa"/>
            <w:vAlign w:val="center"/>
          </w:tcPr>
          <w:p>
            <w:pPr>
              <w:pStyle w:val="15"/>
            </w:pPr>
            <w:r>
              <w:t>≥100全部公车安装GPS率</w:t>
            </w:r>
          </w:p>
        </w:tc>
        <w:tc>
          <w:tcPr>
            <w:tcW w:w="1276" w:type="dxa"/>
            <w:vAlign w:val="center"/>
          </w:tcPr>
          <w:p>
            <w:pPr>
              <w:pStyle w:val="15"/>
            </w:pPr>
            <w:r>
              <w:t>公车统计表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时效指标</w:t>
            </w:r>
          </w:p>
        </w:tc>
        <w:tc>
          <w:tcPr>
            <w:tcW w:w="2835" w:type="dxa"/>
            <w:vAlign w:val="center"/>
          </w:tcPr>
          <w:p>
            <w:pPr>
              <w:pStyle w:val="15"/>
            </w:pPr>
            <w:r>
              <w:t>视频会议室网络服务费支出率</w:t>
            </w:r>
          </w:p>
        </w:tc>
        <w:tc>
          <w:tcPr>
            <w:tcW w:w="5386" w:type="dxa"/>
            <w:vAlign w:val="center"/>
          </w:tcPr>
          <w:p>
            <w:pPr>
              <w:pStyle w:val="15"/>
            </w:pPr>
            <w:r>
              <w:t>视屏会议系统网络服务费占全年计划支出费用的比例</w:t>
            </w:r>
          </w:p>
        </w:tc>
        <w:tc>
          <w:tcPr>
            <w:tcW w:w="2268" w:type="dxa"/>
            <w:vAlign w:val="center"/>
          </w:tcPr>
          <w:p>
            <w:pPr>
              <w:pStyle w:val="15"/>
            </w:pPr>
            <w:r>
              <w:t>≥100视屏会议系统网络服务费占全年计划支出费用的比例</w:t>
            </w:r>
          </w:p>
        </w:tc>
        <w:tc>
          <w:tcPr>
            <w:tcW w:w="1276" w:type="dxa"/>
            <w:vAlign w:val="center"/>
          </w:tcPr>
          <w:p>
            <w:pPr>
              <w:pStyle w:val="15"/>
            </w:pPr>
            <w:r>
              <w:t>支出统计表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成本指标</w:t>
            </w:r>
          </w:p>
        </w:tc>
        <w:tc>
          <w:tcPr>
            <w:tcW w:w="2835" w:type="dxa"/>
            <w:vAlign w:val="center"/>
          </w:tcPr>
          <w:p>
            <w:pPr>
              <w:pStyle w:val="15"/>
            </w:pPr>
            <w:r>
              <w:t>使用公车满意的单位量占全部使用公车单位总量的比例</w:t>
            </w:r>
          </w:p>
        </w:tc>
        <w:tc>
          <w:tcPr>
            <w:tcW w:w="5386" w:type="dxa"/>
            <w:vAlign w:val="center"/>
          </w:tcPr>
          <w:p>
            <w:pPr>
              <w:pStyle w:val="15"/>
            </w:pPr>
            <w:r>
              <w:t>使用公车满意的单位量占全部使用公车单位总量的比例</w:t>
            </w:r>
          </w:p>
        </w:tc>
        <w:tc>
          <w:tcPr>
            <w:tcW w:w="2268" w:type="dxa"/>
            <w:vAlign w:val="center"/>
          </w:tcPr>
          <w:p>
            <w:pPr>
              <w:pStyle w:val="15"/>
            </w:pPr>
            <w:r>
              <w:t>≥100使用公车满意的单位量占全部使用公车单位总量的比例</w:t>
            </w:r>
          </w:p>
        </w:tc>
        <w:tc>
          <w:tcPr>
            <w:tcW w:w="1276" w:type="dxa"/>
            <w:vAlign w:val="center"/>
          </w:tcPr>
          <w:p>
            <w:pPr>
              <w:pStyle w:val="15"/>
            </w:pPr>
            <w:r>
              <w:t>公车投诉率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6"/>
            </w:pPr>
            <w:r>
              <w:t>效益指标</w:t>
            </w:r>
          </w:p>
        </w:tc>
        <w:tc>
          <w:tcPr>
            <w:tcW w:w="2268" w:type="dxa"/>
            <w:vAlign w:val="center"/>
          </w:tcPr>
          <w:p>
            <w:pPr>
              <w:pStyle w:val="15"/>
            </w:pPr>
            <w:r>
              <w:t>经济效益指标</w:t>
            </w:r>
          </w:p>
        </w:tc>
        <w:tc>
          <w:tcPr>
            <w:tcW w:w="2835" w:type="dxa"/>
            <w:vAlign w:val="center"/>
          </w:tcPr>
          <w:p>
            <w:pPr>
              <w:pStyle w:val="15"/>
            </w:pPr>
            <w:r>
              <w:t>公车和视频会议系统平稳使用率</w:t>
            </w:r>
          </w:p>
        </w:tc>
        <w:tc>
          <w:tcPr>
            <w:tcW w:w="5386" w:type="dxa"/>
            <w:vAlign w:val="center"/>
          </w:tcPr>
          <w:p>
            <w:pPr>
              <w:pStyle w:val="15"/>
            </w:pPr>
            <w:r>
              <w:t>公车和视频会议系统平稳使用率</w:t>
            </w:r>
          </w:p>
        </w:tc>
        <w:tc>
          <w:tcPr>
            <w:tcW w:w="2268" w:type="dxa"/>
            <w:vAlign w:val="center"/>
          </w:tcPr>
          <w:p>
            <w:pPr>
              <w:pStyle w:val="15"/>
            </w:pPr>
            <w:r>
              <w:t>≥100公车和视频会议系统平稳使用率</w:t>
            </w:r>
          </w:p>
        </w:tc>
        <w:tc>
          <w:tcPr>
            <w:tcW w:w="1276" w:type="dxa"/>
            <w:vAlign w:val="center"/>
          </w:tcPr>
          <w:p>
            <w:pPr>
              <w:pStyle w:val="15"/>
            </w:pPr>
            <w:r>
              <w:t>使用维修率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社会效益指标</w:t>
            </w:r>
          </w:p>
        </w:tc>
        <w:tc>
          <w:tcPr>
            <w:tcW w:w="2835" w:type="dxa"/>
            <w:vAlign w:val="center"/>
          </w:tcPr>
          <w:p>
            <w:pPr>
              <w:pStyle w:val="15"/>
            </w:pPr>
            <w:r>
              <w:t>调度平台的正常运行</w:t>
            </w:r>
          </w:p>
        </w:tc>
        <w:tc>
          <w:tcPr>
            <w:tcW w:w="5386" w:type="dxa"/>
            <w:vAlign w:val="center"/>
          </w:tcPr>
          <w:p>
            <w:pPr>
              <w:pStyle w:val="15"/>
            </w:pPr>
            <w:r>
              <w:t>调度平台的正常运行率</w:t>
            </w:r>
          </w:p>
        </w:tc>
        <w:tc>
          <w:tcPr>
            <w:tcW w:w="2268" w:type="dxa"/>
            <w:vAlign w:val="center"/>
          </w:tcPr>
          <w:p>
            <w:pPr>
              <w:pStyle w:val="15"/>
            </w:pPr>
            <w:r>
              <w:t>≥100调度平台的正常运行率</w:t>
            </w:r>
          </w:p>
        </w:tc>
        <w:tc>
          <w:tcPr>
            <w:tcW w:w="1276" w:type="dxa"/>
            <w:vAlign w:val="center"/>
          </w:tcPr>
          <w:p>
            <w:pPr>
              <w:pStyle w:val="15"/>
            </w:pPr>
            <w:r>
              <w:t>平台使用维修率</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生态效益指标</w:t>
            </w:r>
          </w:p>
        </w:tc>
        <w:tc>
          <w:tcPr>
            <w:tcW w:w="2835" w:type="dxa"/>
            <w:vAlign w:val="center"/>
          </w:tcPr>
          <w:p>
            <w:pPr>
              <w:pStyle w:val="15"/>
            </w:pPr>
            <w:r>
              <w:t>车辆卫星定位准确</w:t>
            </w:r>
          </w:p>
        </w:tc>
        <w:tc>
          <w:tcPr>
            <w:tcW w:w="5386" w:type="dxa"/>
            <w:vAlign w:val="center"/>
          </w:tcPr>
          <w:p>
            <w:pPr>
              <w:pStyle w:val="15"/>
            </w:pPr>
            <w:r>
              <w:t>全县公车卫星定位系统</w:t>
            </w:r>
          </w:p>
        </w:tc>
        <w:tc>
          <w:tcPr>
            <w:tcW w:w="2268" w:type="dxa"/>
            <w:vAlign w:val="center"/>
          </w:tcPr>
          <w:p>
            <w:pPr>
              <w:pStyle w:val="15"/>
            </w:pPr>
            <w:r>
              <w:t>≥100全县公车卫星定位系统</w:t>
            </w:r>
          </w:p>
        </w:tc>
        <w:tc>
          <w:tcPr>
            <w:tcW w:w="1276" w:type="dxa"/>
            <w:vAlign w:val="center"/>
          </w:tcPr>
          <w:p>
            <w:pPr>
              <w:pStyle w:val="15"/>
            </w:pPr>
            <w:r>
              <w:t>调度平台公车行驶路线轨迹回放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5"/>
            </w:pPr>
            <w:r>
              <w:t>可持续影响指标</w:t>
            </w:r>
          </w:p>
        </w:tc>
        <w:tc>
          <w:tcPr>
            <w:tcW w:w="2835" w:type="dxa"/>
            <w:vAlign w:val="center"/>
          </w:tcPr>
          <w:p>
            <w:pPr>
              <w:pStyle w:val="15"/>
            </w:pPr>
            <w:r>
              <w:t>会议室使用满意度</w:t>
            </w:r>
          </w:p>
        </w:tc>
        <w:tc>
          <w:tcPr>
            <w:tcW w:w="5386" w:type="dxa"/>
            <w:vAlign w:val="center"/>
          </w:tcPr>
          <w:p>
            <w:pPr>
              <w:pStyle w:val="15"/>
            </w:pPr>
            <w:r>
              <w:t>省市召开视频会议，视频会议室的使用情况</w:t>
            </w:r>
          </w:p>
        </w:tc>
        <w:tc>
          <w:tcPr>
            <w:tcW w:w="2268" w:type="dxa"/>
            <w:vAlign w:val="center"/>
          </w:tcPr>
          <w:p>
            <w:pPr>
              <w:pStyle w:val="15"/>
            </w:pPr>
            <w:r>
              <w:t>≥100省市召开视频会议，视频会议室的使用情况</w:t>
            </w:r>
          </w:p>
        </w:tc>
        <w:tc>
          <w:tcPr>
            <w:tcW w:w="1276" w:type="dxa"/>
            <w:vAlign w:val="center"/>
          </w:tcPr>
          <w:p>
            <w:pPr>
              <w:pStyle w:val="15"/>
            </w:pPr>
            <w:r>
              <w:t>会议使用满意次数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6"/>
            </w:pPr>
            <w:r>
              <w:t>满意度指标</w:t>
            </w:r>
          </w:p>
        </w:tc>
        <w:tc>
          <w:tcPr>
            <w:tcW w:w="2268" w:type="dxa"/>
            <w:vAlign w:val="center"/>
          </w:tcPr>
          <w:p>
            <w:pPr>
              <w:pStyle w:val="15"/>
            </w:pPr>
            <w:r>
              <w:t>服务对象满意度指标</w:t>
            </w:r>
          </w:p>
        </w:tc>
        <w:tc>
          <w:tcPr>
            <w:tcW w:w="2835" w:type="dxa"/>
            <w:vAlign w:val="center"/>
          </w:tcPr>
          <w:p>
            <w:pPr>
              <w:pStyle w:val="15"/>
            </w:pPr>
            <w:r>
              <w:t>服务对象满意度</w:t>
            </w:r>
          </w:p>
        </w:tc>
        <w:tc>
          <w:tcPr>
            <w:tcW w:w="5386" w:type="dxa"/>
            <w:vAlign w:val="center"/>
          </w:tcPr>
          <w:p>
            <w:pPr>
              <w:pStyle w:val="15"/>
            </w:pPr>
            <w:r>
              <w:t>领导使用公车的满意度</w:t>
            </w:r>
          </w:p>
        </w:tc>
        <w:tc>
          <w:tcPr>
            <w:tcW w:w="2268" w:type="dxa"/>
            <w:vAlign w:val="center"/>
          </w:tcPr>
          <w:p>
            <w:pPr>
              <w:pStyle w:val="15"/>
            </w:pPr>
            <w:r>
              <w:t>≥100领导使用公车的满意度</w:t>
            </w:r>
          </w:p>
        </w:tc>
        <w:tc>
          <w:tcPr>
            <w:tcW w:w="1276" w:type="dxa"/>
            <w:vAlign w:val="center"/>
          </w:tcPr>
          <w:p>
            <w:pPr>
              <w:pStyle w:val="15"/>
            </w:pPr>
            <w:r>
              <w:t>使用公车投诉率</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8"/>
        <w:tblW w:w="15054"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2"/>
            </w:pPr>
            <w:r>
              <w:t>201004隆尧县机关事务管理局</w:t>
            </w:r>
          </w:p>
        </w:tc>
        <w:tc>
          <w:tcPr>
            <w:tcW w:w="7712" w:type="dxa"/>
            <w:gridSpan w:val="8"/>
            <w:tcBorders>
              <w:top w:val="single" w:color="FFFFFF" w:sz="6" w:space="0"/>
              <w:left w:val="single" w:color="FFFFFF" w:sz="6" w:space="0"/>
              <w:right w:val="single" w:color="FFFFFF" w:sz="6" w:space="0"/>
            </w:tcBorders>
            <w:vAlign w:val="center"/>
          </w:tcPr>
          <w:p>
            <w:pPr>
              <w:pStyle w:val="2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3"/>
            </w:pPr>
            <w:r>
              <w:t>政府采购项目来源</w:t>
            </w:r>
          </w:p>
        </w:tc>
        <w:tc>
          <w:tcPr>
            <w:tcW w:w="1134" w:type="dxa"/>
            <w:vMerge w:val="restart"/>
            <w:vAlign w:val="center"/>
          </w:tcPr>
          <w:p>
            <w:pPr>
              <w:pStyle w:val="13"/>
            </w:pPr>
            <w:r>
              <w:t>采购物品名称</w:t>
            </w:r>
          </w:p>
        </w:tc>
        <w:tc>
          <w:tcPr>
            <w:tcW w:w="1134" w:type="dxa"/>
            <w:vMerge w:val="restart"/>
            <w:vAlign w:val="center"/>
          </w:tcPr>
          <w:p>
            <w:pPr>
              <w:pStyle w:val="13"/>
            </w:pPr>
            <w:r>
              <w:t>政府采购目录序号</w:t>
            </w:r>
          </w:p>
        </w:tc>
        <w:tc>
          <w:tcPr>
            <w:tcW w:w="709" w:type="dxa"/>
            <w:vMerge w:val="restart"/>
            <w:vAlign w:val="center"/>
          </w:tcPr>
          <w:p>
            <w:pPr>
              <w:pStyle w:val="13"/>
            </w:pPr>
            <w:r>
              <w:t>计量  单位</w:t>
            </w:r>
          </w:p>
        </w:tc>
        <w:tc>
          <w:tcPr>
            <w:tcW w:w="850" w:type="dxa"/>
            <w:vMerge w:val="restart"/>
            <w:vAlign w:val="center"/>
          </w:tcPr>
          <w:p>
            <w:pPr>
              <w:pStyle w:val="13"/>
            </w:pPr>
            <w:r>
              <w:t>数量</w:t>
            </w:r>
          </w:p>
        </w:tc>
        <w:tc>
          <w:tcPr>
            <w:tcW w:w="850" w:type="dxa"/>
            <w:vMerge w:val="restart"/>
            <w:vAlign w:val="center"/>
          </w:tcPr>
          <w:p>
            <w:pPr>
              <w:pStyle w:val="13"/>
            </w:pPr>
            <w:r>
              <w:t>单价</w:t>
            </w:r>
          </w:p>
        </w:tc>
        <w:tc>
          <w:tcPr>
            <w:tcW w:w="6748" w:type="dxa"/>
            <w:gridSpan w:val="7"/>
            <w:vAlign w:val="center"/>
          </w:tcPr>
          <w:p>
            <w:pPr>
              <w:pStyle w:val="13"/>
            </w:pPr>
            <w:r>
              <w:t>政府采购金额（当年部门预算安排资金）</w:t>
            </w:r>
          </w:p>
        </w:tc>
        <w:tc>
          <w:tcPr>
            <w:tcW w:w="964" w:type="dxa"/>
            <w:vMerge w:val="restart"/>
            <w:vAlign w:val="center"/>
          </w:tcPr>
          <w:p>
            <w:pPr>
              <w:pStyle w:val="13"/>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tblHeader/>
          <w:jc w:val="center"/>
        </w:trPr>
        <w:tc>
          <w:tcPr>
            <w:tcW w:w="1701" w:type="dxa"/>
            <w:vAlign w:val="center"/>
          </w:tcPr>
          <w:p>
            <w:pPr>
              <w:pStyle w:val="13"/>
            </w:pPr>
            <w:r>
              <w:t>项目名称</w:t>
            </w:r>
          </w:p>
        </w:tc>
        <w:tc>
          <w:tcPr>
            <w:tcW w:w="964" w:type="dxa"/>
            <w:vAlign w:val="center"/>
          </w:tcPr>
          <w:p>
            <w:pPr>
              <w:pStyle w:val="13"/>
            </w:pPr>
            <w:r>
              <w:t>预算    资金</w:t>
            </w:r>
          </w:p>
        </w:tc>
        <w:tc>
          <w:tcPr>
            <w:tcW w:w="1134" w:type="dxa"/>
            <w:vMerge w:val="continue"/>
          </w:tcPr>
          <w:p>
            <w:pPr/>
          </w:p>
        </w:tc>
        <w:tc>
          <w:tcPr>
            <w:tcW w:w="1134" w:type="dxa"/>
            <w:vMerge w:val="continue"/>
          </w:tcPr>
          <w:p>
            <w:pPr/>
          </w:p>
        </w:tc>
        <w:tc>
          <w:tcPr>
            <w:tcW w:w="709" w:type="dxa"/>
            <w:vMerge w:val="continue"/>
          </w:tcPr>
          <w:p>
            <w:pPr/>
          </w:p>
        </w:tc>
        <w:tc>
          <w:tcPr>
            <w:tcW w:w="850" w:type="dxa"/>
            <w:vMerge w:val="continue"/>
          </w:tcPr>
          <w:p>
            <w:pPr/>
          </w:p>
        </w:tc>
        <w:tc>
          <w:tcPr>
            <w:tcW w:w="850" w:type="dxa"/>
            <w:vMerge w:val="continue"/>
          </w:tcPr>
          <w:p>
            <w:pPr/>
          </w:p>
        </w:tc>
        <w:tc>
          <w:tcPr>
            <w:tcW w:w="964" w:type="dxa"/>
            <w:vAlign w:val="center"/>
          </w:tcPr>
          <w:p>
            <w:pPr>
              <w:pStyle w:val="13"/>
            </w:pPr>
            <w:r>
              <w:t>合计</w:t>
            </w:r>
          </w:p>
        </w:tc>
        <w:tc>
          <w:tcPr>
            <w:tcW w:w="964" w:type="dxa"/>
            <w:vAlign w:val="center"/>
          </w:tcPr>
          <w:p>
            <w:pPr>
              <w:pStyle w:val="13"/>
            </w:pPr>
            <w:r>
              <w:t>一般公共预算拨款</w:t>
            </w:r>
          </w:p>
        </w:tc>
        <w:tc>
          <w:tcPr>
            <w:tcW w:w="964" w:type="dxa"/>
            <w:vAlign w:val="center"/>
          </w:tcPr>
          <w:p>
            <w:pPr>
              <w:pStyle w:val="13"/>
            </w:pPr>
            <w:r>
              <w:t>基金预算拨款</w:t>
            </w:r>
          </w:p>
        </w:tc>
        <w:tc>
          <w:tcPr>
            <w:tcW w:w="964" w:type="dxa"/>
            <w:vAlign w:val="center"/>
          </w:tcPr>
          <w:p>
            <w:pPr>
              <w:pStyle w:val="13"/>
            </w:pPr>
            <w:r>
              <w:t>国有资本经营预算拨款</w:t>
            </w:r>
          </w:p>
        </w:tc>
        <w:tc>
          <w:tcPr>
            <w:tcW w:w="964" w:type="dxa"/>
            <w:vAlign w:val="center"/>
          </w:tcPr>
          <w:p>
            <w:pPr>
              <w:pStyle w:val="13"/>
            </w:pPr>
            <w:r>
              <w:t>财政专户核拨</w:t>
            </w:r>
          </w:p>
        </w:tc>
        <w:tc>
          <w:tcPr>
            <w:tcW w:w="964" w:type="dxa"/>
            <w:vAlign w:val="center"/>
          </w:tcPr>
          <w:p>
            <w:pPr>
              <w:pStyle w:val="13"/>
            </w:pPr>
            <w:r>
              <w:t>单位    资金</w:t>
            </w:r>
          </w:p>
        </w:tc>
        <w:tc>
          <w:tcPr>
            <w:tcW w:w="964" w:type="dxa"/>
            <w:vAlign w:val="center"/>
          </w:tcPr>
          <w:p>
            <w:pPr>
              <w:pStyle w:val="13"/>
            </w:pPr>
            <w:r>
              <w:t>上年结转结余</w:t>
            </w:r>
          </w:p>
        </w:tc>
        <w:tc>
          <w:tcPr>
            <w:tcW w:w="964" w:type="dxa"/>
            <w:vMerge w:val="continue"/>
          </w:tcPr>
          <w:p>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7"/>
            </w:pPr>
            <w:r>
              <w:t>合  计</w:t>
            </w:r>
          </w:p>
        </w:tc>
        <w:tc>
          <w:tcPr>
            <w:tcW w:w="964" w:type="dxa"/>
            <w:vAlign w:val="center"/>
          </w:tcPr>
          <w:p>
            <w:pPr>
              <w:pStyle w:val="18"/>
            </w:pPr>
          </w:p>
        </w:tc>
        <w:tc>
          <w:tcPr>
            <w:tcW w:w="1134" w:type="dxa"/>
            <w:vAlign w:val="center"/>
          </w:tcPr>
          <w:p>
            <w:pPr>
              <w:pStyle w:val="19"/>
            </w:pPr>
          </w:p>
        </w:tc>
        <w:tc>
          <w:tcPr>
            <w:tcW w:w="1134" w:type="dxa"/>
            <w:vAlign w:val="center"/>
          </w:tcPr>
          <w:p>
            <w:pPr>
              <w:pStyle w:val="19"/>
            </w:pPr>
          </w:p>
        </w:tc>
        <w:tc>
          <w:tcPr>
            <w:tcW w:w="709" w:type="dxa"/>
            <w:vAlign w:val="center"/>
          </w:tcPr>
          <w:p>
            <w:pPr>
              <w:pStyle w:val="17"/>
            </w:pPr>
          </w:p>
        </w:tc>
        <w:tc>
          <w:tcPr>
            <w:tcW w:w="850" w:type="dxa"/>
            <w:vAlign w:val="center"/>
          </w:tcPr>
          <w:p>
            <w:pPr>
              <w:pStyle w:val="18"/>
            </w:pPr>
          </w:p>
        </w:tc>
        <w:tc>
          <w:tcPr>
            <w:tcW w:w="850" w:type="dxa"/>
            <w:vAlign w:val="center"/>
          </w:tcPr>
          <w:p>
            <w:pPr>
              <w:pStyle w:val="18"/>
            </w:pPr>
          </w:p>
        </w:tc>
        <w:tc>
          <w:tcPr>
            <w:tcW w:w="964" w:type="dxa"/>
            <w:vAlign w:val="center"/>
          </w:tcPr>
          <w:p>
            <w:pPr>
              <w:pStyle w:val="18"/>
            </w:pPr>
            <w:r>
              <w:t>293.58</w:t>
            </w:r>
          </w:p>
        </w:tc>
        <w:tc>
          <w:tcPr>
            <w:tcW w:w="964" w:type="dxa"/>
            <w:vAlign w:val="center"/>
          </w:tcPr>
          <w:p>
            <w:pPr>
              <w:pStyle w:val="18"/>
            </w:pPr>
            <w:r>
              <w:t>293.58</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r>
              <w:t>293.58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7"/>
            </w:pPr>
            <w:r>
              <w:t>隆尧县机关事务管理局小计</w:t>
            </w:r>
          </w:p>
        </w:tc>
        <w:tc>
          <w:tcPr>
            <w:tcW w:w="964" w:type="dxa"/>
            <w:vAlign w:val="center"/>
          </w:tcPr>
          <w:p>
            <w:pPr>
              <w:pStyle w:val="18"/>
            </w:pPr>
          </w:p>
        </w:tc>
        <w:tc>
          <w:tcPr>
            <w:tcW w:w="1134" w:type="dxa"/>
            <w:vAlign w:val="center"/>
          </w:tcPr>
          <w:p>
            <w:pPr>
              <w:pStyle w:val="19"/>
            </w:pPr>
          </w:p>
        </w:tc>
        <w:tc>
          <w:tcPr>
            <w:tcW w:w="1134" w:type="dxa"/>
            <w:vAlign w:val="center"/>
          </w:tcPr>
          <w:p>
            <w:pPr>
              <w:pStyle w:val="19"/>
            </w:pPr>
          </w:p>
        </w:tc>
        <w:tc>
          <w:tcPr>
            <w:tcW w:w="709" w:type="dxa"/>
            <w:vAlign w:val="center"/>
          </w:tcPr>
          <w:p>
            <w:pPr>
              <w:pStyle w:val="17"/>
            </w:pPr>
          </w:p>
        </w:tc>
        <w:tc>
          <w:tcPr>
            <w:tcW w:w="850" w:type="dxa"/>
            <w:vAlign w:val="center"/>
          </w:tcPr>
          <w:p>
            <w:pPr>
              <w:pStyle w:val="18"/>
            </w:pPr>
          </w:p>
        </w:tc>
        <w:tc>
          <w:tcPr>
            <w:tcW w:w="850" w:type="dxa"/>
            <w:vAlign w:val="center"/>
          </w:tcPr>
          <w:p>
            <w:pPr>
              <w:pStyle w:val="18"/>
            </w:pPr>
          </w:p>
        </w:tc>
        <w:tc>
          <w:tcPr>
            <w:tcW w:w="964" w:type="dxa"/>
            <w:vAlign w:val="center"/>
          </w:tcPr>
          <w:p>
            <w:pPr>
              <w:pStyle w:val="18"/>
            </w:pPr>
            <w:r>
              <w:t>293.58</w:t>
            </w:r>
          </w:p>
        </w:tc>
        <w:tc>
          <w:tcPr>
            <w:tcW w:w="964" w:type="dxa"/>
            <w:vAlign w:val="center"/>
          </w:tcPr>
          <w:p>
            <w:pPr>
              <w:pStyle w:val="18"/>
            </w:pPr>
            <w:r>
              <w:t>293.58</w:t>
            </w: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p>
        </w:tc>
        <w:tc>
          <w:tcPr>
            <w:tcW w:w="964" w:type="dxa"/>
            <w:vAlign w:val="center"/>
          </w:tcPr>
          <w:p>
            <w:pPr>
              <w:pStyle w:val="18"/>
            </w:pPr>
            <w:r>
              <w:t>293.58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5"/>
            </w:pPr>
            <w:r>
              <w:t>公务用车运行维护费</w:t>
            </w:r>
          </w:p>
        </w:tc>
        <w:tc>
          <w:tcPr>
            <w:tcW w:w="964" w:type="dxa"/>
            <w:vAlign w:val="center"/>
          </w:tcPr>
          <w:p>
            <w:pPr>
              <w:pStyle w:val="14"/>
            </w:pPr>
            <w:r>
              <w:t>80.00</w:t>
            </w:r>
          </w:p>
        </w:tc>
        <w:tc>
          <w:tcPr>
            <w:tcW w:w="1134" w:type="dxa"/>
            <w:vAlign w:val="center"/>
          </w:tcPr>
          <w:p>
            <w:pPr>
              <w:pStyle w:val="15"/>
            </w:pPr>
            <w:r>
              <w:t>财产保险服务</w:t>
            </w:r>
          </w:p>
        </w:tc>
        <w:tc>
          <w:tcPr>
            <w:tcW w:w="1134" w:type="dxa"/>
            <w:vAlign w:val="center"/>
          </w:tcPr>
          <w:p>
            <w:pPr>
              <w:pStyle w:val="15"/>
            </w:pPr>
            <w:r>
              <w:t>C18040102</w:t>
            </w:r>
          </w:p>
        </w:tc>
        <w:tc>
          <w:tcPr>
            <w:tcW w:w="709" w:type="dxa"/>
            <w:vAlign w:val="center"/>
          </w:tcPr>
          <w:p>
            <w:pPr>
              <w:pStyle w:val="16"/>
            </w:pPr>
            <w:r>
              <w:t>个</w:t>
            </w:r>
          </w:p>
        </w:tc>
        <w:tc>
          <w:tcPr>
            <w:tcW w:w="850" w:type="dxa"/>
            <w:vAlign w:val="center"/>
          </w:tcPr>
          <w:p>
            <w:pPr>
              <w:pStyle w:val="14"/>
            </w:pPr>
            <w:r>
              <w:t>1</w:t>
            </w:r>
          </w:p>
        </w:tc>
        <w:tc>
          <w:tcPr>
            <w:tcW w:w="850" w:type="dxa"/>
            <w:vAlign w:val="center"/>
          </w:tcPr>
          <w:p>
            <w:pPr>
              <w:pStyle w:val="14"/>
            </w:pPr>
            <w:r>
              <w:t>20.00</w:t>
            </w:r>
          </w:p>
        </w:tc>
        <w:tc>
          <w:tcPr>
            <w:tcW w:w="964" w:type="dxa"/>
            <w:vAlign w:val="center"/>
          </w:tcPr>
          <w:p>
            <w:pPr>
              <w:pStyle w:val="14"/>
            </w:pPr>
            <w:r>
              <w:t>20.00</w:t>
            </w:r>
          </w:p>
        </w:tc>
        <w:tc>
          <w:tcPr>
            <w:tcW w:w="964" w:type="dxa"/>
            <w:vAlign w:val="center"/>
          </w:tcPr>
          <w:p>
            <w:pPr>
              <w:pStyle w:val="14"/>
            </w:pPr>
            <w:r>
              <w:t>20.00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5"/>
            </w:pPr>
            <w:r>
              <w:t>公务用车运行维护费</w:t>
            </w:r>
          </w:p>
        </w:tc>
        <w:tc>
          <w:tcPr>
            <w:tcW w:w="964" w:type="dxa"/>
            <w:vAlign w:val="center"/>
          </w:tcPr>
          <w:p>
            <w:pPr>
              <w:pStyle w:val="14"/>
            </w:pPr>
            <w:r>
              <w:t>80.00</w:t>
            </w:r>
          </w:p>
        </w:tc>
        <w:tc>
          <w:tcPr>
            <w:tcW w:w="1134" w:type="dxa"/>
            <w:vAlign w:val="center"/>
          </w:tcPr>
          <w:p>
            <w:pPr>
              <w:pStyle w:val="15"/>
            </w:pPr>
            <w:r>
              <w:t>车辆维修和保养服务</w:t>
            </w:r>
          </w:p>
        </w:tc>
        <w:tc>
          <w:tcPr>
            <w:tcW w:w="1134" w:type="dxa"/>
            <w:vAlign w:val="center"/>
          </w:tcPr>
          <w:p>
            <w:pPr>
              <w:pStyle w:val="15"/>
            </w:pPr>
            <w:r>
              <w:t>C23120301</w:t>
            </w:r>
          </w:p>
        </w:tc>
        <w:tc>
          <w:tcPr>
            <w:tcW w:w="709" w:type="dxa"/>
            <w:vAlign w:val="center"/>
          </w:tcPr>
          <w:p>
            <w:pPr>
              <w:pStyle w:val="16"/>
            </w:pPr>
            <w:r>
              <w:t>个</w:t>
            </w:r>
          </w:p>
        </w:tc>
        <w:tc>
          <w:tcPr>
            <w:tcW w:w="850" w:type="dxa"/>
            <w:vAlign w:val="center"/>
          </w:tcPr>
          <w:p>
            <w:pPr>
              <w:pStyle w:val="14"/>
            </w:pPr>
            <w:r>
              <w:t>1</w:t>
            </w:r>
          </w:p>
        </w:tc>
        <w:tc>
          <w:tcPr>
            <w:tcW w:w="850" w:type="dxa"/>
            <w:vAlign w:val="center"/>
          </w:tcPr>
          <w:p>
            <w:pPr>
              <w:pStyle w:val="14"/>
            </w:pPr>
            <w:r>
              <w:t>50.00</w:t>
            </w:r>
          </w:p>
        </w:tc>
        <w:tc>
          <w:tcPr>
            <w:tcW w:w="964" w:type="dxa"/>
            <w:vAlign w:val="center"/>
          </w:tcPr>
          <w:p>
            <w:pPr>
              <w:pStyle w:val="14"/>
            </w:pPr>
            <w:r>
              <w:t>50.00</w:t>
            </w:r>
          </w:p>
        </w:tc>
        <w:tc>
          <w:tcPr>
            <w:tcW w:w="964" w:type="dxa"/>
            <w:vAlign w:val="center"/>
          </w:tcPr>
          <w:p>
            <w:pPr>
              <w:pStyle w:val="14"/>
            </w:pPr>
            <w:r>
              <w:t>50.00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5"/>
            </w:pPr>
            <w:r>
              <w:t>机关物业保安费</w:t>
            </w:r>
          </w:p>
        </w:tc>
        <w:tc>
          <w:tcPr>
            <w:tcW w:w="964" w:type="dxa"/>
            <w:vAlign w:val="center"/>
          </w:tcPr>
          <w:p>
            <w:pPr>
              <w:pStyle w:val="14"/>
            </w:pPr>
            <w:r>
              <w:t>103.58</w:t>
            </w:r>
          </w:p>
        </w:tc>
        <w:tc>
          <w:tcPr>
            <w:tcW w:w="1134" w:type="dxa"/>
            <w:vAlign w:val="center"/>
          </w:tcPr>
          <w:p>
            <w:pPr>
              <w:pStyle w:val="15"/>
            </w:pPr>
            <w:r>
              <w:t>保安服务</w:t>
            </w:r>
          </w:p>
        </w:tc>
        <w:tc>
          <w:tcPr>
            <w:tcW w:w="1134" w:type="dxa"/>
            <w:vAlign w:val="center"/>
          </w:tcPr>
          <w:p>
            <w:pPr>
              <w:pStyle w:val="15"/>
            </w:pPr>
            <w:r>
              <w:t>C05040300</w:t>
            </w:r>
          </w:p>
        </w:tc>
        <w:tc>
          <w:tcPr>
            <w:tcW w:w="709" w:type="dxa"/>
            <w:vAlign w:val="center"/>
          </w:tcPr>
          <w:p>
            <w:pPr>
              <w:pStyle w:val="16"/>
            </w:pPr>
            <w:r>
              <w:t>个</w:t>
            </w:r>
          </w:p>
        </w:tc>
        <w:tc>
          <w:tcPr>
            <w:tcW w:w="850" w:type="dxa"/>
            <w:vAlign w:val="center"/>
          </w:tcPr>
          <w:p>
            <w:pPr>
              <w:pStyle w:val="14"/>
            </w:pPr>
            <w:r>
              <w:t>1</w:t>
            </w:r>
          </w:p>
        </w:tc>
        <w:tc>
          <w:tcPr>
            <w:tcW w:w="850" w:type="dxa"/>
            <w:vAlign w:val="center"/>
          </w:tcPr>
          <w:p>
            <w:pPr>
              <w:pStyle w:val="14"/>
            </w:pPr>
            <w:r>
              <w:t>45.12</w:t>
            </w:r>
          </w:p>
        </w:tc>
        <w:tc>
          <w:tcPr>
            <w:tcW w:w="964" w:type="dxa"/>
            <w:vAlign w:val="center"/>
          </w:tcPr>
          <w:p>
            <w:pPr>
              <w:pStyle w:val="14"/>
            </w:pPr>
            <w:r>
              <w:t>45.12</w:t>
            </w:r>
          </w:p>
        </w:tc>
        <w:tc>
          <w:tcPr>
            <w:tcW w:w="964" w:type="dxa"/>
            <w:vAlign w:val="center"/>
          </w:tcPr>
          <w:p>
            <w:pPr>
              <w:pStyle w:val="14"/>
            </w:pPr>
            <w:r>
              <w:t>45.12</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45.12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5"/>
            </w:pPr>
            <w:r>
              <w:t>机关物业保安费</w:t>
            </w:r>
          </w:p>
        </w:tc>
        <w:tc>
          <w:tcPr>
            <w:tcW w:w="964" w:type="dxa"/>
            <w:vAlign w:val="center"/>
          </w:tcPr>
          <w:p>
            <w:pPr>
              <w:pStyle w:val="14"/>
            </w:pPr>
            <w:r>
              <w:t>103.58</w:t>
            </w:r>
          </w:p>
        </w:tc>
        <w:tc>
          <w:tcPr>
            <w:tcW w:w="1134" w:type="dxa"/>
            <w:vAlign w:val="center"/>
          </w:tcPr>
          <w:p>
            <w:pPr>
              <w:pStyle w:val="15"/>
            </w:pPr>
            <w:r>
              <w:t>物业管理服务</w:t>
            </w:r>
          </w:p>
        </w:tc>
        <w:tc>
          <w:tcPr>
            <w:tcW w:w="1134" w:type="dxa"/>
            <w:vAlign w:val="center"/>
          </w:tcPr>
          <w:p>
            <w:pPr>
              <w:pStyle w:val="15"/>
            </w:pPr>
            <w:r>
              <w:t>C21040000</w:t>
            </w:r>
          </w:p>
        </w:tc>
        <w:tc>
          <w:tcPr>
            <w:tcW w:w="709" w:type="dxa"/>
            <w:vAlign w:val="center"/>
          </w:tcPr>
          <w:p>
            <w:pPr>
              <w:pStyle w:val="16"/>
            </w:pPr>
            <w:r>
              <w:t>个</w:t>
            </w:r>
          </w:p>
        </w:tc>
        <w:tc>
          <w:tcPr>
            <w:tcW w:w="850" w:type="dxa"/>
            <w:vAlign w:val="center"/>
          </w:tcPr>
          <w:p>
            <w:pPr>
              <w:pStyle w:val="14"/>
            </w:pPr>
            <w:r>
              <w:t>1</w:t>
            </w:r>
          </w:p>
        </w:tc>
        <w:tc>
          <w:tcPr>
            <w:tcW w:w="850" w:type="dxa"/>
            <w:vAlign w:val="center"/>
          </w:tcPr>
          <w:p>
            <w:pPr>
              <w:pStyle w:val="14"/>
            </w:pPr>
            <w:r>
              <w:t>58.46</w:t>
            </w:r>
          </w:p>
        </w:tc>
        <w:tc>
          <w:tcPr>
            <w:tcW w:w="964" w:type="dxa"/>
            <w:vAlign w:val="center"/>
          </w:tcPr>
          <w:p>
            <w:pPr>
              <w:pStyle w:val="14"/>
            </w:pPr>
            <w:r>
              <w:t>58.46</w:t>
            </w:r>
          </w:p>
        </w:tc>
        <w:tc>
          <w:tcPr>
            <w:tcW w:w="964" w:type="dxa"/>
            <w:vAlign w:val="center"/>
          </w:tcPr>
          <w:p>
            <w:pPr>
              <w:pStyle w:val="14"/>
            </w:pPr>
            <w:r>
              <w:t>58.46</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58.46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cantSplit/>
          <w:trHeight w:val="0" w:hRule="atLeast"/>
          <w:jc w:val="center"/>
        </w:trPr>
        <w:tc>
          <w:tcPr>
            <w:tcW w:w="1701" w:type="dxa"/>
            <w:vAlign w:val="center"/>
          </w:tcPr>
          <w:p>
            <w:pPr>
              <w:pStyle w:val="15"/>
            </w:pPr>
            <w:r>
              <w:t>食堂服务费</w:t>
            </w:r>
          </w:p>
        </w:tc>
        <w:tc>
          <w:tcPr>
            <w:tcW w:w="964" w:type="dxa"/>
            <w:vAlign w:val="center"/>
          </w:tcPr>
          <w:p>
            <w:pPr>
              <w:pStyle w:val="14"/>
            </w:pPr>
            <w:r>
              <w:t>120.00</w:t>
            </w:r>
          </w:p>
        </w:tc>
        <w:tc>
          <w:tcPr>
            <w:tcW w:w="1134" w:type="dxa"/>
            <w:vAlign w:val="center"/>
          </w:tcPr>
          <w:p>
            <w:pPr>
              <w:pStyle w:val="15"/>
            </w:pPr>
            <w:r>
              <w:t>餐饮服务</w:t>
            </w:r>
          </w:p>
        </w:tc>
        <w:tc>
          <w:tcPr>
            <w:tcW w:w="1134" w:type="dxa"/>
            <w:vAlign w:val="center"/>
          </w:tcPr>
          <w:p>
            <w:pPr>
              <w:pStyle w:val="15"/>
            </w:pPr>
            <w:r>
              <w:t>C22040000</w:t>
            </w:r>
          </w:p>
        </w:tc>
        <w:tc>
          <w:tcPr>
            <w:tcW w:w="709" w:type="dxa"/>
            <w:vAlign w:val="center"/>
          </w:tcPr>
          <w:p>
            <w:pPr>
              <w:pStyle w:val="16"/>
            </w:pPr>
            <w:r>
              <w:t>个</w:t>
            </w:r>
          </w:p>
        </w:tc>
        <w:tc>
          <w:tcPr>
            <w:tcW w:w="850" w:type="dxa"/>
            <w:vAlign w:val="center"/>
          </w:tcPr>
          <w:p>
            <w:pPr>
              <w:pStyle w:val="14"/>
            </w:pPr>
            <w:r>
              <w:t>1</w:t>
            </w:r>
          </w:p>
        </w:tc>
        <w:tc>
          <w:tcPr>
            <w:tcW w:w="850" w:type="dxa"/>
            <w:vAlign w:val="center"/>
          </w:tcPr>
          <w:p>
            <w:pPr>
              <w:pStyle w:val="14"/>
            </w:pPr>
            <w:r>
              <w:t>120.00</w:t>
            </w:r>
          </w:p>
        </w:tc>
        <w:tc>
          <w:tcPr>
            <w:tcW w:w="964" w:type="dxa"/>
            <w:vAlign w:val="center"/>
          </w:tcPr>
          <w:p>
            <w:pPr>
              <w:pStyle w:val="14"/>
            </w:pPr>
            <w:r>
              <w:t>120.00</w:t>
            </w:r>
          </w:p>
        </w:tc>
        <w:tc>
          <w:tcPr>
            <w:tcW w:w="964" w:type="dxa"/>
            <w:vAlign w:val="center"/>
          </w:tcPr>
          <w:p>
            <w:pPr>
              <w:pStyle w:val="14"/>
            </w:pPr>
            <w:r>
              <w:t>120.00</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120.00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隆尧县机关事务管理局上年末固定资产金额为2631.86万元（详见下表）。本年度拟购置固定资产总额为0.00万元，已按要求列入政府采购预算，详见政府采购预算表。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8"/>
        <w:tblW w:w="13040" w:type="dxa"/>
        <w:jc w:val="center"/>
        <w:tblInd w:w="0" w:type="dxa"/>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2"/>
            </w:pPr>
            <w:r>
              <w:t>201004隆尧县机关事务管理局</w:t>
            </w:r>
          </w:p>
        </w:tc>
        <w:tc>
          <w:tcPr>
            <w:tcW w:w="5670" w:type="dxa"/>
            <w:gridSpan w:val="2"/>
            <w:tcBorders>
              <w:top w:val="single" w:color="FFFFFF" w:sz="6" w:space="0"/>
              <w:left w:val="single" w:color="FFFFFF" w:sz="6" w:space="0"/>
              <w:right w:val="single" w:color="FFFFFF" w:sz="6" w:space="0"/>
            </w:tcBorders>
            <w:vAlign w:val="center"/>
          </w:tcPr>
          <w:p>
            <w:pPr>
              <w:pStyle w:val="10"/>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tblHeader/>
          <w:jc w:val="center"/>
        </w:trPr>
        <w:tc>
          <w:tcPr>
            <w:tcW w:w="7370" w:type="dxa"/>
            <w:vAlign w:val="center"/>
          </w:tcPr>
          <w:p>
            <w:pPr>
              <w:pStyle w:val="13"/>
            </w:pPr>
            <w:r>
              <w:t>项   目</w:t>
            </w:r>
          </w:p>
        </w:tc>
        <w:tc>
          <w:tcPr>
            <w:tcW w:w="2835" w:type="dxa"/>
            <w:vAlign w:val="center"/>
          </w:tcPr>
          <w:p>
            <w:pPr>
              <w:pStyle w:val="13"/>
            </w:pPr>
            <w:r>
              <w:t>数量</w:t>
            </w:r>
          </w:p>
        </w:tc>
        <w:tc>
          <w:tcPr>
            <w:tcW w:w="2835" w:type="dxa"/>
            <w:vAlign w:val="center"/>
          </w:tcPr>
          <w:p>
            <w:pPr>
              <w:pStyle w:val="13"/>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5"/>
            </w:pPr>
            <w:r>
              <w:t>资产总额</w:t>
            </w:r>
          </w:p>
        </w:tc>
        <w:tc>
          <w:tcPr>
            <w:tcW w:w="2835" w:type="dxa"/>
            <w:vAlign w:val="center"/>
          </w:tcPr>
          <w:p>
            <w:pPr>
              <w:pStyle w:val="16"/>
            </w:pPr>
          </w:p>
        </w:tc>
        <w:tc>
          <w:tcPr>
            <w:tcW w:w="2835" w:type="dxa"/>
            <w:vAlign w:val="center"/>
          </w:tcPr>
          <w:p>
            <w:pPr>
              <w:pStyle w:val="14"/>
            </w:pPr>
            <w:r>
              <w:t>2631.86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5"/>
            </w:pPr>
            <w:r>
              <w:t>1、房屋（平方米）</w:t>
            </w:r>
          </w:p>
        </w:tc>
        <w:tc>
          <w:tcPr>
            <w:tcW w:w="2835" w:type="dxa"/>
            <w:vAlign w:val="center"/>
          </w:tcPr>
          <w:p>
            <w:pPr>
              <w:pStyle w:val="16"/>
            </w:pPr>
            <w:r>
              <w:t>31627.38</w:t>
            </w:r>
          </w:p>
        </w:tc>
        <w:tc>
          <w:tcPr>
            <w:tcW w:w="2835" w:type="dxa"/>
            <w:vAlign w:val="center"/>
          </w:tcPr>
          <w:p>
            <w:pPr>
              <w:pStyle w:val="14"/>
            </w:pPr>
            <w:r>
              <w:t>1323.45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5"/>
            </w:pPr>
            <w:r>
              <w:t>　　其中：办公用房（平方米）</w:t>
            </w:r>
          </w:p>
        </w:tc>
        <w:tc>
          <w:tcPr>
            <w:tcW w:w="2835" w:type="dxa"/>
            <w:vAlign w:val="center"/>
          </w:tcPr>
          <w:p>
            <w:pPr>
              <w:pStyle w:val="16"/>
            </w:pPr>
          </w:p>
        </w:tc>
        <w:tc>
          <w:tcPr>
            <w:tcW w:w="2835"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5"/>
            </w:pPr>
            <w:r>
              <w:t>2、车辆（台、辆）</w:t>
            </w:r>
          </w:p>
        </w:tc>
        <w:tc>
          <w:tcPr>
            <w:tcW w:w="2835" w:type="dxa"/>
            <w:vAlign w:val="center"/>
          </w:tcPr>
          <w:p>
            <w:pPr>
              <w:pStyle w:val="16"/>
            </w:pPr>
            <w:r>
              <w:t>87</w:t>
            </w:r>
          </w:p>
        </w:tc>
        <w:tc>
          <w:tcPr>
            <w:tcW w:w="2835" w:type="dxa"/>
            <w:vAlign w:val="center"/>
          </w:tcPr>
          <w:p>
            <w:pPr>
              <w:pStyle w:val="14"/>
            </w:pPr>
            <w:r>
              <w:t>1103.29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5"/>
            </w:pPr>
            <w:r>
              <w:t>3、单价在20万元以上的设备</w:t>
            </w:r>
          </w:p>
        </w:tc>
        <w:tc>
          <w:tcPr>
            <w:tcW w:w="2835" w:type="dxa"/>
            <w:vAlign w:val="center"/>
          </w:tcPr>
          <w:p>
            <w:pPr>
              <w:pStyle w:val="16"/>
            </w:pPr>
          </w:p>
        </w:tc>
        <w:tc>
          <w:tcPr>
            <w:tcW w:w="2835" w:type="dxa"/>
            <w:vAlign w:val="center"/>
          </w:tcPr>
          <w:p>
            <w:pPr>
              <w:pStyle w:val="14"/>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Ex>
        <w:trPr>
          <w:trHeight w:val="0" w:hRule="atLeast"/>
          <w:jc w:val="center"/>
        </w:trPr>
        <w:tc>
          <w:tcPr>
            <w:tcW w:w="7370" w:type="dxa"/>
            <w:vAlign w:val="center"/>
          </w:tcPr>
          <w:p>
            <w:pPr>
              <w:pStyle w:val="15"/>
            </w:pPr>
            <w:r>
              <w:t>4、其他固定资产</w:t>
            </w:r>
          </w:p>
        </w:tc>
        <w:tc>
          <w:tcPr>
            <w:tcW w:w="2835" w:type="dxa"/>
            <w:vAlign w:val="center"/>
          </w:tcPr>
          <w:p>
            <w:pPr>
              <w:pStyle w:val="16"/>
            </w:pPr>
            <w:r>
              <w:t>970</w:t>
            </w:r>
          </w:p>
        </w:tc>
        <w:tc>
          <w:tcPr>
            <w:tcW w:w="2835" w:type="dxa"/>
            <w:vAlign w:val="center"/>
          </w:tcPr>
          <w:p>
            <w:pPr>
              <w:pStyle w:val="14"/>
            </w:pPr>
            <w:r>
              <w:t>205.12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00002FF" w:usb1="4000ACFF" w:usb2="00000001" w:usb3="00000000" w:csb0="2000019F" w:csb1="00000000"/>
  </w:font>
  <w:font w:name="Arial">
    <w:panose1 w:val="020B0604020202020204"/>
    <w:charset w:val="01"/>
    <w:family w:val="roman"/>
    <w:pitch w:val="default"/>
    <w:sig w:usb0="E0002AFF" w:usb1="C0007843" w:usb2="00000009" w:usb3="00000000" w:csb0="400001FF" w:csb1="FFFF0000"/>
  </w:font>
  <w:font w:name="Courier New">
    <w:panose1 w:val="02070309020205020404"/>
    <w:charset w:val="01"/>
    <w:family w:val="decorative"/>
    <w:pitch w:val="default"/>
    <w:sig w:usb0="E0002A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Cambria">
    <w:panose1 w:val="02040503050406030204"/>
    <w:charset w:val="00"/>
    <w:family w:val="decorative"/>
    <w:pitch w:val="default"/>
    <w:sig w:usb0="E00002FF" w:usb1="400004FF" w:usb2="00000000" w:usb3="00000000" w:csb0="2000019F" w:csb1="00000000"/>
  </w:font>
  <w:font w:name="Calibri">
    <w:panose1 w:val="020F0502020204030204"/>
    <w:charset w:val="00"/>
    <w:family w:val="modern"/>
    <w:pitch w:val="default"/>
    <w:sig w:usb0="E00002FF" w:usb1="4000ACFF" w:usb2="00000001" w:usb3="00000000" w:csb0="2000019F" w:csb1="00000000"/>
  </w:font>
  <w:font w:name="Arial">
    <w:panose1 w:val="020B0604020202020204"/>
    <w:charset w:val="01"/>
    <w:family w:val="modern"/>
    <w:pitch w:val="default"/>
    <w:sig w:usb0="E0002AFF" w:usb1="C0007843" w:usb2="00000009" w:usb3="00000000" w:csb0="400001FF" w:csb1="FFFF0000"/>
  </w:font>
  <w:font w:name="Courier New">
    <w:panose1 w:val="02070309020205020404"/>
    <w:charset w:val="01"/>
    <w:family w:val="roman"/>
    <w:pitch w:val="default"/>
    <w:sig w:usb0="E0002AFF" w:usb1="C0007843" w:usb2="00000009" w:usb3="00000000" w:csb0="400001FF" w:csb1="FFFF0000"/>
  </w:font>
  <w:font w:name="Symbol">
    <w:panose1 w:val="05050102010706020507"/>
    <w:charset w:val="02"/>
    <w:family w:val="decorative"/>
    <w:pitch w:val="default"/>
    <w:sig w:usb0="00000000" w:usb1="00000000" w:usb2="00000000" w:usb3="00000000" w:csb0="8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00000" w:usb3="00000000" w:csb0="00040000" w:csb1="00000000"/>
  </w:font>
  <w:font w:name="Liberation Sans">
    <w:altName w:val="Arial"/>
    <w:panose1 w:val="00000000000000000000"/>
    <w:charset w:val="00"/>
    <w:family w:val="modern"/>
    <w:pitch w:val="default"/>
    <w:sig w:usb0="00000000" w:usb1="00000000" w:usb2="00000000" w:usb3="00000000" w:csb0="00040001" w:csb1="00000000"/>
  </w:font>
  <w:font w:name="Noto Sans CJK SC Regular">
    <w:altName w:val="宋体"/>
    <w:panose1 w:val="020B0500000000000000"/>
    <w:charset w:val="86"/>
    <w:family w:val="auto"/>
    <w:pitch w:val="default"/>
    <w:sig w:usb0="00000000" w:usb1="00000000" w:usb2="00000016" w:usb3="00000000" w:csb0="602E0107" w:csb1="00000000"/>
  </w:font>
  <w:font w:name="方正书宋_GBK">
    <w:altName w:val="微软雅黑"/>
    <w:panose1 w:val="02000000000000000000"/>
    <w:charset w:val="86"/>
    <w:family w:val="auto"/>
    <w:pitch w:val="default"/>
    <w:sig w:usb0="00000000" w:usb1="00000000" w:usb2="00000000" w:usb3="00000000" w:csb0="00040000" w:csb1="00000000"/>
  </w:font>
  <w:font w:name="方正小标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00000" w:usb3="00000000" w:csb0="00040000" w:csb1="00000000"/>
  </w:font>
  <w:font w:name="仿宋">
    <w:panose1 w:val="02010609060101010101"/>
    <w:charset w:val="86"/>
    <w:family w:val="roman"/>
    <w:pitch w:val="default"/>
    <w:sig w:usb0="800002BF" w:usb1="38CF7CFA" w:usb2="00000016" w:usb3="00000000" w:csb0="00040001" w:csb1="00000000"/>
  </w:font>
  <w:font w:name="仿宋_GB2312">
    <w:altName w:val="仿宋"/>
    <w:panose1 w:val="02010609030101010101"/>
    <w:charset w:val="86"/>
    <w:family w:val="auto"/>
    <w:pitch w:val="default"/>
    <w:sig w:usb0="00000000" w:usb1="00000000" w:usb2="00000000" w:usb3="00000000" w:csb0="00040000" w:csb1="00000000"/>
  </w:font>
  <w:font w:name="Liberation Sans">
    <w:altName w:val="Arial"/>
    <w:panose1 w:val="00000000000000000000"/>
    <w:charset w:val="00"/>
    <w:family w:val="roman"/>
    <w:pitch w:val="default"/>
    <w:sig w:usb0="00000000" w:usb1="00000000" w:usb2="00000000" w:usb3="00000000" w:csb0="00040001" w:csb1="00000000"/>
  </w:font>
  <w:font w:name="仿宋">
    <w:panose1 w:val="02010609060101010101"/>
    <w:charset w:val="86"/>
    <w:family w:val="decorative"/>
    <w:pitch w:val="default"/>
    <w:sig w:usb0="800002BF" w:usb1="38CF7CFA" w:usb2="00000016" w:usb3="00000000" w:csb0="00040001" w:csb1="00000000"/>
  </w:font>
  <w:font w:name="Liberation Sans">
    <w:altName w:val="Arial"/>
    <w:panose1 w:val="00000000000000000000"/>
    <w:charset w:val="00"/>
    <w:family w:val="swiss"/>
    <w:pitch w:val="default"/>
    <w:sig w:usb0="00000000" w:usb1="00000000" w:usb2="00000000" w:usb3="00000000" w:csb0="00040001" w:csb1="00000000"/>
  </w:font>
  <w:font w:name="仿宋">
    <w:panose1 w:val="02010609060101010101"/>
    <w:charset w:val="86"/>
    <w:family w:val="modern"/>
    <w:pitch w:val="default"/>
    <w:sig w:usb0="800002BF" w:usb1="38CF7CFA" w:usb2="00000016" w:usb3="00000000" w:csb0="00040001" w:csb1="00000000"/>
  </w:font>
  <w:font w:name="Liberation Sans">
    <w:altName w:val="Arial"/>
    <w:panose1 w:val="00000000000000000000"/>
    <w:charset w:val="00"/>
    <w:family w:val="decorative"/>
    <w:pitch w:val="default"/>
    <w:sig w:usb0="00000000" w:usb1="00000000" w:usb2="00000000" w:usb3="00000000" w:csb0="00040001" w:csb1="00000000"/>
  </w:font>
  <w:font w:name="仿宋">
    <w:panose1 w:val="02010609060101010101"/>
    <w:charset w:val="86"/>
    <w:family w:val="swiss"/>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1740726219">
    <w:nsid w:val="67C15FCB"/>
    <w:multiLevelType w:val="singleLevel"/>
    <w:tmpl w:val="67C15FCB"/>
    <w:lvl w:ilvl="0" w:tentative="1">
      <w:start w:val="5"/>
      <w:numFmt w:val="chineseCounting"/>
      <w:suff w:val="nothing"/>
      <w:lvlText w:val="%1、"/>
      <w:lvlJc w:val="left"/>
    </w:lvl>
  </w:abstractNum>
  <w:num w:numId="1">
    <w:abstractNumId w:val="17407262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2F896FE3"/>
    <w:rsid w:val="3469009C"/>
    <w:rsid w:val="405448AA"/>
    <w:rsid w:val="464A6B44"/>
    <w:rsid w:val="65C252FC"/>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unhideWhenUsed/>
    <w:qFormat/>
    <w:uiPriority w:val="1"/>
  </w:style>
  <w:style w:type="table" w:default="1" w:styleId="8">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Plain Text"/>
    <w:basedOn w:val="1"/>
    <w:unhideWhenUsed/>
    <w:qFormat/>
    <w:uiPriority w:val="99"/>
    <w:pPr>
      <w:keepNext w:val="0"/>
      <w:keepLines w:val="0"/>
      <w:widowControl/>
      <w:suppressLineNumbers w:val="0"/>
      <w:spacing w:before="100" w:beforeAutospacing="1" w:after="100" w:afterAutospacing="1"/>
      <w:ind w:left="0" w:right="0"/>
      <w:jc w:val="left"/>
    </w:pPr>
    <w:rPr>
      <w:rFonts w:hint="eastAsia" w:ascii="宋体" w:hAnsi="宋体" w:eastAsia="宋体" w:cs="宋体"/>
      <w:kern w:val="0"/>
      <w:sz w:val="24"/>
      <w:szCs w:val="24"/>
      <w:lang w:val="en-US" w:eastAsia="zh-CN" w:bidi="ar"/>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paragraph" w:styleId="6">
    <w:name w:val="toc 2"/>
    <w:basedOn w:val="1"/>
    <w:next w:val="1"/>
    <w:qFormat/>
    <w:uiPriority w:val="0"/>
    <w:pPr>
      <w:ind w:left="240"/>
    </w:pPr>
  </w:style>
  <w:style w:type="table" w:styleId="9">
    <w:name w:val="Table Grid"/>
    <w:basedOn w:val="8"/>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2">
    <w:name w:val="List Paragraph"/>
    <w:basedOn w:val="1"/>
    <w:qFormat/>
    <w:uiPriority w:val="34"/>
    <w:pPr>
      <w:keepNext w:val="0"/>
      <w:keepLines w:val="0"/>
      <w:widowControl w:val="0"/>
      <w:suppressLineNumbers w:val="0"/>
      <w:spacing w:before="0" w:beforeAutospacing="0" w:after="0" w:afterAutospacing="0"/>
      <w:ind w:left="0" w:right="0" w:firstLine="420" w:firstLineChars="200"/>
      <w:jc w:val="both"/>
    </w:pPr>
    <w:rPr>
      <w:rFonts w:hint="default" w:ascii="Times New Roman" w:hAnsi="Times New Roman" w:eastAsia="宋体" w:cs="Times New Roman"/>
      <w:kern w:val="2"/>
      <w:sz w:val="21"/>
      <w:szCs w:val="21"/>
      <w:lang w:val="en-US" w:eastAsia="zh-CN" w:bidi="ar"/>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92</Pages>
  <Words>0</Words>
  <Characters>0</Characters>
  <Lines>0</Lines>
  <Paragraphs>0</Paragraphs>
  <ScaleCrop>false</ScaleCrop>
  <LinksUpToDate>false</LinksUpToDate>
  <CharactersWithSpaces>0</CharactersWithSpaces>
  <Application>WPS Office_10.8.0.5562_F1E327BC-269C-435d-A152-05C5408002CA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2025-02-28T11:31:00Z</dcterms:created>
  <dc:creator>HC</dc:creator>
  <cp:lastModifiedBy>Administrator</cp:lastModifiedBy>
  <dcterms:modified xsi:type="dcterms:W3CDTF">2025-02-28T07:49:42Z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2052-10.8.0.5562</vt:lpwstr>
  </property>
</Properties>
</file>