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1586.02</w:t>
            </w:r>
          </w:p>
        </w:tc>
        <w:tc>
          <w:tcPr>
            <w:tcW w:w="4535" w:type="dxa"/>
            <w:vAlign w:val="center"/>
          </w:tcPr>
          <w:p>
            <w:pPr>
              <w:pStyle w:val="13"/>
            </w:pPr>
            <w:r>
              <w:t>一、一般公共服务支出</w:t>
            </w:r>
          </w:p>
        </w:tc>
        <w:tc>
          <w:tcPr>
            <w:tcW w:w="2126" w:type="dxa"/>
            <w:vAlign w:val="center"/>
          </w:tcPr>
          <w:p>
            <w:pPr>
              <w:pStyle w:val="12"/>
            </w:pPr>
            <w:r>
              <w:t>1470.67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1586.02</w:t>
            </w:r>
          </w:p>
        </w:tc>
        <w:tc>
          <w:tcPr>
            <w:tcW w:w="4535" w:type="dxa"/>
            <w:vAlign w:val="center"/>
          </w:tcPr>
          <w:p>
            <w:pPr>
              <w:pStyle w:val="15"/>
            </w:pPr>
            <w:r>
              <w:t>本年支出合计</w:t>
            </w:r>
          </w:p>
        </w:tc>
        <w:tc>
          <w:tcPr>
            <w:tcW w:w="2126" w:type="dxa"/>
            <w:vAlign w:val="center"/>
          </w:tcPr>
          <w:p>
            <w:pPr>
              <w:pStyle w:val="16"/>
            </w:pPr>
            <w:r>
              <w:t>1586.02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1586.02</w:t>
            </w:r>
          </w:p>
        </w:tc>
        <w:tc>
          <w:tcPr>
            <w:tcW w:w="4535" w:type="dxa"/>
            <w:vAlign w:val="center"/>
          </w:tcPr>
          <w:p>
            <w:pPr>
              <w:pStyle w:val="15"/>
            </w:pPr>
            <w:r>
              <w:t>支出总计</w:t>
            </w:r>
          </w:p>
        </w:tc>
        <w:tc>
          <w:tcPr>
            <w:tcW w:w="2126" w:type="dxa"/>
            <w:vAlign w:val="center"/>
          </w:tcPr>
          <w:p>
            <w:pPr>
              <w:pStyle w:val="16"/>
            </w:pPr>
            <w:r>
              <w:t>1586.02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1586.02</w:t>
            </w:r>
          </w:p>
        </w:tc>
        <w:tc>
          <w:tcPr>
            <w:tcW w:w="1134" w:type="dxa"/>
            <w:vAlign w:val="center"/>
          </w:tcPr>
          <w:p>
            <w:pPr>
              <w:pStyle w:val="16"/>
            </w:pPr>
            <w:r>
              <w:t>1586.02</w:t>
            </w:r>
          </w:p>
        </w:tc>
        <w:tc>
          <w:tcPr>
            <w:tcW w:w="1134" w:type="dxa"/>
            <w:vAlign w:val="center"/>
          </w:tcPr>
          <w:p>
            <w:pPr>
              <w:pStyle w:val="16"/>
            </w:pPr>
            <w:r>
              <w:t>1586.02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1470.67</w:t>
            </w:r>
          </w:p>
        </w:tc>
        <w:tc>
          <w:tcPr>
            <w:tcW w:w="1134" w:type="dxa"/>
            <w:vAlign w:val="center"/>
          </w:tcPr>
          <w:p>
            <w:pPr>
              <w:pStyle w:val="12"/>
            </w:pPr>
            <w:r>
              <w:t>1470.67</w:t>
            </w:r>
          </w:p>
        </w:tc>
        <w:tc>
          <w:tcPr>
            <w:tcW w:w="1134" w:type="dxa"/>
            <w:vAlign w:val="center"/>
          </w:tcPr>
          <w:p>
            <w:pPr>
              <w:pStyle w:val="12"/>
            </w:pPr>
            <w:r>
              <w:t>1470.67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1470.67</w:t>
            </w:r>
          </w:p>
        </w:tc>
        <w:tc>
          <w:tcPr>
            <w:tcW w:w="1134" w:type="dxa"/>
            <w:vAlign w:val="center"/>
          </w:tcPr>
          <w:p>
            <w:pPr>
              <w:pStyle w:val="12"/>
            </w:pPr>
            <w:r>
              <w:t>1470.67</w:t>
            </w:r>
          </w:p>
        </w:tc>
        <w:tc>
          <w:tcPr>
            <w:tcW w:w="1134" w:type="dxa"/>
            <w:vAlign w:val="center"/>
          </w:tcPr>
          <w:p>
            <w:pPr>
              <w:pStyle w:val="12"/>
            </w:pPr>
            <w:r>
              <w:t>1470.67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485.13</w:t>
            </w:r>
          </w:p>
        </w:tc>
        <w:tc>
          <w:tcPr>
            <w:tcW w:w="1134" w:type="dxa"/>
            <w:vAlign w:val="center"/>
          </w:tcPr>
          <w:p>
            <w:pPr>
              <w:pStyle w:val="12"/>
            </w:pPr>
            <w:r>
              <w:t>485.13</w:t>
            </w:r>
          </w:p>
        </w:tc>
        <w:tc>
          <w:tcPr>
            <w:tcW w:w="1134" w:type="dxa"/>
            <w:vAlign w:val="center"/>
          </w:tcPr>
          <w:p>
            <w:pPr>
              <w:pStyle w:val="12"/>
            </w:pPr>
            <w:r>
              <w:t>485.13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2013102</w:t>
            </w:r>
          </w:p>
        </w:tc>
        <w:tc>
          <w:tcPr>
            <w:tcW w:w="1559" w:type="dxa"/>
            <w:vAlign w:val="center"/>
          </w:tcPr>
          <w:p>
            <w:pPr>
              <w:pStyle w:val="13"/>
            </w:pPr>
            <w:r>
              <w:t>一般行政管理事务</w:t>
            </w:r>
          </w:p>
        </w:tc>
        <w:tc>
          <w:tcPr>
            <w:tcW w:w="1134" w:type="dxa"/>
            <w:vAlign w:val="center"/>
          </w:tcPr>
          <w:p>
            <w:pPr>
              <w:pStyle w:val="12"/>
            </w:pPr>
            <w:r>
              <w:t>201.90</w:t>
            </w:r>
          </w:p>
        </w:tc>
        <w:tc>
          <w:tcPr>
            <w:tcW w:w="1134" w:type="dxa"/>
            <w:vAlign w:val="center"/>
          </w:tcPr>
          <w:p>
            <w:pPr>
              <w:pStyle w:val="12"/>
            </w:pPr>
            <w:r>
              <w:t>201.90</w:t>
            </w:r>
          </w:p>
        </w:tc>
        <w:tc>
          <w:tcPr>
            <w:tcW w:w="1134" w:type="dxa"/>
            <w:vAlign w:val="center"/>
          </w:tcPr>
          <w:p>
            <w:pPr>
              <w:pStyle w:val="12"/>
            </w:pPr>
            <w:r>
              <w:t>201.90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778.64</w:t>
            </w:r>
          </w:p>
        </w:tc>
        <w:tc>
          <w:tcPr>
            <w:tcW w:w="1134" w:type="dxa"/>
            <w:vAlign w:val="center"/>
          </w:tcPr>
          <w:p>
            <w:pPr>
              <w:pStyle w:val="12"/>
            </w:pPr>
            <w:r>
              <w:t>778.64</w:t>
            </w:r>
          </w:p>
        </w:tc>
        <w:tc>
          <w:tcPr>
            <w:tcW w:w="1134" w:type="dxa"/>
            <w:vAlign w:val="center"/>
          </w:tcPr>
          <w:p>
            <w:pPr>
              <w:pStyle w:val="12"/>
            </w:pPr>
            <w:r>
              <w:t>778.64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2013150</w:t>
            </w:r>
          </w:p>
        </w:tc>
        <w:tc>
          <w:tcPr>
            <w:tcW w:w="1559" w:type="dxa"/>
            <w:vAlign w:val="center"/>
          </w:tcPr>
          <w:p>
            <w:pPr>
              <w:pStyle w:val="13"/>
            </w:pPr>
            <w:r>
              <w:t>事业运行</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50.49</w:t>
            </w:r>
          </w:p>
        </w:tc>
        <w:tc>
          <w:tcPr>
            <w:tcW w:w="1134" w:type="dxa"/>
            <w:vAlign w:val="center"/>
          </w:tcPr>
          <w:p>
            <w:pPr>
              <w:pStyle w:val="12"/>
            </w:pPr>
            <w:r>
              <w:t>50.49</w:t>
            </w:r>
          </w:p>
        </w:tc>
        <w:tc>
          <w:tcPr>
            <w:tcW w:w="1134" w:type="dxa"/>
            <w:vAlign w:val="center"/>
          </w:tcPr>
          <w:p>
            <w:pPr>
              <w:pStyle w:val="12"/>
            </w:pPr>
            <w:r>
              <w:t>50.49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50.49</w:t>
            </w:r>
          </w:p>
        </w:tc>
        <w:tc>
          <w:tcPr>
            <w:tcW w:w="1134" w:type="dxa"/>
            <w:vAlign w:val="center"/>
          </w:tcPr>
          <w:p>
            <w:pPr>
              <w:pStyle w:val="12"/>
            </w:pPr>
            <w:r>
              <w:t>50.49</w:t>
            </w:r>
          </w:p>
        </w:tc>
        <w:tc>
          <w:tcPr>
            <w:tcW w:w="1134" w:type="dxa"/>
            <w:vAlign w:val="center"/>
          </w:tcPr>
          <w:p>
            <w:pPr>
              <w:pStyle w:val="12"/>
            </w:pPr>
            <w:r>
              <w:t>50.49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50.49</w:t>
            </w:r>
          </w:p>
        </w:tc>
        <w:tc>
          <w:tcPr>
            <w:tcW w:w="1134" w:type="dxa"/>
            <w:vAlign w:val="center"/>
          </w:tcPr>
          <w:p>
            <w:pPr>
              <w:pStyle w:val="12"/>
            </w:pPr>
            <w:r>
              <w:t>50.49</w:t>
            </w:r>
          </w:p>
        </w:tc>
        <w:tc>
          <w:tcPr>
            <w:tcW w:w="1134" w:type="dxa"/>
            <w:vAlign w:val="center"/>
          </w:tcPr>
          <w:p>
            <w:pPr>
              <w:pStyle w:val="12"/>
            </w:pPr>
            <w:r>
              <w:t>50.49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24.41</w:t>
            </w:r>
          </w:p>
        </w:tc>
        <w:tc>
          <w:tcPr>
            <w:tcW w:w="1134" w:type="dxa"/>
            <w:vAlign w:val="center"/>
          </w:tcPr>
          <w:p>
            <w:pPr>
              <w:pStyle w:val="12"/>
            </w:pPr>
            <w:r>
              <w:t>24.41</w:t>
            </w:r>
          </w:p>
        </w:tc>
        <w:tc>
          <w:tcPr>
            <w:tcW w:w="1134" w:type="dxa"/>
            <w:vAlign w:val="center"/>
          </w:tcPr>
          <w:p>
            <w:pPr>
              <w:pStyle w:val="12"/>
            </w:pPr>
            <w:r>
              <w:t>24.41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24.41</w:t>
            </w:r>
          </w:p>
        </w:tc>
        <w:tc>
          <w:tcPr>
            <w:tcW w:w="1134" w:type="dxa"/>
            <w:vAlign w:val="center"/>
          </w:tcPr>
          <w:p>
            <w:pPr>
              <w:pStyle w:val="12"/>
            </w:pPr>
            <w:r>
              <w:t>24.41</w:t>
            </w:r>
          </w:p>
        </w:tc>
        <w:tc>
          <w:tcPr>
            <w:tcW w:w="1134" w:type="dxa"/>
            <w:vAlign w:val="center"/>
          </w:tcPr>
          <w:p>
            <w:pPr>
              <w:pStyle w:val="12"/>
            </w:pPr>
            <w:r>
              <w:t>24.41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24.41</w:t>
            </w:r>
          </w:p>
        </w:tc>
        <w:tc>
          <w:tcPr>
            <w:tcW w:w="1134" w:type="dxa"/>
            <w:vAlign w:val="center"/>
          </w:tcPr>
          <w:p>
            <w:pPr>
              <w:pStyle w:val="12"/>
            </w:pPr>
            <w:r>
              <w:t>24.41</w:t>
            </w:r>
          </w:p>
        </w:tc>
        <w:tc>
          <w:tcPr>
            <w:tcW w:w="1134" w:type="dxa"/>
            <w:vAlign w:val="center"/>
          </w:tcPr>
          <w:p>
            <w:pPr>
              <w:pStyle w:val="12"/>
            </w:pPr>
            <w:r>
              <w:t>24.41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40.45</w:t>
            </w:r>
          </w:p>
        </w:tc>
        <w:tc>
          <w:tcPr>
            <w:tcW w:w="1134" w:type="dxa"/>
            <w:vAlign w:val="center"/>
          </w:tcPr>
          <w:p>
            <w:pPr>
              <w:pStyle w:val="12"/>
            </w:pPr>
            <w:r>
              <w:t>40.45</w:t>
            </w:r>
          </w:p>
        </w:tc>
        <w:tc>
          <w:tcPr>
            <w:tcW w:w="1134" w:type="dxa"/>
            <w:vAlign w:val="center"/>
          </w:tcPr>
          <w:p>
            <w:pPr>
              <w:pStyle w:val="12"/>
            </w:pPr>
            <w:r>
              <w:t>40.45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40.45</w:t>
            </w:r>
          </w:p>
        </w:tc>
        <w:tc>
          <w:tcPr>
            <w:tcW w:w="1134" w:type="dxa"/>
            <w:vAlign w:val="center"/>
          </w:tcPr>
          <w:p>
            <w:pPr>
              <w:pStyle w:val="12"/>
            </w:pPr>
            <w:r>
              <w:t>40.45</w:t>
            </w:r>
          </w:p>
        </w:tc>
        <w:tc>
          <w:tcPr>
            <w:tcW w:w="1134" w:type="dxa"/>
            <w:vAlign w:val="center"/>
          </w:tcPr>
          <w:p>
            <w:pPr>
              <w:pStyle w:val="12"/>
            </w:pPr>
            <w:r>
              <w:t>40.45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40.45</w:t>
            </w:r>
          </w:p>
        </w:tc>
        <w:tc>
          <w:tcPr>
            <w:tcW w:w="1134" w:type="dxa"/>
            <w:vAlign w:val="center"/>
          </w:tcPr>
          <w:p>
            <w:pPr>
              <w:pStyle w:val="12"/>
            </w:pPr>
            <w:r>
              <w:t>40.45</w:t>
            </w:r>
          </w:p>
        </w:tc>
        <w:tc>
          <w:tcPr>
            <w:tcW w:w="1134" w:type="dxa"/>
            <w:vAlign w:val="center"/>
          </w:tcPr>
          <w:p>
            <w:pPr>
              <w:pStyle w:val="12"/>
            </w:pPr>
            <w:r>
              <w:t>40.45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1586.02</w:t>
            </w:r>
          </w:p>
        </w:tc>
        <w:tc>
          <w:tcPr>
            <w:tcW w:w="1361" w:type="dxa"/>
            <w:vAlign w:val="center"/>
          </w:tcPr>
          <w:p>
            <w:pPr>
              <w:pStyle w:val="16"/>
            </w:pPr>
            <w:r>
              <w:t>600.48</w:t>
            </w:r>
          </w:p>
        </w:tc>
        <w:tc>
          <w:tcPr>
            <w:tcW w:w="1361" w:type="dxa"/>
            <w:vAlign w:val="center"/>
          </w:tcPr>
          <w:p>
            <w:pPr>
              <w:pStyle w:val="16"/>
            </w:pPr>
            <w:r>
              <w:t>985.54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1470.67</w:t>
            </w:r>
          </w:p>
        </w:tc>
        <w:tc>
          <w:tcPr>
            <w:tcW w:w="1361" w:type="dxa"/>
            <w:vAlign w:val="center"/>
          </w:tcPr>
          <w:p>
            <w:pPr>
              <w:pStyle w:val="12"/>
            </w:pPr>
            <w:r>
              <w:t>485.13</w:t>
            </w:r>
          </w:p>
        </w:tc>
        <w:tc>
          <w:tcPr>
            <w:tcW w:w="1361" w:type="dxa"/>
            <w:vAlign w:val="center"/>
          </w:tcPr>
          <w:p>
            <w:pPr>
              <w:pStyle w:val="12"/>
            </w:pPr>
            <w:r>
              <w:t>985.54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1470.67</w:t>
            </w:r>
          </w:p>
        </w:tc>
        <w:tc>
          <w:tcPr>
            <w:tcW w:w="1361" w:type="dxa"/>
            <w:vAlign w:val="center"/>
          </w:tcPr>
          <w:p>
            <w:pPr>
              <w:pStyle w:val="12"/>
            </w:pPr>
            <w:r>
              <w:t>485.13</w:t>
            </w:r>
          </w:p>
        </w:tc>
        <w:tc>
          <w:tcPr>
            <w:tcW w:w="1361" w:type="dxa"/>
            <w:vAlign w:val="center"/>
          </w:tcPr>
          <w:p>
            <w:pPr>
              <w:pStyle w:val="12"/>
            </w:pPr>
            <w:r>
              <w:t>985.54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485.13</w:t>
            </w:r>
          </w:p>
        </w:tc>
        <w:tc>
          <w:tcPr>
            <w:tcW w:w="1361" w:type="dxa"/>
            <w:vAlign w:val="center"/>
          </w:tcPr>
          <w:p>
            <w:pPr>
              <w:pStyle w:val="12"/>
            </w:pPr>
            <w:r>
              <w:t>485.13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201.90</w:t>
            </w:r>
          </w:p>
        </w:tc>
        <w:tc>
          <w:tcPr>
            <w:tcW w:w="1361" w:type="dxa"/>
            <w:vAlign w:val="center"/>
          </w:tcPr>
          <w:p>
            <w:pPr>
              <w:pStyle w:val="12"/>
            </w:pPr>
          </w:p>
        </w:tc>
        <w:tc>
          <w:tcPr>
            <w:tcW w:w="1361" w:type="dxa"/>
            <w:vAlign w:val="center"/>
          </w:tcPr>
          <w:p>
            <w:pPr>
              <w:pStyle w:val="12"/>
            </w:pPr>
            <w:r>
              <w:t>201.90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778.64</w:t>
            </w:r>
          </w:p>
        </w:tc>
        <w:tc>
          <w:tcPr>
            <w:tcW w:w="1361" w:type="dxa"/>
            <w:vAlign w:val="center"/>
          </w:tcPr>
          <w:p>
            <w:pPr>
              <w:pStyle w:val="12"/>
            </w:pPr>
          </w:p>
        </w:tc>
        <w:tc>
          <w:tcPr>
            <w:tcW w:w="1361" w:type="dxa"/>
            <w:vAlign w:val="center"/>
          </w:tcPr>
          <w:p>
            <w:pPr>
              <w:pStyle w:val="12"/>
            </w:pPr>
            <w:r>
              <w:t>778.64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2013150</w:t>
            </w:r>
          </w:p>
        </w:tc>
        <w:tc>
          <w:tcPr>
            <w:tcW w:w="4535" w:type="dxa"/>
            <w:vAlign w:val="center"/>
          </w:tcPr>
          <w:p>
            <w:pPr>
              <w:pStyle w:val="13"/>
            </w:pPr>
            <w:r>
              <w:t>事业运行</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50.49</w:t>
            </w:r>
          </w:p>
        </w:tc>
        <w:tc>
          <w:tcPr>
            <w:tcW w:w="1361" w:type="dxa"/>
            <w:vAlign w:val="center"/>
          </w:tcPr>
          <w:p>
            <w:pPr>
              <w:pStyle w:val="12"/>
            </w:pPr>
            <w:r>
              <w:t>50.49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50.49</w:t>
            </w:r>
          </w:p>
        </w:tc>
        <w:tc>
          <w:tcPr>
            <w:tcW w:w="1361" w:type="dxa"/>
            <w:vAlign w:val="center"/>
          </w:tcPr>
          <w:p>
            <w:pPr>
              <w:pStyle w:val="12"/>
            </w:pPr>
            <w:r>
              <w:t>50.49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50.49</w:t>
            </w:r>
          </w:p>
        </w:tc>
        <w:tc>
          <w:tcPr>
            <w:tcW w:w="1361" w:type="dxa"/>
            <w:vAlign w:val="center"/>
          </w:tcPr>
          <w:p>
            <w:pPr>
              <w:pStyle w:val="12"/>
            </w:pPr>
            <w:r>
              <w:t>50.49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24.41</w:t>
            </w:r>
          </w:p>
        </w:tc>
        <w:tc>
          <w:tcPr>
            <w:tcW w:w="1361" w:type="dxa"/>
            <w:vAlign w:val="center"/>
          </w:tcPr>
          <w:p>
            <w:pPr>
              <w:pStyle w:val="12"/>
            </w:pPr>
            <w:r>
              <w:t>24.41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24.41</w:t>
            </w:r>
          </w:p>
        </w:tc>
        <w:tc>
          <w:tcPr>
            <w:tcW w:w="1361" w:type="dxa"/>
            <w:vAlign w:val="center"/>
          </w:tcPr>
          <w:p>
            <w:pPr>
              <w:pStyle w:val="12"/>
            </w:pPr>
            <w:r>
              <w:t>24.41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24.41</w:t>
            </w:r>
          </w:p>
        </w:tc>
        <w:tc>
          <w:tcPr>
            <w:tcW w:w="1361" w:type="dxa"/>
            <w:vAlign w:val="center"/>
          </w:tcPr>
          <w:p>
            <w:pPr>
              <w:pStyle w:val="12"/>
            </w:pPr>
            <w:r>
              <w:t>24.41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40.45</w:t>
            </w:r>
          </w:p>
        </w:tc>
        <w:tc>
          <w:tcPr>
            <w:tcW w:w="1361" w:type="dxa"/>
            <w:vAlign w:val="center"/>
          </w:tcPr>
          <w:p>
            <w:pPr>
              <w:pStyle w:val="12"/>
            </w:pPr>
            <w:r>
              <w:t>40.45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40.45</w:t>
            </w:r>
          </w:p>
        </w:tc>
        <w:tc>
          <w:tcPr>
            <w:tcW w:w="1361" w:type="dxa"/>
            <w:vAlign w:val="center"/>
          </w:tcPr>
          <w:p>
            <w:pPr>
              <w:pStyle w:val="12"/>
            </w:pPr>
            <w:r>
              <w:t>40.45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40.45</w:t>
            </w:r>
          </w:p>
        </w:tc>
        <w:tc>
          <w:tcPr>
            <w:tcW w:w="1361" w:type="dxa"/>
            <w:vAlign w:val="center"/>
          </w:tcPr>
          <w:p>
            <w:pPr>
              <w:pStyle w:val="12"/>
            </w:pPr>
            <w:r>
              <w:t>40.45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1586.02</w:t>
            </w:r>
          </w:p>
        </w:tc>
        <w:tc>
          <w:tcPr>
            <w:tcW w:w="3402" w:type="dxa"/>
            <w:vAlign w:val="center"/>
          </w:tcPr>
          <w:p>
            <w:pPr>
              <w:pStyle w:val="13"/>
            </w:pPr>
            <w:r>
              <w:t>一、一般公共服务支出</w:t>
            </w:r>
          </w:p>
        </w:tc>
        <w:tc>
          <w:tcPr>
            <w:tcW w:w="1474" w:type="dxa"/>
            <w:vAlign w:val="center"/>
          </w:tcPr>
          <w:p>
            <w:pPr>
              <w:pStyle w:val="12"/>
            </w:pPr>
            <w:r>
              <w:t>1470.67</w:t>
            </w:r>
          </w:p>
        </w:tc>
        <w:tc>
          <w:tcPr>
            <w:tcW w:w="1474" w:type="dxa"/>
            <w:vAlign w:val="center"/>
          </w:tcPr>
          <w:p>
            <w:pPr>
              <w:pStyle w:val="12"/>
            </w:pPr>
            <w:r>
              <w:t>1470.67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50.49</w:t>
            </w:r>
          </w:p>
        </w:tc>
        <w:tc>
          <w:tcPr>
            <w:tcW w:w="1474" w:type="dxa"/>
            <w:vAlign w:val="center"/>
          </w:tcPr>
          <w:p>
            <w:pPr>
              <w:pStyle w:val="12"/>
            </w:pPr>
            <w:r>
              <w:t>50.49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24.41</w:t>
            </w:r>
          </w:p>
        </w:tc>
        <w:tc>
          <w:tcPr>
            <w:tcW w:w="1474" w:type="dxa"/>
            <w:vAlign w:val="center"/>
          </w:tcPr>
          <w:p>
            <w:pPr>
              <w:pStyle w:val="12"/>
            </w:pPr>
            <w:r>
              <w:t>24.41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40.45</w:t>
            </w:r>
          </w:p>
        </w:tc>
        <w:tc>
          <w:tcPr>
            <w:tcW w:w="1474" w:type="dxa"/>
            <w:vAlign w:val="center"/>
          </w:tcPr>
          <w:p>
            <w:pPr>
              <w:pStyle w:val="12"/>
            </w:pPr>
            <w:r>
              <w:t>40.45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1586.02</w:t>
            </w:r>
          </w:p>
        </w:tc>
        <w:tc>
          <w:tcPr>
            <w:tcW w:w="3402" w:type="dxa"/>
            <w:vAlign w:val="center"/>
          </w:tcPr>
          <w:p>
            <w:pPr>
              <w:pStyle w:val="15"/>
            </w:pPr>
            <w:r>
              <w:t>本年支出合计</w:t>
            </w:r>
          </w:p>
        </w:tc>
        <w:tc>
          <w:tcPr>
            <w:tcW w:w="1474" w:type="dxa"/>
            <w:vAlign w:val="center"/>
          </w:tcPr>
          <w:p>
            <w:pPr>
              <w:pStyle w:val="16"/>
            </w:pPr>
            <w:r>
              <w:t>1586.02</w:t>
            </w:r>
          </w:p>
        </w:tc>
        <w:tc>
          <w:tcPr>
            <w:tcW w:w="1474" w:type="dxa"/>
            <w:vAlign w:val="center"/>
          </w:tcPr>
          <w:p>
            <w:pPr>
              <w:pStyle w:val="16"/>
            </w:pPr>
            <w:r>
              <w:t>1586.02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1586.02</w:t>
            </w:r>
          </w:p>
        </w:tc>
        <w:tc>
          <w:tcPr>
            <w:tcW w:w="3402" w:type="dxa"/>
            <w:vAlign w:val="center"/>
          </w:tcPr>
          <w:p>
            <w:pPr>
              <w:pStyle w:val="15"/>
            </w:pPr>
            <w:r>
              <w:t>支出总计</w:t>
            </w:r>
          </w:p>
        </w:tc>
        <w:tc>
          <w:tcPr>
            <w:tcW w:w="1474" w:type="dxa"/>
            <w:vAlign w:val="center"/>
          </w:tcPr>
          <w:p>
            <w:pPr>
              <w:pStyle w:val="16"/>
            </w:pPr>
            <w:r>
              <w:t>1586.02</w:t>
            </w:r>
          </w:p>
        </w:tc>
        <w:tc>
          <w:tcPr>
            <w:tcW w:w="1474" w:type="dxa"/>
            <w:vAlign w:val="center"/>
          </w:tcPr>
          <w:p>
            <w:pPr>
              <w:pStyle w:val="16"/>
            </w:pPr>
            <w:r>
              <w:t>1586.02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1586.02</w:t>
            </w:r>
          </w:p>
        </w:tc>
        <w:tc>
          <w:tcPr>
            <w:tcW w:w="2551" w:type="dxa"/>
            <w:vAlign w:val="center"/>
          </w:tcPr>
          <w:p>
            <w:pPr>
              <w:pStyle w:val="16"/>
            </w:pPr>
            <w:r>
              <w:t>600.48</w:t>
            </w:r>
          </w:p>
        </w:tc>
        <w:tc>
          <w:tcPr>
            <w:tcW w:w="2551" w:type="dxa"/>
            <w:vAlign w:val="center"/>
          </w:tcPr>
          <w:p>
            <w:pPr>
              <w:pStyle w:val="16"/>
            </w:pPr>
            <w:r>
              <w:t>985.54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1470.67</w:t>
            </w:r>
          </w:p>
        </w:tc>
        <w:tc>
          <w:tcPr>
            <w:tcW w:w="2551" w:type="dxa"/>
            <w:vAlign w:val="center"/>
          </w:tcPr>
          <w:p>
            <w:pPr>
              <w:pStyle w:val="12"/>
            </w:pPr>
            <w:r>
              <w:t>485.13</w:t>
            </w:r>
          </w:p>
        </w:tc>
        <w:tc>
          <w:tcPr>
            <w:tcW w:w="2551" w:type="dxa"/>
            <w:vAlign w:val="center"/>
          </w:tcPr>
          <w:p>
            <w:pPr>
              <w:pStyle w:val="12"/>
            </w:pPr>
            <w:r>
              <w:t>985.54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1470.67</w:t>
            </w:r>
          </w:p>
        </w:tc>
        <w:tc>
          <w:tcPr>
            <w:tcW w:w="2551" w:type="dxa"/>
            <w:vAlign w:val="center"/>
          </w:tcPr>
          <w:p>
            <w:pPr>
              <w:pStyle w:val="12"/>
            </w:pPr>
            <w:r>
              <w:t>485.13</w:t>
            </w:r>
          </w:p>
        </w:tc>
        <w:tc>
          <w:tcPr>
            <w:tcW w:w="2551" w:type="dxa"/>
            <w:vAlign w:val="center"/>
          </w:tcPr>
          <w:p>
            <w:pPr>
              <w:pStyle w:val="12"/>
            </w:pPr>
            <w:r>
              <w:t>985.54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485.13</w:t>
            </w:r>
          </w:p>
        </w:tc>
        <w:tc>
          <w:tcPr>
            <w:tcW w:w="2551" w:type="dxa"/>
            <w:vAlign w:val="center"/>
          </w:tcPr>
          <w:p>
            <w:pPr>
              <w:pStyle w:val="12"/>
            </w:pPr>
            <w:r>
              <w:t>485.13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201.90</w:t>
            </w:r>
          </w:p>
        </w:tc>
        <w:tc>
          <w:tcPr>
            <w:tcW w:w="2551" w:type="dxa"/>
            <w:vAlign w:val="center"/>
          </w:tcPr>
          <w:p>
            <w:pPr>
              <w:pStyle w:val="12"/>
            </w:pPr>
          </w:p>
        </w:tc>
        <w:tc>
          <w:tcPr>
            <w:tcW w:w="2551" w:type="dxa"/>
            <w:vAlign w:val="center"/>
          </w:tcPr>
          <w:p>
            <w:pPr>
              <w:pStyle w:val="12"/>
            </w:pPr>
            <w:r>
              <w:t>201.90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778.64</w:t>
            </w:r>
          </w:p>
        </w:tc>
        <w:tc>
          <w:tcPr>
            <w:tcW w:w="2551" w:type="dxa"/>
            <w:vAlign w:val="center"/>
          </w:tcPr>
          <w:p>
            <w:pPr>
              <w:pStyle w:val="12"/>
            </w:pPr>
          </w:p>
        </w:tc>
        <w:tc>
          <w:tcPr>
            <w:tcW w:w="2551" w:type="dxa"/>
            <w:vAlign w:val="center"/>
          </w:tcPr>
          <w:p>
            <w:pPr>
              <w:pStyle w:val="12"/>
            </w:pPr>
            <w:r>
              <w:t>778.64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2013150</w:t>
            </w:r>
          </w:p>
        </w:tc>
        <w:tc>
          <w:tcPr>
            <w:tcW w:w="4535" w:type="dxa"/>
            <w:vAlign w:val="center"/>
          </w:tcPr>
          <w:p>
            <w:pPr>
              <w:pStyle w:val="13"/>
            </w:pPr>
            <w:r>
              <w:t>事业运行</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50.49</w:t>
            </w:r>
          </w:p>
        </w:tc>
        <w:tc>
          <w:tcPr>
            <w:tcW w:w="2551" w:type="dxa"/>
            <w:vAlign w:val="center"/>
          </w:tcPr>
          <w:p>
            <w:pPr>
              <w:pStyle w:val="12"/>
            </w:pPr>
            <w:r>
              <w:t>50.49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50.49</w:t>
            </w:r>
          </w:p>
        </w:tc>
        <w:tc>
          <w:tcPr>
            <w:tcW w:w="2551" w:type="dxa"/>
            <w:vAlign w:val="center"/>
          </w:tcPr>
          <w:p>
            <w:pPr>
              <w:pStyle w:val="12"/>
            </w:pPr>
            <w:r>
              <w:t>50.49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50.49</w:t>
            </w:r>
          </w:p>
        </w:tc>
        <w:tc>
          <w:tcPr>
            <w:tcW w:w="2551" w:type="dxa"/>
            <w:vAlign w:val="center"/>
          </w:tcPr>
          <w:p>
            <w:pPr>
              <w:pStyle w:val="12"/>
            </w:pPr>
            <w:r>
              <w:t>50.49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24.41</w:t>
            </w:r>
          </w:p>
        </w:tc>
        <w:tc>
          <w:tcPr>
            <w:tcW w:w="2551" w:type="dxa"/>
            <w:vAlign w:val="center"/>
          </w:tcPr>
          <w:p>
            <w:pPr>
              <w:pStyle w:val="12"/>
            </w:pPr>
            <w:r>
              <w:t>24.41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24.41</w:t>
            </w:r>
          </w:p>
        </w:tc>
        <w:tc>
          <w:tcPr>
            <w:tcW w:w="2551" w:type="dxa"/>
            <w:vAlign w:val="center"/>
          </w:tcPr>
          <w:p>
            <w:pPr>
              <w:pStyle w:val="12"/>
            </w:pPr>
            <w:r>
              <w:t>24.41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24.41</w:t>
            </w:r>
          </w:p>
        </w:tc>
        <w:tc>
          <w:tcPr>
            <w:tcW w:w="2551" w:type="dxa"/>
            <w:vAlign w:val="center"/>
          </w:tcPr>
          <w:p>
            <w:pPr>
              <w:pStyle w:val="12"/>
            </w:pPr>
            <w:r>
              <w:t>24.41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40.45</w:t>
            </w:r>
          </w:p>
        </w:tc>
        <w:tc>
          <w:tcPr>
            <w:tcW w:w="2551" w:type="dxa"/>
            <w:vAlign w:val="center"/>
          </w:tcPr>
          <w:p>
            <w:pPr>
              <w:pStyle w:val="12"/>
            </w:pPr>
            <w:r>
              <w:t>40.45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40.45</w:t>
            </w:r>
          </w:p>
        </w:tc>
        <w:tc>
          <w:tcPr>
            <w:tcW w:w="2551" w:type="dxa"/>
            <w:vAlign w:val="center"/>
          </w:tcPr>
          <w:p>
            <w:pPr>
              <w:pStyle w:val="12"/>
            </w:pPr>
            <w:r>
              <w:t>40.45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40.45</w:t>
            </w:r>
          </w:p>
        </w:tc>
        <w:tc>
          <w:tcPr>
            <w:tcW w:w="2551" w:type="dxa"/>
            <w:vAlign w:val="center"/>
          </w:tcPr>
          <w:p>
            <w:pPr>
              <w:pStyle w:val="12"/>
            </w:pPr>
            <w:r>
              <w:t>40.45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600.48</w:t>
            </w:r>
          </w:p>
        </w:tc>
        <w:tc>
          <w:tcPr>
            <w:tcW w:w="2551" w:type="dxa"/>
            <w:vAlign w:val="center"/>
          </w:tcPr>
          <w:p>
            <w:pPr>
              <w:pStyle w:val="16"/>
            </w:pPr>
            <w:r>
              <w:t>549.58</w:t>
            </w:r>
          </w:p>
        </w:tc>
        <w:tc>
          <w:tcPr>
            <w:tcW w:w="2551" w:type="dxa"/>
            <w:vAlign w:val="center"/>
          </w:tcPr>
          <w:p>
            <w:pPr>
              <w:pStyle w:val="16"/>
            </w:pPr>
            <w:r>
              <w:t>50.90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527.58</w:t>
            </w:r>
          </w:p>
        </w:tc>
        <w:tc>
          <w:tcPr>
            <w:tcW w:w="2551" w:type="dxa"/>
            <w:vAlign w:val="center"/>
          </w:tcPr>
          <w:p>
            <w:pPr>
              <w:pStyle w:val="12"/>
            </w:pPr>
            <w:r>
              <w:t>527.58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246.98</w:t>
            </w:r>
          </w:p>
        </w:tc>
        <w:tc>
          <w:tcPr>
            <w:tcW w:w="2551" w:type="dxa"/>
            <w:vAlign w:val="center"/>
          </w:tcPr>
          <w:p>
            <w:pPr>
              <w:pStyle w:val="12"/>
            </w:pPr>
            <w:r>
              <w:t>246.98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57.68</w:t>
            </w:r>
          </w:p>
        </w:tc>
        <w:tc>
          <w:tcPr>
            <w:tcW w:w="2551" w:type="dxa"/>
            <w:vAlign w:val="center"/>
          </w:tcPr>
          <w:p>
            <w:pPr>
              <w:pStyle w:val="12"/>
            </w:pPr>
            <w:r>
              <w:t>57.68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43.64</w:t>
            </w:r>
          </w:p>
        </w:tc>
        <w:tc>
          <w:tcPr>
            <w:tcW w:w="2551" w:type="dxa"/>
            <w:vAlign w:val="center"/>
          </w:tcPr>
          <w:p>
            <w:pPr>
              <w:pStyle w:val="12"/>
            </w:pPr>
            <w:r>
              <w:t>43.64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62.36</w:t>
            </w:r>
          </w:p>
        </w:tc>
        <w:tc>
          <w:tcPr>
            <w:tcW w:w="2551" w:type="dxa"/>
            <w:vAlign w:val="center"/>
          </w:tcPr>
          <w:p>
            <w:pPr>
              <w:pStyle w:val="12"/>
            </w:pPr>
            <w:r>
              <w:t>62.36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50.49</w:t>
            </w:r>
          </w:p>
        </w:tc>
        <w:tc>
          <w:tcPr>
            <w:tcW w:w="2551" w:type="dxa"/>
            <w:vAlign w:val="center"/>
          </w:tcPr>
          <w:p>
            <w:pPr>
              <w:pStyle w:val="12"/>
            </w:pPr>
            <w:r>
              <w:t>50.49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24.41</w:t>
            </w:r>
          </w:p>
        </w:tc>
        <w:tc>
          <w:tcPr>
            <w:tcW w:w="2551" w:type="dxa"/>
            <w:vAlign w:val="center"/>
          </w:tcPr>
          <w:p>
            <w:pPr>
              <w:pStyle w:val="12"/>
            </w:pPr>
            <w:r>
              <w:t>24.41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1.58</w:t>
            </w:r>
          </w:p>
        </w:tc>
        <w:tc>
          <w:tcPr>
            <w:tcW w:w="2551" w:type="dxa"/>
            <w:vAlign w:val="center"/>
          </w:tcPr>
          <w:p>
            <w:pPr>
              <w:pStyle w:val="12"/>
            </w:pPr>
            <w:r>
              <w:t>1.58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40.45</w:t>
            </w:r>
          </w:p>
        </w:tc>
        <w:tc>
          <w:tcPr>
            <w:tcW w:w="2551" w:type="dxa"/>
            <w:vAlign w:val="center"/>
          </w:tcPr>
          <w:p>
            <w:pPr>
              <w:pStyle w:val="12"/>
            </w:pPr>
            <w:r>
              <w:t>40.45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50.90</w:t>
            </w:r>
          </w:p>
        </w:tc>
        <w:tc>
          <w:tcPr>
            <w:tcW w:w="2551" w:type="dxa"/>
            <w:vAlign w:val="center"/>
          </w:tcPr>
          <w:p>
            <w:pPr>
              <w:pStyle w:val="12"/>
            </w:pPr>
          </w:p>
        </w:tc>
        <w:tc>
          <w:tcPr>
            <w:tcW w:w="2551" w:type="dxa"/>
            <w:vAlign w:val="center"/>
          </w:tcPr>
          <w:p>
            <w:pPr>
              <w:pStyle w:val="12"/>
            </w:pPr>
            <w:r>
              <w:t>50.90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9.57</w:t>
            </w:r>
          </w:p>
        </w:tc>
        <w:tc>
          <w:tcPr>
            <w:tcW w:w="2551" w:type="dxa"/>
            <w:vAlign w:val="center"/>
          </w:tcPr>
          <w:p>
            <w:pPr>
              <w:pStyle w:val="12"/>
            </w:pPr>
          </w:p>
        </w:tc>
        <w:tc>
          <w:tcPr>
            <w:tcW w:w="2551" w:type="dxa"/>
            <w:vAlign w:val="center"/>
          </w:tcPr>
          <w:p>
            <w:pPr>
              <w:pStyle w:val="12"/>
            </w:pPr>
            <w:r>
              <w:t>9.57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0.46</w:t>
            </w:r>
          </w:p>
        </w:tc>
        <w:tc>
          <w:tcPr>
            <w:tcW w:w="2551" w:type="dxa"/>
            <w:vAlign w:val="center"/>
          </w:tcPr>
          <w:p>
            <w:pPr>
              <w:pStyle w:val="12"/>
            </w:pPr>
          </w:p>
        </w:tc>
        <w:tc>
          <w:tcPr>
            <w:tcW w:w="2551" w:type="dxa"/>
            <w:vAlign w:val="center"/>
          </w:tcPr>
          <w:p>
            <w:pPr>
              <w:pStyle w:val="12"/>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30.90</w:t>
            </w:r>
          </w:p>
        </w:tc>
        <w:tc>
          <w:tcPr>
            <w:tcW w:w="2551" w:type="dxa"/>
            <w:vAlign w:val="center"/>
          </w:tcPr>
          <w:p>
            <w:pPr>
              <w:pStyle w:val="12"/>
            </w:pPr>
          </w:p>
        </w:tc>
        <w:tc>
          <w:tcPr>
            <w:tcW w:w="2551" w:type="dxa"/>
            <w:vAlign w:val="center"/>
          </w:tcPr>
          <w:p>
            <w:pPr>
              <w:pStyle w:val="12"/>
            </w:pPr>
            <w:r>
              <w:t>30.90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21.28</w:t>
            </w:r>
          </w:p>
        </w:tc>
        <w:tc>
          <w:tcPr>
            <w:tcW w:w="2551" w:type="dxa"/>
            <w:vAlign w:val="center"/>
          </w:tcPr>
          <w:p>
            <w:pPr>
              <w:pStyle w:val="12"/>
            </w:pPr>
            <w:r>
              <w:t>21.28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p>
    <w:tbl>
      <w:tblPr>
        <w:tblStyle w:val="5"/>
        <w:tblW w:w="123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3"/>
        <w:gridCol w:w="4137"/>
        <w:gridCol w:w="1643"/>
        <w:gridCol w:w="1643"/>
        <w:gridCol w:w="1643"/>
        <w:gridCol w:w="17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0" w:type="dxa"/>
            <w:gridSpan w:val="2"/>
            <w:tcBorders>
              <w:top w:val="single" w:color="FFFFFF" w:sz="6" w:space="0"/>
              <w:left w:val="single" w:color="FFFFFF" w:sz="6" w:space="0"/>
              <w:right w:val="single" w:color="FFFFFF" w:sz="6" w:space="0"/>
            </w:tcBorders>
            <w:vAlign w:val="center"/>
          </w:tcPr>
          <w:p>
            <w:pPr>
              <w:rPr>
                <w:rFonts w:ascii="Times New Roman" w:hAnsi="Times New Roman" w:eastAsia="Times New Roman" w:cstheme="minorBidi"/>
                <w:color w:val="auto"/>
                <w:sz w:val="24"/>
                <w:szCs w:val="24"/>
                <w:lang w:val="en-US" w:eastAsia="uk-UA" w:bidi="ar-SA"/>
              </w:rPr>
            </w:pPr>
            <w:r>
              <w:rPr>
                <w:rFonts w:ascii="Times New Roman" w:hAnsi="Times New Roman" w:eastAsia="Times New Roman" w:cstheme="minorBidi"/>
                <w:color w:val="auto"/>
                <w:sz w:val="24"/>
                <w:szCs w:val="24"/>
                <w:lang w:val="en-US" w:eastAsia="uk-UA" w:bidi="ar-SA"/>
              </w:rPr>
              <w:t>201中国共产党隆尧县委员会办公室</w:t>
            </w:r>
          </w:p>
        </w:tc>
        <w:tc>
          <w:tcPr>
            <w:tcW w:w="3286" w:type="dxa"/>
            <w:gridSpan w:val="2"/>
            <w:tcBorders>
              <w:top w:val="single" w:color="FFFFFF" w:sz="6" w:space="0"/>
              <w:left w:val="single" w:color="FFFFFF" w:sz="6" w:space="0"/>
              <w:right w:val="single" w:color="FFFFFF" w:sz="6" w:space="0"/>
            </w:tcBorders>
          </w:tcPr>
          <w:p>
            <w:pPr>
              <w:pStyle w:val="9"/>
              <w:rPr>
                <w:rFonts w:hint="eastAsia" w:ascii="Times New Roman" w:hAnsi="Times New Roman" w:eastAsia="SimSun" w:cstheme="minorBidi"/>
                <w:color w:val="auto"/>
                <w:sz w:val="24"/>
                <w:szCs w:val="24"/>
                <w:lang w:val="en-US" w:eastAsia="zh-CN" w:bidi="ar-SA"/>
              </w:rPr>
            </w:pPr>
            <w:r>
              <w:rPr>
                <w:rFonts w:ascii="Times New Roman" w:hAnsi="Times New Roman" w:eastAsia="Times New Roman" w:cstheme="minorBidi"/>
                <w:color w:val="auto"/>
                <w:sz w:val="24"/>
                <w:szCs w:val="24"/>
                <w:lang w:val="en-US" w:eastAsia="uk-UA" w:bidi="ar-SA"/>
              </w:rPr>
              <w:t>预算年度：202</w:t>
            </w:r>
            <w:r>
              <w:rPr>
                <w:rFonts w:hint="eastAsia" w:ascii="Times New Roman" w:hAnsi="Times New Roman" w:eastAsia="SimSun" w:cstheme="minorBidi"/>
                <w:color w:val="auto"/>
                <w:sz w:val="24"/>
                <w:szCs w:val="24"/>
                <w:lang w:val="en-US" w:eastAsia="zh-CN" w:bidi="ar-SA"/>
              </w:rPr>
              <w:t>5</w:t>
            </w:r>
          </w:p>
        </w:tc>
        <w:tc>
          <w:tcPr>
            <w:tcW w:w="1643" w:type="dxa"/>
            <w:tcBorders>
              <w:top w:val="single" w:color="FFFFFF" w:sz="6" w:space="0"/>
              <w:left w:val="single" w:color="FFFFFF" w:sz="6" w:space="0"/>
              <w:right w:val="single" w:color="FFFFFF" w:sz="6" w:space="0"/>
            </w:tcBorders>
            <w:vAlign w:val="center"/>
          </w:tcPr>
          <w:p>
            <w:pPr>
              <w:pStyle w:val="8"/>
              <w:rPr>
                <w:rFonts w:ascii="Times New Roman" w:hAnsi="Times New Roman" w:eastAsia="Times New Roman" w:cstheme="minorBidi"/>
                <w:color w:val="auto"/>
                <w:sz w:val="24"/>
                <w:szCs w:val="24"/>
                <w:lang w:val="en-US" w:eastAsia="uk-UA" w:bidi="ar-SA"/>
              </w:rPr>
            </w:pPr>
            <w:r>
              <w:rPr>
                <w:rFonts w:ascii="Times New Roman" w:hAnsi="Times New Roman" w:eastAsia="Times New Roman" w:cstheme="minorBidi"/>
                <w:color w:val="auto"/>
                <w:sz w:val="24"/>
                <w:szCs w:val="24"/>
                <w:lang w:val="en-US" w:eastAsia="uk-UA" w:bidi="ar-SA"/>
              </w:rPr>
              <w:t>单位：万元</w:t>
            </w:r>
          </w:p>
        </w:tc>
        <w:tc>
          <w:tcPr>
            <w:tcW w:w="1723" w:type="dxa"/>
            <w:tcBorders>
              <w:top w:val="single" w:color="FFFFFF" w:sz="6" w:space="0"/>
              <w:left w:val="single" w:color="FFFFFF" w:sz="6" w:space="0"/>
              <w:right w:val="single" w:color="FFFFFF" w:sz="6" w:space="0"/>
            </w:tcBorders>
          </w:tcPr>
          <w:p>
            <w:pP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3" w:type="dxa"/>
            <w:vMerge w:val="restart"/>
            <w:vAlign w:val="center"/>
          </w:tcPr>
          <w:p>
            <w:pPr>
              <w:pStyle w:val="11"/>
              <w:rPr>
                <w:color w:val="auto"/>
              </w:rPr>
            </w:pPr>
            <w:r>
              <w:rPr>
                <w:color w:val="auto"/>
              </w:rPr>
              <w:t>序号</w:t>
            </w:r>
          </w:p>
        </w:tc>
        <w:tc>
          <w:tcPr>
            <w:tcW w:w="4137" w:type="dxa"/>
            <w:vMerge w:val="restart"/>
            <w:vAlign w:val="center"/>
          </w:tcPr>
          <w:p>
            <w:pPr>
              <w:pStyle w:val="11"/>
              <w:rPr>
                <w:color w:val="auto"/>
              </w:rPr>
            </w:pPr>
            <w:r>
              <w:rPr>
                <w:color w:val="auto"/>
              </w:rPr>
              <w:t>项  目</w:t>
            </w:r>
          </w:p>
        </w:tc>
        <w:tc>
          <w:tcPr>
            <w:tcW w:w="1643" w:type="dxa"/>
            <w:vAlign w:val="center"/>
          </w:tcPr>
          <w:p>
            <w:pPr>
              <w:pStyle w:val="11"/>
              <w:rPr>
                <w:color w:val="auto"/>
              </w:rPr>
            </w:pPr>
            <w:r>
              <w:rPr>
                <w:color w:val="auto"/>
              </w:rPr>
              <w:t>资 金 性 质</w:t>
            </w:r>
          </w:p>
        </w:tc>
        <w:tc>
          <w:tcPr>
            <w:tcW w:w="1643" w:type="dxa"/>
          </w:tcPr>
          <w:p>
            <w:pPr>
              <w:rPr>
                <w:color w:val="auto"/>
              </w:rPr>
            </w:pPr>
          </w:p>
        </w:tc>
        <w:tc>
          <w:tcPr>
            <w:tcW w:w="1643" w:type="dxa"/>
          </w:tcPr>
          <w:p>
            <w:pPr>
              <w:rPr>
                <w:color w:val="auto"/>
              </w:rPr>
            </w:pPr>
          </w:p>
        </w:tc>
        <w:tc>
          <w:tcPr>
            <w:tcW w:w="1723" w:type="dxa"/>
          </w:tcPr>
          <w:p>
            <w:pPr>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43" w:type="dxa"/>
            <w:vMerge w:val="continue"/>
          </w:tcPr>
          <w:p>
            <w:pPr>
              <w:rPr>
                <w:color w:val="auto"/>
              </w:rPr>
            </w:pPr>
          </w:p>
        </w:tc>
        <w:tc>
          <w:tcPr>
            <w:tcW w:w="4137" w:type="dxa"/>
            <w:vMerge w:val="continue"/>
          </w:tcPr>
          <w:p>
            <w:pPr>
              <w:rPr>
                <w:color w:val="auto"/>
              </w:rPr>
            </w:pPr>
          </w:p>
        </w:tc>
        <w:tc>
          <w:tcPr>
            <w:tcW w:w="1643" w:type="dxa"/>
            <w:vAlign w:val="center"/>
          </w:tcPr>
          <w:p>
            <w:pPr>
              <w:pStyle w:val="11"/>
              <w:rPr>
                <w:color w:val="auto"/>
              </w:rPr>
            </w:pPr>
            <w:r>
              <w:rPr>
                <w:color w:val="auto"/>
              </w:rPr>
              <w:t>合计</w:t>
            </w:r>
          </w:p>
        </w:tc>
        <w:tc>
          <w:tcPr>
            <w:tcW w:w="1643" w:type="dxa"/>
            <w:vAlign w:val="center"/>
          </w:tcPr>
          <w:p>
            <w:pPr>
              <w:pStyle w:val="11"/>
              <w:rPr>
                <w:color w:val="auto"/>
              </w:rPr>
            </w:pPr>
            <w:r>
              <w:rPr>
                <w:color w:val="auto"/>
              </w:rPr>
              <w:t>一般公共预算              财政拨款</w:t>
            </w:r>
          </w:p>
        </w:tc>
        <w:tc>
          <w:tcPr>
            <w:tcW w:w="1643" w:type="dxa"/>
            <w:vAlign w:val="center"/>
          </w:tcPr>
          <w:p>
            <w:pPr>
              <w:pStyle w:val="11"/>
              <w:rPr>
                <w:color w:val="auto"/>
              </w:rPr>
            </w:pPr>
            <w:r>
              <w:rPr>
                <w:color w:val="auto"/>
              </w:rPr>
              <w:t>政府性基金                  预算拨款</w:t>
            </w:r>
          </w:p>
        </w:tc>
        <w:tc>
          <w:tcPr>
            <w:tcW w:w="1723" w:type="dxa"/>
            <w:vAlign w:val="center"/>
          </w:tcPr>
          <w:p>
            <w:pPr>
              <w:pStyle w:val="11"/>
              <w:rPr>
                <w:color w:val="auto"/>
              </w:rPr>
            </w:pPr>
            <w:r>
              <w:rPr>
                <w:color w:val="auto"/>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tblHeader/>
          <w:jc w:val="center"/>
        </w:trPr>
        <w:tc>
          <w:tcPr>
            <w:tcW w:w="1543" w:type="dxa"/>
            <w:vAlign w:val="center"/>
          </w:tcPr>
          <w:p>
            <w:pPr>
              <w:pStyle w:val="11"/>
              <w:rPr>
                <w:color w:val="auto"/>
              </w:rPr>
            </w:pPr>
            <w:r>
              <w:rPr>
                <w:color w:val="auto"/>
              </w:rPr>
              <w:t>栏次</w:t>
            </w:r>
          </w:p>
        </w:tc>
        <w:tc>
          <w:tcPr>
            <w:tcW w:w="4137" w:type="dxa"/>
            <w:vAlign w:val="center"/>
          </w:tcPr>
          <w:p>
            <w:pPr>
              <w:pStyle w:val="11"/>
              <w:rPr>
                <w:color w:val="auto"/>
              </w:rPr>
            </w:pPr>
            <w:r>
              <w:rPr>
                <w:color w:val="auto"/>
              </w:rPr>
              <w:t>1</w:t>
            </w:r>
          </w:p>
        </w:tc>
        <w:tc>
          <w:tcPr>
            <w:tcW w:w="1643" w:type="dxa"/>
            <w:vAlign w:val="center"/>
          </w:tcPr>
          <w:p>
            <w:pPr>
              <w:pStyle w:val="11"/>
              <w:rPr>
                <w:color w:val="auto"/>
              </w:rPr>
            </w:pPr>
            <w:r>
              <w:rPr>
                <w:color w:val="auto"/>
              </w:rPr>
              <w:t>2</w:t>
            </w:r>
          </w:p>
        </w:tc>
        <w:tc>
          <w:tcPr>
            <w:tcW w:w="1643" w:type="dxa"/>
            <w:vAlign w:val="center"/>
          </w:tcPr>
          <w:p>
            <w:pPr>
              <w:pStyle w:val="11"/>
              <w:rPr>
                <w:color w:val="auto"/>
              </w:rPr>
            </w:pPr>
            <w:r>
              <w:rPr>
                <w:color w:val="auto"/>
              </w:rPr>
              <w:t>3</w:t>
            </w:r>
          </w:p>
        </w:tc>
        <w:tc>
          <w:tcPr>
            <w:tcW w:w="1643" w:type="dxa"/>
            <w:vAlign w:val="center"/>
          </w:tcPr>
          <w:p>
            <w:pPr>
              <w:pStyle w:val="11"/>
              <w:rPr>
                <w:color w:val="auto"/>
              </w:rPr>
            </w:pPr>
            <w:r>
              <w:rPr>
                <w:color w:val="auto"/>
              </w:rPr>
              <w:t>4</w:t>
            </w:r>
          </w:p>
        </w:tc>
        <w:tc>
          <w:tcPr>
            <w:tcW w:w="1723" w:type="dxa"/>
            <w:vAlign w:val="center"/>
          </w:tcPr>
          <w:p>
            <w:pPr>
              <w:pStyle w:val="11"/>
              <w:rPr>
                <w:color w:val="auto"/>
              </w:rPr>
            </w:pPr>
            <w:r>
              <w:rPr>
                <w:color w:val="auto"/>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1</w:t>
            </w:r>
          </w:p>
        </w:tc>
        <w:tc>
          <w:tcPr>
            <w:tcW w:w="4137" w:type="dxa"/>
            <w:vAlign w:val="center"/>
          </w:tcPr>
          <w:p>
            <w:pPr>
              <w:pStyle w:val="15"/>
              <w:rPr>
                <w:color w:val="auto"/>
              </w:rPr>
            </w:pPr>
            <w:r>
              <w:rPr>
                <w:color w:val="auto"/>
              </w:rPr>
              <w:t>合计</w:t>
            </w:r>
          </w:p>
        </w:tc>
        <w:tc>
          <w:tcPr>
            <w:tcW w:w="1643" w:type="dxa"/>
            <w:vAlign w:val="center"/>
          </w:tcPr>
          <w:p>
            <w:pPr>
              <w:pStyle w:val="16"/>
              <w:rPr>
                <w:rFonts w:hint="default"/>
                <w:color w:val="auto"/>
                <w:lang w:val="en-US"/>
              </w:rPr>
            </w:pPr>
            <w:r>
              <w:rPr>
                <w:rFonts w:hint="eastAsia"/>
                <w:color w:val="auto"/>
                <w:lang w:val="en-US" w:eastAsia="zh-CN"/>
              </w:rPr>
              <w:t>94.70</w:t>
            </w:r>
          </w:p>
        </w:tc>
        <w:tc>
          <w:tcPr>
            <w:tcW w:w="1643" w:type="dxa"/>
            <w:vAlign w:val="center"/>
          </w:tcPr>
          <w:p>
            <w:pPr>
              <w:pStyle w:val="16"/>
              <w:rPr>
                <w:color w:val="auto"/>
              </w:rPr>
            </w:pPr>
            <w:r>
              <w:rPr>
                <w:rFonts w:hint="eastAsia"/>
                <w:color w:val="auto"/>
                <w:lang w:val="en-US" w:eastAsia="zh-CN"/>
              </w:rPr>
              <w:t>94.70</w:t>
            </w:r>
          </w:p>
        </w:tc>
        <w:tc>
          <w:tcPr>
            <w:tcW w:w="1643" w:type="dxa"/>
            <w:vAlign w:val="center"/>
          </w:tcPr>
          <w:p>
            <w:pPr>
              <w:pStyle w:val="16"/>
              <w:rPr>
                <w:color w:val="auto"/>
              </w:rPr>
            </w:pPr>
          </w:p>
        </w:tc>
        <w:tc>
          <w:tcPr>
            <w:tcW w:w="1723" w:type="dxa"/>
            <w:vAlign w:val="center"/>
          </w:tcPr>
          <w:p>
            <w:pPr>
              <w:pStyle w:val="16"/>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2</w:t>
            </w:r>
          </w:p>
        </w:tc>
        <w:tc>
          <w:tcPr>
            <w:tcW w:w="4137" w:type="dxa"/>
            <w:vAlign w:val="center"/>
          </w:tcPr>
          <w:p>
            <w:pPr>
              <w:pStyle w:val="13"/>
              <w:rPr>
                <w:color w:val="auto"/>
              </w:rPr>
            </w:pPr>
            <w:r>
              <w:rPr>
                <w:color w:val="auto"/>
              </w:rPr>
              <w:t>“三公”经费小计</w:t>
            </w:r>
          </w:p>
        </w:tc>
        <w:tc>
          <w:tcPr>
            <w:tcW w:w="1643" w:type="dxa"/>
            <w:vAlign w:val="center"/>
          </w:tcPr>
          <w:p>
            <w:pPr>
              <w:pStyle w:val="12"/>
              <w:rPr>
                <w:rFonts w:hint="default" w:eastAsia="方正书宋_GBK"/>
                <w:color w:val="auto"/>
                <w:lang w:val="en-US" w:eastAsia="zh-CN"/>
              </w:rPr>
            </w:pPr>
            <w:r>
              <w:rPr>
                <w:rFonts w:hint="eastAsia"/>
                <w:color w:val="auto"/>
                <w:lang w:val="en-US" w:eastAsia="zh-CN"/>
              </w:rPr>
              <w:t>84.20</w:t>
            </w:r>
          </w:p>
        </w:tc>
        <w:tc>
          <w:tcPr>
            <w:tcW w:w="1643" w:type="dxa"/>
            <w:vAlign w:val="center"/>
          </w:tcPr>
          <w:p>
            <w:pPr>
              <w:pStyle w:val="12"/>
              <w:rPr>
                <w:color w:val="auto"/>
              </w:rPr>
            </w:pPr>
            <w:r>
              <w:rPr>
                <w:rFonts w:hint="eastAsia"/>
                <w:color w:val="auto"/>
                <w:lang w:val="en-US" w:eastAsia="zh-CN"/>
              </w:rPr>
              <w:t>84.20</w:t>
            </w: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3</w:t>
            </w:r>
          </w:p>
        </w:tc>
        <w:tc>
          <w:tcPr>
            <w:tcW w:w="4137" w:type="dxa"/>
            <w:vAlign w:val="center"/>
          </w:tcPr>
          <w:p>
            <w:pPr>
              <w:pStyle w:val="13"/>
              <w:rPr>
                <w:color w:val="auto"/>
              </w:rPr>
            </w:pPr>
            <w:r>
              <w:rPr>
                <w:color w:val="auto"/>
              </w:rPr>
              <w:t>一、因公出国（境）费</w:t>
            </w:r>
          </w:p>
        </w:tc>
        <w:tc>
          <w:tcPr>
            <w:tcW w:w="1643" w:type="dxa"/>
            <w:vAlign w:val="center"/>
          </w:tcPr>
          <w:p>
            <w:pPr>
              <w:pStyle w:val="12"/>
              <w:rPr>
                <w:color w:val="auto"/>
              </w:rPr>
            </w:pPr>
          </w:p>
        </w:tc>
        <w:tc>
          <w:tcPr>
            <w:tcW w:w="1643" w:type="dxa"/>
            <w:vAlign w:val="center"/>
          </w:tcPr>
          <w:p>
            <w:pPr>
              <w:pStyle w:val="12"/>
              <w:rPr>
                <w:color w:val="auto"/>
              </w:rPr>
            </w:pP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4</w:t>
            </w:r>
          </w:p>
        </w:tc>
        <w:tc>
          <w:tcPr>
            <w:tcW w:w="4137" w:type="dxa"/>
            <w:vAlign w:val="center"/>
          </w:tcPr>
          <w:p>
            <w:pPr>
              <w:pStyle w:val="13"/>
              <w:rPr>
                <w:color w:val="auto"/>
              </w:rPr>
            </w:pPr>
            <w:r>
              <w:rPr>
                <w:color w:val="auto"/>
              </w:rPr>
              <w:t xml:space="preserve">    其中：教学科研人员因公出国（境）费</w:t>
            </w:r>
          </w:p>
        </w:tc>
        <w:tc>
          <w:tcPr>
            <w:tcW w:w="1643" w:type="dxa"/>
            <w:vAlign w:val="center"/>
          </w:tcPr>
          <w:p>
            <w:pPr>
              <w:pStyle w:val="12"/>
              <w:rPr>
                <w:color w:val="auto"/>
              </w:rPr>
            </w:pPr>
          </w:p>
        </w:tc>
        <w:tc>
          <w:tcPr>
            <w:tcW w:w="1643" w:type="dxa"/>
            <w:vAlign w:val="center"/>
          </w:tcPr>
          <w:p>
            <w:pPr>
              <w:pStyle w:val="12"/>
              <w:rPr>
                <w:color w:val="auto"/>
              </w:rPr>
            </w:pP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5</w:t>
            </w:r>
          </w:p>
        </w:tc>
        <w:tc>
          <w:tcPr>
            <w:tcW w:w="4137" w:type="dxa"/>
            <w:vAlign w:val="center"/>
          </w:tcPr>
          <w:p>
            <w:pPr>
              <w:pStyle w:val="13"/>
              <w:rPr>
                <w:color w:val="auto"/>
              </w:rPr>
            </w:pPr>
            <w:r>
              <w:rPr>
                <w:color w:val="auto"/>
              </w:rPr>
              <w:t xml:space="preserve">          其他因公出国（境）费</w:t>
            </w:r>
          </w:p>
        </w:tc>
        <w:tc>
          <w:tcPr>
            <w:tcW w:w="1643" w:type="dxa"/>
            <w:vAlign w:val="center"/>
          </w:tcPr>
          <w:p>
            <w:pPr>
              <w:pStyle w:val="12"/>
              <w:rPr>
                <w:color w:val="auto"/>
              </w:rPr>
            </w:pPr>
          </w:p>
        </w:tc>
        <w:tc>
          <w:tcPr>
            <w:tcW w:w="1643" w:type="dxa"/>
            <w:vAlign w:val="center"/>
          </w:tcPr>
          <w:p>
            <w:pPr>
              <w:pStyle w:val="12"/>
              <w:rPr>
                <w:color w:val="auto"/>
              </w:rPr>
            </w:pP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6</w:t>
            </w:r>
          </w:p>
        </w:tc>
        <w:tc>
          <w:tcPr>
            <w:tcW w:w="4137" w:type="dxa"/>
            <w:vAlign w:val="center"/>
          </w:tcPr>
          <w:p>
            <w:pPr>
              <w:pStyle w:val="13"/>
              <w:rPr>
                <w:color w:val="auto"/>
              </w:rPr>
            </w:pPr>
            <w:r>
              <w:rPr>
                <w:color w:val="auto"/>
              </w:rPr>
              <w:t>二、公务用车购置及运维费</w:t>
            </w:r>
          </w:p>
        </w:tc>
        <w:tc>
          <w:tcPr>
            <w:tcW w:w="1643" w:type="dxa"/>
            <w:vAlign w:val="center"/>
          </w:tcPr>
          <w:p>
            <w:pPr>
              <w:pStyle w:val="12"/>
              <w:ind w:firstLine="0" w:firstLineChars="0"/>
              <w:rPr>
                <w:rFonts w:hint="default" w:eastAsia="方正书宋_GBK"/>
                <w:color w:val="auto"/>
                <w:lang w:val="en-US" w:eastAsia="zh-CN"/>
              </w:rPr>
            </w:pPr>
            <w:r>
              <w:rPr>
                <w:color w:val="auto"/>
              </w:rPr>
              <w:t>80.00</w:t>
            </w:r>
          </w:p>
        </w:tc>
        <w:tc>
          <w:tcPr>
            <w:tcW w:w="1643" w:type="dxa"/>
            <w:vAlign w:val="center"/>
          </w:tcPr>
          <w:p>
            <w:pPr>
              <w:pStyle w:val="12"/>
              <w:ind w:firstLine="0" w:firstLineChars="0"/>
              <w:rPr>
                <w:color w:val="auto"/>
              </w:rPr>
            </w:pPr>
            <w:r>
              <w:rPr>
                <w:color w:val="auto"/>
              </w:rPr>
              <w:t>80.00</w:t>
            </w: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7</w:t>
            </w:r>
          </w:p>
        </w:tc>
        <w:tc>
          <w:tcPr>
            <w:tcW w:w="4137" w:type="dxa"/>
            <w:vAlign w:val="center"/>
          </w:tcPr>
          <w:p>
            <w:pPr>
              <w:pStyle w:val="13"/>
              <w:rPr>
                <w:color w:val="auto"/>
              </w:rPr>
            </w:pPr>
            <w:r>
              <w:rPr>
                <w:color w:val="auto"/>
              </w:rPr>
              <w:t xml:space="preserve">    其中：公务用车购置费</w:t>
            </w:r>
          </w:p>
        </w:tc>
        <w:tc>
          <w:tcPr>
            <w:tcW w:w="1643" w:type="dxa"/>
            <w:vAlign w:val="center"/>
          </w:tcPr>
          <w:p>
            <w:pPr>
              <w:pStyle w:val="12"/>
              <w:rPr>
                <w:color w:val="auto"/>
              </w:rPr>
            </w:pPr>
          </w:p>
        </w:tc>
        <w:tc>
          <w:tcPr>
            <w:tcW w:w="1643" w:type="dxa"/>
            <w:vAlign w:val="center"/>
          </w:tcPr>
          <w:p>
            <w:pPr>
              <w:pStyle w:val="12"/>
              <w:ind w:firstLine="0" w:firstLineChars="0"/>
              <w:rPr>
                <w:color w:val="auto"/>
              </w:rPr>
            </w:pP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8</w:t>
            </w:r>
          </w:p>
        </w:tc>
        <w:tc>
          <w:tcPr>
            <w:tcW w:w="4137" w:type="dxa"/>
            <w:vAlign w:val="center"/>
          </w:tcPr>
          <w:p>
            <w:pPr>
              <w:pStyle w:val="13"/>
              <w:rPr>
                <w:color w:val="auto"/>
              </w:rPr>
            </w:pPr>
            <w:r>
              <w:rPr>
                <w:color w:val="auto"/>
              </w:rPr>
              <w:t xml:space="preserve">          公务用车运行维护费</w:t>
            </w:r>
          </w:p>
        </w:tc>
        <w:tc>
          <w:tcPr>
            <w:tcW w:w="1643" w:type="dxa"/>
            <w:vAlign w:val="center"/>
          </w:tcPr>
          <w:p>
            <w:pPr>
              <w:pStyle w:val="12"/>
              <w:rPr>
                <w:color w:val="auto"/>
              </w:rPr>
            </w:pPr>
            <w:r>
              <w:rPr>
                <w:color w:val="auto"/>
              </w:rPr>
              <w:t>80.00</w:t>
            </w:r>
          </w:p>
        </w:tc>
        <w:tc>
          <w:tcPr>
            <w:tcW w:w="1643" w:type="dxa"/>
            <w:vAlign w:val="center"/>
          </w:tcPr>
          <w:p>
            <w:pPr>
              <w:pStyle w:val="12"/>
              <w:ind w:firstLine="0" w:firstLineChars="0"/>
              <w:rPr>
                <w:color w:val="auto"/>
              </w:rPr>
            </w:pPr>
            <w:r>
              <w:rPr>
                <w:color w:val="auto"/>
              </w:rPr>
              <w:t>80.00</w:t>
            </w: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9</w:t>
            </w:r>
          </w:p>
        </w:tc>
        <w:tc>
          <w:tcPr>
            <w:tcW w:w="4137" w:type="dxa"/>
            <w:vAlign w:val="center"/>
          </w:tcPr>
          <w:p>
            <w:pPr>
              <w:pStyle w:val="13"/>
              <w:rPr>
                <w:color w:val="auto"/>
              </w:rPr>
            </w:pPr>
            <w:r>
              <w:rPr>
                <w:color w:val="auto"/>
              </w:rPr>
              <w:t>三、公务接待费</w:t>
            </w:r>
          </w:p>
        </w:tc>
        <w:tc>
          <w:tcPr>
            <w:tcW w:w="1643" w:type="dxa"/>
            <w:vAlign w:val="center"/>
          </w:tcPr>
          <w:p>
            <w:pPr>
              <w:pStyle w:val="12"/>
              <w:rPr>
                <w:color w:val="auto"/>
              </w:rPr>
            </w:pPr>
            <w:r>
              <w:rPr>
                <w:color w:val="auto"/>
              </w:rPr>
              <w:t>4.20</w:t>
            </w:r>
          </w:p>
        </w:tc>
        <w:tc>
          <w:tcPr>
            <w:tcW w:w="1643" w:type="dxa"/>
            <w:vAlign w:val="center"/>
          </w:tcPr>
          <w:p>
            <w:pPr>
              <w:pStyle w:val="12"/>
              <w:ind w:firstLine="0" w:firstLineChars="0"/>
              <w:rPr>
                <w:color w:val="auto"/>
              </w:rPr>
            </w:pPr>
            <w:r>
              <w:rPr>
                <w:color w:val="auto"/>
              </w:rPr>
              <w:t>4.20</w:t>
            </w: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10</w:t>
            </w:r>
          </w:p>
        </w:tc>
        <w:tc>
          <w:tcPr>
            <w:tcW w:w="4137" w:type="dxa"/>
            <w:vAlign w:val="center"/>
          </w:tcPr>
          <w:p>
            <w:pPr>
              <w:pStyle w:val="13"/>
              <w:rPr>
                <w:color w:val="auto"/>
              </w:rPr>
            </w:pPr>
            <w:r>
              <w:rPr>
                <w:color w:val="auto"/>
              </w:rPr>
              <w:t>四、会议费</w:t>
            </w:r>
          </w:p>
        </w:tc>
        <w:tc>
          <w:tcPr>
            <w:tcW w:w="1643" w:type="dxa"/>
            <w:vAlign w:val="center"/>
          </w:tcPr>
          <w:p>
            <w:pPr>
              <w:pStyle w:val="12"/>
              <w:ind w:firstLine="0" w:firstLineChars="0"/>
              <w:rPr>
                <w:rFonts w:hint="default"/>
                <w:color w:val="auto"/>
                <w:lang w:val="en-US"/>
              </w:rPr>
            </w:pPr>
            <w:r>
              <w:rPr>
                <w:rFonts w:hint="eastAsia"/>
                <w:color w:val="auto"/>
                <w:lang w:val="en-US" w:eastAsia="zh-CN"/>
              </w:rPr>
              <w:t>7.50</w:t>
            </w:r>
          </w:p>
        </w:tc>
        <w:tc>
          <w:tcPr>
            <w:tcW w:w="1643" w:type="dxa"/>
            <w:vAlign w:val="center"/>
          </w:tcPr>
          <w:p>
            <w:pPr>
              <w:pStyle w:val="12"/>
              <w:ind w:firstLine="0" w:firstLineChars="0"/>
              <w:rPr>
                <w:rFonts w:hint="default"/>
                <w:color w:val="auto"/>
                <w:lang w:val="en-US"/>
              </w:rPr>
            </w:pPr>
            <w:r>
              <w:rPr>
                <w:rFonts w:hint="eastAsia"/>
                <w:color w:val="auto"/>
                <w:lang w:val="en-US" w:eastAsia="zh-CN"/>
              </w:rPr>
              <w:t>7.50</w:t>
            </w: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11</w:t>
            </w:r>
          </w:p>
        </w:tc>
        <w:tc>
          <w:tcPr>
            <w:tcW w:w="4137" w:type="dxa"/>
            <w:vAlign w:val="center"/>
          </w:tcPr>
          <w:p>
            <w:pPr>
              <w:pStyle w:val="13"/>
              <w:rPr>
                <w:color w:val="auto"/>
              </w:rPr>
            </w:pPr>
            <w:r>
              <w:rPr>
                <w:color w:val="auto"/>
              </w:rPr>
              <w:t xml:space="preserve">    其中：省属高校业务性会议费</w:t>
            </w:r>
          </w:p>
        </w:tc>
        <w:tc>
          <w:tcPr>
            <w:tcW w:w="1643" w:type="dxa"/>
            <w:vAlign w:val="center"/>
          </w:tcPr>
          <w:p>
            <w:pPr>
              <w:pStyle w:val="12"/>
              <w:rPr>
                <w:rFonts w:hint="default" w:eastAsia="方正书宋_GBK"/>
                <w:color w:val="auto"/>
                <w:lang w:val="en-US" w:eastAsia="zh-CN"/>
              </w:rPr>
            </w:pPr>
          </w:p>
        </w:tc>
        <w:tc>
          <w:tcPr>
            <w:tcW w:w="1643" w:type="dxa"/>
            <w:vAlign w:val="center"/>
          </w:tcPr>
          <w:p>
            <w:pPr>
              <w:pStyle w:val="12"/>
              <w:ind w:firstLine="0" w:firstLineChars="0"/>
              <w:rPr>
                <w:rFonts w:hint="default" w:eastAsia="方正书宋_GBK"/>
                <w:color w:val="auto"/>
                <w:lang w:val="en-US" w:eastAsia="zh-CN"/>
              </w:rPr>
            </w:pP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12</w:t>
            </w:r>
          </w:p>
        </w:tc>
        <w:tc>
          <w:tcPr>
            <w:tcW w:w="4137" w:type="dxa"/>
            <w:vAlign w:val="center"/>
          </w:tcPr>
          <w:p>
            <w:pPr>
              <w:pStyle w:val="13"/>
              <w:rPr>
                <w:color w:val="auto"/>
              </w:rPr>
            </w:pPr>
            <w:r>
              <w:rPr>
                <w:color w:val="auto"/>
              </w:rPr>
              <w:t xml:space="preserve">          其他会议费</w:t>
            </w:r>
          </w:p>
        </w:tc>
        <w:tc>
          <w:tcPr>
            <w:tcW w:w="1643" w:type="dxa"/>
            <w:vAlign w:val="center"/>
          </w:tcPr>
          <w:p>
            <w:pPr>
              <w:pStyle w:val="12"/>
              <w:ind w:firstLine="0" w:firstLineChars="0"/>
              <w:rPr>
                <w:rFonts w:hint="default"/>
                <w:color w:val="auto"/>
                <w:lang w:val="en-US"/>
              </w:rPr>
            </w:pPr>
            <w:r>
              <w:rPr>
                <w:rFonts w:hint="eastAsia"/>
                <w:color w:val="auto"/>
                <w:lang w:val="en-US" w:eastAsia="zh-CN"/>
              </w:rPr>
              <w:t>7.50</w:t>
            </w:r>
          </w:p>
        </w:tc>
        <w:tc>
          <w:tcPr>
            <w:tcW w:w="1643" w:type="dxa"/>
            <w:vAlign w:val="center"/>
          </w:tcPr>
          <w:p>
            <w:pPr>
              <w:pStyle w:val="12"/>
              <w:ind w:firstLine="0" w:firstLineChars="0"/>
              <w:rPr>
                <w:color w:val="auto"/>
              </w:rPr>
            </w:pPr>
            <w:r>
              <w:rPr>
                <w:rFonts w:hint="eastAsia"/>
                <w:color w:val="auto"/>
                <w:lang w:val="en-US" w:eastAsia="zh-CN"/>
              </w:rPr>
              <w:t>7.50</w:t>
            </w:r>
          </w:p>
        </w:tc>
        <w:tc>
          <w:tcPr>
            <w:tcW w:w="1643" w:type="dxa"/>
            <w:vAlign w:val="center"/>
          </w:tcPr>
          <w:p>
            <w:pPr>
              <w:pStyle w:val="12"/>
              <w:rPr>
                <w:color w:val="auto"/>
              </w:rPr>
            </w:pPr>
          </w:p>
        </w:tc>
        <w:tc>
          <w:tcPr>
            <w:tcW w:w="1723" w:type="dxa"/>
            <w:vAlign w:val="center"/>
          </w:tcPr>
          <w:p>
            <w:pPr>
              <w:pStyle w:val="12"/>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pPr>
              <w:pStyle w:val="14"/>
              <w:rPr>
                <w:color w:val="auto"/>
              </w:rPr>
            </w:pPr>
            <w:r>
              <w:rPr>
                <w:color w:val="auto"/>
              </w:rPr>
              <w:t>13</w:t>
            </w:r>
          </w:p>
        </w:tc>
        <w:tc>
          <w:tcPr>
            <w:tcW w:w="4137" w:type="dxa"/>
            <w:vAlign w:val="center"/>
          </w:tcPr>
          <w:p>
            <w:pPr>
              <w:pStyle w:val="13"/>
              <w:rPr>
                <w:color w:val="auto"/>
              </w:rPr>
            </w:pPr>
            <w:r>
              <w:rPr>
                <w:color w:val="auto"/>
              </w:rPr>
              <w:t>五、培训费</w:t>
            </w:r>
          </w:p>
        </w:tc>
        <w:tc>
          <w:tcPr>
            <w:tcW w:w="1643" w:type="dxa"/>
            <w:vAlign w:val="center"/>
          </w:tcPr>
          <w:p>
            <w:pPr>
              <w:pStyle w:val="12"/>
              <w:rPr>
                <w:color w:val="auto"/>
              </w:rPr>
            </w:pPr>
            <w:r>
              <w:rPr>
                <w:color w:val="auto"/>
              </w:rPr>
              <w:t>3.00</w:t>
            </w:r>
          </w:p>
        </w:tc>
        <w:tc>
          <w:tcPr>
            <w:tcW w:w="1643" w:type="dxa"/>
            <w:vAlign w:val="center"/>
          </w:tcPr>
          <w:p>
            <w:pPr>
              <w:pStyle w:val="12"/>
              <w:ind w:firstLine="0" w:firstLineChars="0"/>
              <w:rPr>
                <w:color w:val="auto"/>
              </w:rPr>
            </w:pPr>
            <w:r>
              <w:rPr>
                <w:color w:val="auto"/>
              </w:rPr>
              <w:t>3.00</w:t>
            </w:r>
          </w:p>
        </w:tc>
        <w:tc>
          <w:tcPr>
            <w:tcW w:w="1643" w:type="dxa"/>
            <w:vAlign w:val="center"/>
          </w:tcPr>
          <w:p>
            <w:pPr>
              <w:pStyle w:val="12"/>
              <w:rPr>
                <w:color w:val="auto"/>
              </w:rPr>
            </w:pPr>
          </w:p>
        </w:tc>
        <w:tc>
          <w:tcPr>
            <w:tcW w:w="1723" w:type="dxa"/>
            <w:vAlign w:val="center"/>
          </w:tcPr>
          <w:p>
            <w:pPr>
              <w:pStyle w:val="12"/>
              <w:rPr>
                <w:color w:val="auto"/>
              </w:rPr>
            </w:pPr>
          </w:p>
        </w:tc>
      </w:tr>
      <w:bookmarkEnd w:id="8"/>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Bdr>
          <w:top w:val="none" w:color="auto" w:sz="0" w:space="0"/>
          <w:left w:val="none" w:color="auto" w:sz="0" w:space="0"/>
          <w:bottom w:val="none" w:color="auto" w:sz="0" w:space="0"/>
          <w:right w:val="none" w:color="auto" w:sz="0" w:space="0"/>
          <w:between w:val="none" w:color="auto" w:sz="0" w:space="0"/>
        </w:pBdr>
      </w:pPr>
      <w:r>
        <w:t>一、中共隆尧县委国家安全委员会办公室</w:t>
      </w:r>
      <w:r>
        <w:rPr>
          <w:rFonts w:hint="eastAsia"/>
          <w:lang w:eastAsia="zh-CN"/>
        </w:rPr>
        <w:t>职责（涉密）</w:t>
      </w:r>
      <w:r>
        <w:t>。</w:t>
      </w:r>
    </w:p>
    <w:p>
      <w:pPr>
        <w:pStyle w:val="26"/>
        <w:pBdr>
          <w:top w:val="none" w:color="auto" w:sz="0" w:space="0"/>
          <w:left w:val="none" w:color="auto" w:sz="0" w:space="0"/>
          <w:bottom w:val="none" w:color="auto" w:sz="0" w:space="0"/>
          <w:right w:val="none" w:color="auto" w:sz="0" w:space="0"/>
          <w:between w:val="none" w:color="auto" w:sz="0" w:space="0"/>
        </w:pBdr>
      </w:pPr>
      <w:r>
        <w:t>二、中共隆尧县委全面深化改革委员会办公室承担委员会具体工作，贯彻落实党中央和省委、市委、县委关于全面深化改革工作的各项决策部署，协调督促有关方面落实委员会决定事项、工作部署和要求等。</w:t>
      </w:r>
    </w:p>
    <w:p>
      <w:pPr>
        <w:pStyle w:val="26"/>
        <w:pBdr>
          <w:top w:val="none" w:color="auto" w:sz="0" w:space="0"/>
          <w:left w:val="none" w:color="auto" w:sz="0" w:space="0"/>
          <w:bottom w:val="none" w:color="auto" w:sz="0" w:space="0"/>
          <w:right w:val="none" w:color="auto" w:sz="0" w:space="0"/>
          <w:between w:val="none" w:color="auto" w:sz="0" w:space="0"/>
        </w:pBdr>
      </w:pPr>
      <w:r>
        <w:t>三、县委办公室的主要职责是：</w:t>
      </w:r>
    </w:p>
    <w:p>
      <w:pPr>
        <w:pStyle w:val="26"/>
        <w:pBdr>
          <w:top w:val="none" w:color="auto" w:sz="0" w:space="0"/>
          <w:left w:val="none" w:color="auto" w:sz="0" w:space="0"/>
          <w:bottom w:val="none" w:color="auto" w:sz="0" w:space="0"/>
          <w:right w:val="none" w:color="auto" w:sz="0" w:space="0"/>
          <w:between w:val="none" w:color="auto" w:sz="0" w:space="0"/>
        </w:pBdr>
      </w:pPr>
      <w:r>
        <w:t>（一）负责推动党中央和省委、市委、县委决策部署的落实，按照县委要求协调有关方面开展工作，承担县委运行保障具体事务。</w:t>
      </w:r>
    </w:p>
    <w:p>
      <w:pPr>
        <w:pStyle w:val="26"/>
        <w:pBdr>
          <w:top w:val="none" w:color="auto" w:sz="0" w:space="0"/>
          <w:left w:val="none" w:color="auto" w:sz="0" w:space="0"/>
          <w:bottom w:val="none" w:color="auto" w:sz="0" w:space="0"/>
          <w:right w:val="none" w:color="auto" w:sz="0" w:space="0"/>
          <w:between w:val="none" w:color="auto" w:sz="0" w:space="0"/>
        </w:pBdr>
      </w:pPr>
      <w:r>
        <w:t>（二）负责县委和县委办公室文件、县委领导讲话稿的起草、修改等工作。</w:t>
      </w:r>
    </w:p>
    <w:p>
      <w:pPr>
        <w:pStyle w:val="26"/>
        <w:pBdr>
          <w:top w:val="none" w:color="auto" w:sz="0" w:space="0"/>
          <w:left w:val="none" w:color="auto" w:sz="0" w:space="0"/>
          <w:bottom w:val="none" w:color="auto" w:sz="0" w:space="0"/>
          <w:right w:val="none" w:color="auto" w:sz="0" w:space="0"/>
          <w:between w:val="none" w:color="auto" w:sz="0" w:space="0"/>
        </w:pBdr>
      </w:pPr>
      <w:r>
        <w:t>（三）负责党中央和省委、市委、县委重要决策部署贯彻落实的督促检查，中央和省委、市委、县委领导批示和交办事项的催办反馈，县委统一部署的重大专项活动的推进落实。</w:t>
      </w:r>
    </w:p>
    <w:p>
      <w:pPr>
        <w:pStyle w:val="26"/>
        <w:pBdr>
          <w:top w:val="none" w:color="auto" w:sz="0" w:space="0"/>
          <w:left w:val="none" w:color="auto" w:sz="0" w:space="0"/>
          <w:bottom w:val="none" w:color="auto" w:sz="0" w:space="0"/>
          <w:right w:val="none" w:color="auto" w:sz="0" w:space="0"/>
          <w:between w:val="none" w:color="auto" w:sz="0" w:space="0"/>
        </w:pBdr>
      </w:pPr>
      <w:r>
        <w:t>（四）负责收集和处理信息、反映动态；负责社情民意的搜集、整理和编报工作。</w:t>
      </w:r>
    </w:p>
    <w:p>
      <w:pPr>
        <w:pStyle w:val="26"/>
        <w:pBdr>
          <w:top w:val="none" w:color="auto" w:sz="0" w:space="0"/>
          <w:left w:val="none" w:color="auto" w:sz="0" w:space="0"/>
          <w:bottom w:val="none" w:color="auto" w:sz="0" w:space="0"/>
          <w:right w:val="none" w:color="auto" w:sz="0" w:space="0"/>
          <w:between w:val="none" w:color="auto" w:sz="0" w:space="0"/>
        </w:pBdr>
      </w:pPr>
      <w:r>
        <w:t>（五）根据县委安排部署，组织力量对经济建设、政治建设、文化建设、社会建设、生态文明建设和党的建设等方面的重大问题进行调查研究，提出意见和建议。</w:t>
      </w:r>
    </w:p>
    <w:p>
      <w:pPr>
        <w:pStyle w:val="26"/>
        <w:pBdr>
          <w:top w:val="none" w:color="auto" w:sz="0" w:space="0"/>
          <w:left w:val="none" w:color="auto" w:sz="0" w:space="0"/>
          <w:bottom w:val="none" w:color="auto" w:sz="0" w:space="0"/>
          <w:right w:val="none" w:color="auto" w:sz="0" w:space="0"/>
          <w:between w:val="none" w:color="auto" w:sz="0" w:space="0"/>
        </w:pBdr>
      </w:pPr>
      <w:r>
        <w:t>（六）组织撰写宣传、阐释党的路线方针政策和县委工作思路、部署要求的文章。</w:t>
      </w:r>
    </w:p>
    <w:p>
      <w:pPr>
        <w:pStyle w:val="26"/>
        <w:pBdr>
          <w:top w:val="none" w:color="auto" w:sz="0" w:space="0"/>
          <w:left w:val="none" w:color="auto" w:sz="0" w:space="0"/>
          <w:bottom w:val="none" w:color="auto" w:sz="0" w:space="0"/>
          <w:right w:val="none" w:color="auto" w:sz="0" w:space="0"/>
          <w:between w:val="none" w:color="auto" w:sz="0" w:space="0"/>
        </w:pBdr>
      </w:pPr>
      <w:r>
        <w:t>（七）负责县委全委会、县委常委会和县委其他重要会议的会务工作；负责县委领导参加重大活动和日常工作活动的组织安排。</w:t>
      </w:r>
    </w:p>
    <w:p>
      <w:pPr>
        <w:pStyle w:val="26"/>
        <w:pBdr>
          <w:top w:val="none" w:color="auto" w:sz="0" w:space="0"/>
          <w:left w:val="none" w:color="auto" w:sz="0" w:space="0"/>
          <w:bottom w:val="none" w:color="auto" w:sz="0" w:space="0"/>
          <w:right w:val="none" w:color="auto" w:sz="0" w:space="0"/>
          <w:between w:val="none" w:color="auto" w:sz="0" w:space="0"/>
        </w:pBdr>
      </w:pPr>
      <w:r>
        <w:t>（八）负责县委日常文书处理；负责县委文件和县委办公室代县委行文的审核工作；负责县委制定规范性文件的服务工作；负责统筹协调和督促指导全县党务公开工作。</w:t>
      </w:r>
    </w:p>
    <w:p>
      <w:pPr>
        <w:pStyle w:val="26"/>
        <w:pBdr>
          <w:top w:val="none" w:color="auto" w:sz="0" w:space="0"/>
          <w:left w:val="none" w:color="auto" w:sz="0" w:space="0"/>
          <w:bottom w:val="none" w:color="auto" w:sz="0" w:space="0"/>
          <w:right w:val="none" w:color="auto" w:sz="0" w:space="0"/>
          <w:between w:val="none" w:color="auto" w:sz="0" w:space="0"/>
        </w:pBdr>
      </w:pPr>
      <w:r>
        <w:t>（九）负责全县档案事业宏观管理和执法复议、监督指导等工作。</w:t>
      </w:r>
    </w:p>
    <w:p>
      <w:pPr>
        <w:pStyle w:val="26"/>
        <w:pBdr>
          <w:top w:val="none" w:color="auto" w:sz="0" w:space="0"/>
          <w:left w:val="none" w:color="auto" w:sz="0" w:space="0"/>
          <w:bottom w:val="none" w:color="auto" w:sz="0" w:space="0"/>
          <w:right w:val="none" w:color="auto" w:sz="0" w:space="0"/>
          <w:between w:val="none" w:color="auto" w:sz="0" w:space="0"/>
        </w:pBdr>
      </w:pPr>
      <w:r>
        <w:t>（十）负责全县公务接待机构的业务指导和重大接待活动的服务保障工作。</w:t>
      </w:r>
    </w:p>
    <w:p>
      <w:pPr>
        <w:pStyle w:val="26"/>
        <w:pBdr>
          <w:top w:val="none" w:color="auto" w:sz="0" w:space="0"/>
          <w:left w:val="none" w:color="auto" w:sz="0" w:space="0"/>
          <w:bottom w:val="none" w:color="auto" w:sz="0" w:space="0"/>
          <w:right w:val="none" w:color="auto" w:sz="0" w:space="0"/>
          <w:between w:val="none" w:color="auto" w:sz="0" w:space="0"/>
        </w:pBdr>
      </w:pPr>
      <w:r>
        <w:t>（十一）</w:t>
      </w:r>
      <w:r>
        <w:rPr>
          <w:rFonts w:hint="eastAsia"/>
          <w:lang w:val="en-US" w:eastAsia="uk-UA"/>
        </w:rPr>
        <w:t>负责县委</w:t>
      </w:r>
      <w:r>
        <w:rPr>
          <w:rFonts w:hint="eastAsia"/>
          <w:lang w:val="en-US" w:eastAsia="zh-CN"/>
        </w:rPr>
        <w:t>办</w:t>
      </w:r>
      <w:r>
        <w:rPr>
          <w:rFonts w:hint="eastAsia"/>
          <w:lang w:val="en-US" w:eastAsia="uk-UA"/>
        </w:rPr>
        <w:t>机关行政后勤</w:t>
      </w:r>
      <w:r>
        <w:rPr>
          <w:rFonts w:hint="eastAsia"/>
          <w:lang w:val="en-US" w:eastAsia="zh-CN"/>
        </w:rPr>
        <w:t>保障</w:t>
      </w:r>
      <w:r>
        <w:rPr>
          <w:rFonts w:hint="eastAsia"/>
          <w:lang w:val="en-US" w:eastAsia="uk-UA"/>
        </w:rPr>
        <w:t>和财务管理工作</w:t>
      </w:r>
      <w:r>
        <w:t>。</w:t>
      </w:r>
    </w:p>
    <w:p>
      <w:pPr>
        <w:pStyle w:val="26"/>
        <w:pBdr>
          <w:top w:val="none" w:color="auto" w:sz="0" w:space="0"/>
          <w:left w:val="none" w:color="auto" w:sz="0" w:space="0"/>
          <w:bottom w:val="none" w:color="auto" w:sz="0" w:space="0"/>
          <w:right w:val="none" w:color="auto" w:sz="0" w:space="0"/>
          <w:between w:val="none" w:color="auto" w:sz="0" w:space="0"/>
        </w:pBdr>
      </w:pPr>
      <w:r>
        <w:t>（十二）</w:t>
      </w:r>
      <w:r>
        <w:rPr>
          <w:rFonts w:hint="eastAsia"/>
          <w:lang w:eastAsia="zh-CN"/>
        </w:rPr>
        <w:t>保密机要局职责（涉密）</w:t>
      </w:r>
      <w:r>
        <w:t>。</w:t>
      </w:r>
    </w:p>
    <w:p>
      <w:pPr>
        <w:pStyle w:val="26"/>
        <w:pBdr>
          <w:top w:val="none" w:color="auto" w:sz="0" w:space="0"/>
          <w:left w:val="none" w:color="auto" w:sz="0" w:space="0"/>
          <w:bottom w:val="none" w:color="auto" w:sz="0" w:space="0"/>
          <w:right w:val="none" w:color="auto" w:sz="0" w:space="0"/>
          <w:between w:val="none" w:color="auto" w:sz="0" w:space="0"/>
        </w:pBdr>
      </w:pPr>
      <w:r>
        <w:t>（十三）完成县委交办的其他任务。</w:t>
      </w:r>
    </w:p>
    <w:p>
      <w:pPr>
        <w:pStyle w:val="26"/>
        <w:pBdr>
          <w:top w:val="none" w:color="auto" w:sz="0" w:space="0"/>
          <w:left w:val="none" w:color="auto" w:sz="0" w:space="0"/>
          <w:bottom w:val="none" w:color="auto" w:sz="0" w:space="0"/>
          <w:right w:val="none" w:color="auto" w:sz="0" w:space="0"/>
          <w:between w:val="none" w:color="auto" w:sz="0" w:space="0"/>
        </w:pBdr>
      </w:pPr>
      <w:r>
        <w:t>四、机关事务管理局职责</w:t>
      </w:r>
    </w:p>
    <w:p>
      <w:pPr>
        <w:pStyle w:val="26"/>
        <w:pBdr>
          <w:top w:val="none" w:color="auto" w:sz="0" w:space="0"/>
          <w:left w:val="none" w:color="auto" w:sz="0" w:space="0"/>
          <w:bottom w:val="none" w:color="auto" w:sz="0" w:space="0"/>
          <w:right w:val="none" w:color="auto" w:sz="0" w:space="0"/>
          <w:between w:val="none" w:color="auto" w:sz="0" w:space="0"/>
        </w:pBdr>
      </w:pPr>
      <w:r>
        <w:t>（一）研究制定本县各级机关事务管理工作的政策措施并组织实施；</w:t>
      </w:r>
    </w:p>
    <w:p>
      <w:pPr>
        <w:pStyle w:val="26"/>
        <w:pBdr>
          <w:top w:val="none" w:color="auto" w:sz="0" w:space="0"/>
          <w:left w:val="none" w:color="auto" w:sz="0" w:space="0"/>
          <w:bottom w:val="none" w:color="auto" w:sz="0" w:space="0"/>
          <w:right w:val="none" w:color="auto" w:sz="0" w:space="0"/>
          <w:between w:val="none" w:color="auto" w:sz="0" w:space="0"/>
        </w:pBdr>
      </w:pPr>
      <w:r>
        <w:t>（二）负责指定区域内的机关后勤管理和服务工作；</w:t>
      </w:r>
    </w:p>
    <w:p>
      <w:pPr>
        <w:pStyle w:val="26"/>
        <w:pBdr>
          <w:top w:val="none" w:color="auto" w:sz="0" w:space="0"/>
          <w:left w:val="none" w:color="auto" w:sz="0" w:space="0"/>
          <w:bottom w:val="none" w:color="auto" w:sz="0" w:space="0"/>
          <w:right w:val="none" w:color="auto" w:sz="0" w:space="0"/>
          <w:between w:val="none" w:color="auto" w:sz="0" w:space="0"/>
        </w:pBdr>
      </w:pPr>
      <w:r>
        <w:t>（三）负责车改后保留公务用车的管理、调度；</w:t>
      </w:r>
    </w:p>
    <w:p>
      <w:pPr>
        <w:pStyle w:val="26"/>
        <w:pBdr>
          <w:top w:val="none" w:color="auto" w:sz="0" w:space="0"/>
          <w:left w:val="none" w:color="auto" w:sz="0" w:space="0"/>
          <w:bottom w:val="none" w:color="auto" w:sz="0" w:space="0"/>
          <w:right w:val="none" w:color="auto" w:sz="0" w:space="0"/>
          <w:between w:val="none" w:color="auto" w:sz="0" w:space="0"/>
        </w:pBdr>
      </w:pPr>
      <w:r>
        <w:t xml:space="preserve">（四）负责机关办公用房配置管理； </w:t>
      </w:r>
    </w:p>
    <w:p>
      <w:pPr>
        <w:pStyle w:val="26"/>
        <w:pBdr>
          <w:top w:val="none" w:color="auto" w:sz="0" w:space="0"/>
          <w:left w:val="none" w:color="auto" w:sz="0" w:space="0"/>
          <w:bottom w:val="none" w:color="auto" w:sz="0" w:space="0"/>
          <w:right w:val="none" w:color="auto" w:sz="0" w:space="0"/>
          <w:between w:val="none" w:color="auto" w:sz="0" w:space="0"/>
        </w:pBdr>
      </w:pPr>
      <w:r>
        <w:t>（五）负责全县公共机构资源节约的工作。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中国共产党隆尧县委员会办公室本级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隆尧县机关事务管理局</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按照预算管理有关规定，目前我县部门预算的编制实行综合预算管理，即全部收入和支出都反映在预算中。中国共产党隆尧县委员会办公室及所属事业单位的收支包含在部门预算中。</w:t>
      </w:r>
    </w:p>
    <w:p>
      <w:pPr>
        <w:pStyle w:val="19"/>
      </w:pPr>
      <w:r>
        <w:t>1、收入说明</w:t>
      </w:r>
    </w:p>
    <w:p>
      <w:pPr>
        <w:pStyle w:val="19"/>
      </w:pPr>
      <w:r>
        <w:t>反映本部门当年全部收入。2025年预算收入1586.02万元，其中：一般公共预算收入1586.02万元，基金预算收入0万元，财政专户核拨收入0万元，其他来源收入0万元。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中共隆尧县委办公室年度部门预算中支出预算的总体情况。2025年部门支出预算为1586.02万元，其中基本支出600.48万元，包括人员经费549.58万元和日常公用经费50.90万元；项目支出985.54万元，主要用于县委办专项工作经费、“名校英才入冀”人员房租补助、食堂服务费、机关物业保安费、公务用车运行维护费等项目。</w:t>
      </w:r>
    </w:p>
    <w:p>
      <w:pPr>
        <w:pStyle w:val="19"/>
      </w:pPr>
      <w:r>
        <w:t>3、比上年增减情况</w:t>
      </w:r>
    </w:p>
    <w:p>
      <w:pPr>
        <w:pStyle w:val="19"/>
      </w:pPr>
      <w:r>
        <w:t>2025年部门预算收支安排1586.02万元，较2024年减少357.98万元，主要是项目支出减少。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2025年，我单位机关运行经费共计安排50.9万元，主要用于保证机关正常运转的办公费、印刷费、水费、电费、取暖费、差旅费、其他交通费用等。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84.2万元，其中：因公出国（境）费0万元；公务用车购置及运维费80万元（其中：公务用车购置费0万元，公务用车运行维护费80万元)；公务接待费4.20万元。“三公”经费与上年减少100万元,主要是县机关事务管理局公务用车购置费减少100万。</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是“十四五”规划的收官之年，是将全面深化改革推向纵深的关键之年，中共隆尧县委办公室将高质量完成“十四五”规划目标，为实现“十五”良好开局打牢基础。将牢固树立带头意识、标杆精神，以建设“产业强县、美丽隆尧”为总体目标，以“工业立县”“文化兴县”为突破主线，聚焦“2443”工程和14项重点任务，加快推动隆尧高质量发展，努力打造更多标志性成果。将立足办公室“服务发展、服务决策、服务落实”基本职责，讲大局、重执行，真抓实干、善作善成，切实做到服务大局有力有为、督查督办务实求实、服务保障高质高效，以高质量的“三服务”工作推动隆尧经济社会实现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强化政治能力建设，不断增强政治意识。坚决扛起办公室政治机关职能，在保证县委机关正常、高效运转的同时，把主要时间和精力集中在服务改革发展稳定的大局上来。一方面，提高站位，抬高标尺。充分发挥办公室的核心枢纽作用，将推动县委决策部署落地落实作为第一要务，健全督促检查工作制度和运行制度，确保各项工作顺利进行。对未达到节点要求的严格执行奖惩措施，全力推进县委决策部署落地落实。另一方面，改进服务，主动作为。坚持聚焦中心、服务大局，紧盯党委领导的关注点、群众意见的集中点，超前研究、深入思考，及时组织力量深入基层开展调研，查问题、访民意、摸实情，为领导决策提供第一手资料和多方位参考。</w:t>
      </w:r>
    </w:p>
    <w:p>
      <w:pPr>
        <w:pStyle w:val="23"/>
      </w:pPr>
      <w:r>
        <w:t>二、强化思想能力建设，提升履职尽责能力。树立“100-1=0”“文经我手无差错，事交我办请放心”和“不贰过”思想，将“零差错、零失误、零容忍、零缺陷”理念贯穿工作全过程。一是增强业务本领，提高工作水平。将业务能力提升作为工作质效提升的基础和前提，通过轮岗锻炼、交叉学习等方式开展业务能力大练兵活动，灵活提高全体人员业务水平和综合能力，从源头出发全力防范错误发生。二是强化精品意识，提高工作标准。坚持精益求精，主动对标先进，要求科室人员强化精品意识和细节意识，养成严肃、严格、严谨对待工作的习惯，自觉杜绝“差不多”，高标准完成领导交办的每一项任务。三是严格考核奖惩，改进工作作风。建立健全合理的奖惩机制，定期对各科室、各岗位工作实绩、问题短板等正反两方面表现进行梳理统计，及时总结成功经验、查找问题原因，在表扬先进的同时适时对问题较多的科室或个人进行剖析，举一反三，全面消除业务短板和工作漏洞，实现办公零差错、办会零失误、办事零缺陷、失职零容忍。</w:t>
      </w:r>
    </w:p>
    <w:p>
      <w:pPr>
        <w:pStyle w:val="23"/>
      </w:pPr>
      <w:r>
        <w:t>三、强化创新能力建设，夯实高质量发展基础。以建设创新型机关为目标，把创新理念融入各项工作，不断拓展服务内容，优化服务方式，提高服务效率，增强工作的主动性、预见性和创造性。一是创新“办文”方式，提高“办文”水平。要进一步规范公文起草程序，围绕县委重点工作，深入开展调查研究，提高文稿质量。二是创新“办会”方式，提高“办会”质量。按照精简高效的原则统筹安排好各类会议，合理精简会议程序，控制会议时间和参加人员，同时要按照有利于了解情况、解决问题的原则开放办会，提高工作效率和工作质量。三是创新“办事”方式，提高“办事”效率。要处理好事务工作和政务工作、短线工作和长线工作的关系，着眼于抓大事、谋全局、当高参的目标，用新的思路、办法和举措积极主动地开展工作。</w:t>
      </w:r>
    </w:p>
    <w:p>
      <w:pPr>
        <w:pStyle w:val="23"/>
      </w:pPr>
      <w:r>
        <w:t>四、强化作风能力建设，持续提升工作效能。一是明确责任分工，压实岗位责任。一以贯之推进“科长负责制”和“岗位负责制”，通过定人、定岗、定责，明确各科室、各岗位职责分工，严防不同科室、不同人员之间推诿扯皮、互相推脱。二是完善制度机制，增强干部管理。进一步建立健全办公室内部管理制度，结合办公室各科室职能定位，落实好业务流程、岗位规范、操作标准和办理时限，严格按照相关要求执行落实，对工作疲沓、落实不力、执行缓慢的，视情节进行批评或惩戒。三是建立问题台账，狠抓整改落实。建立办公室问题整改清单，明确责任科室（人员）、整改要求和完成时限，按照进度要求定期督导要账，实时查看整改进展，并于问题整改完成后及时组织开展“回头看”，坚决将问题整改到位，防止死灰复燃、问题回潮。</w:t>
      </w:r>
    </w:p>
    <w:p>
      <w:pPr>
        <w:pStyle w:val="23"/>
      </w:pPr>
      <w:r>
        <w:t>五、强化纪律能力建设，锻造过硬干部队伍。一方面，强化纪律执行，严格人员管理。完善办公室工作考核评议制度，定期开展纪律警示教育，强化各科室人员纪律意识、规矩意识，要求办公室上下认真遵守党章党规和请销假等制度。定期对全体人员考勤签到、值班带班等相关纪律遵守情况进行统计、通报，列出问题清单和整改要求，并视情况安排问题人员作检查，以案示警。另一方面，加强保密教育，增强保密意识。用好理论中心组学习会议等制度，通过定期组织观看保密宣传片、泄密案件通报等途径常态化开展保密警示教育，增强全体人员保密意识，切实加强对重点科室涉密信息系统的运行维护的监督管理和涉密文件资料的接收、登记、保管、传阅和销毁等工作的监督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Bdr>
          <w:top w:val="none" w:color="auto" w:sz="0" w:space="0"/>
          <w:left w:val="none" w:color="auto" w:sz="0" w:space="0"/>
          <w:bottom w:val="none" w:color="auto" w:sz="0" w:space="0"/>
          <w:right w:val="none" w:color="auto" w:sz="0" w:space="0"/>
          <w:between w:val="none" w:color="auto" w:sz="0" w:space="0"/>
        </w:pBdr>
      </w:pPr>
      <w:r>
        <w:t>2025年是“十四五”规划的收官之年，是将全面深化改革推向纵深的关键之年，中共隆尧县委办公室将高质量完成“十四五”规划目标，为实现“十五”良好开局打牢基础。将牢固树立带头意识、标杆精神，以建设“产业强县、美丽隆尧”为总体目标，以“工业立县”“文化兴县”为突破主线，聚焦“2443”工程和14项重点任务，加快推动隆尧高质量发展，努力打造更多标志性成果。将立足办公室“服务发展、服务决策、服务落实”基本职责，讲大局、重执行，真抓实干、善作善成，切实做到服务大局有力有为、督查督办务实求实、服务保障高质高效，以高质量的“三服务”工作推动隆尧经济社会实现高质量发展。</w:t>
      </w:r>
    </w:p>
    <w:p>
      <w:pPr>
        <w:pStyle w:val="24"/>
        <w:pBdr>
          <w:top w:val="none" w:color="auto" w:sz="0" w:space="0"/>
          <w:left w:val="none" w:color="auto" w:sz="0" w:space="0"/>
          <w:bottom w:val="none" w:color="auto" w:sz="0" w:space="0"/>
          <w:right w:val="none" w:color="auto" w:sz="0" w:space="0"/>
          <w:between w:val="none" w:color="auto" w:sz="0" w:space="0"/>
        </w:pBdr>
      </w:pPr>
      <w:r>
        <w:t>突出抓好以下几方面的工作：</w:t>
      </w:r>
    </w:p>
    <w:p>
      <w:pPr>
        <w:pStyle w:val="24"/>
        <w:pBdr>
          <w:top w:val="none" w:color="auto" w:sz="0" w:space="0"/>
          <w:left w:val="none" w:color="auto" w:sz="0" w:space="0"/>
          <w:bottom w:val="none" w:color="auto" w:sz="0" w:space="0"/>
          <w:right w:val="none" w:color="auto" w:sz="0" w:space="0"/>
          <w:between w:val="none" w:color="auto" w:sz="0" w:space="0"/>
        </w:pBdr>
      </w:pPr>
      <w:r>
        <w:t>——以文辅政再提升。突出抓好综合文字、信息调研等文稿的起草、报送和推介工作，力争各类文稿在省市叫得响，在县内有影响，在服务决策、服务领导、服务基层上再上新台阶。</w:t>
      </w:r>
    </w:p>
    <w:p>
      <w:pPr>
        <w:pStyle w:val="24"/>
        <w:pBdr>
          <w:top w:val="none" w:color="auto" w:sz="0" w:space="0"/>
          <w:left w:val="none" w:color="auto" w:sz="0" w:space="0"/>
          <w:bottom w:val="none" w:color="auto" w:sz="0" w:space="0"/>
          <w:right w:val="none" w:color="auto" w:sz="0" w:space="0"/>
          <w:between w:val="none" w:color="auto" w:sz="0" w:space="0"/>
        </w:pBdr>
      </w:pPr>
      <w:r>
        <w:t>——督促检查再深化。围绕决策——督办——落实——考核——奖惩——用人各个环节的工作，研究探索督查考核一体、督考用人联动新机制，进一步强化督促检查在抓落实中的关键性作用。</w:t>
      </w:r>
    </w:p>
    <w:p>
      <w:pPr>
        <w:pStyle w:val="24"/>
        <w:pBdr>
          <w:top w:val="none" w:color="auto" w:sz="0" w:space="0"/>
          <w:left w:val="none" w:color="auto" w:sz="0" w:space="0"/>
          <w:bottom w:val="none" w:color="auto" w:sz="0" w:space="0"/>
          <w:right w:val="none" w:color="auto" w:sz="0" w:space="0"/>
          <w:between w:val="none" w:color="auto" w:sz="0" w:space="0"/>
        </w:pBdr>
      </w:pPr>
      <w:r>
        <w:t>——后勤保障再加强。进一步加大机关事务性工作建设力度，大力改善办公条件，为机关干部提供更加舒心、更加优越的办公环境。进一步加快公车改革步伐，尽快完成公车服务平台建设，进一步提升接待工作水平，展示隆尧接待新形象。</w:t>
      </w:r>
    </w:p>
    <w:p>
      <w:pPr>
        <w:pStyle w:val="24"/>
        <w:pBdr>
          <w:top w:val="none" w:color="auto" w:sz="0" w:space="0"/>
          <w:left w:val="none" w:color="auto" w:sz="0" w:space="0"/>
          <w:bottom w:val="none" w:color="auto" w:sz="0" w:space="0"/>
          <w:right w:val="none" w:color="auto" w:sz="0" w:space="0"/>
          <w:between w:val="none" w:color="auto" w:sz="0" w:space="0"/>
        </w:pBdr>
      </w:pPr>
      <w:r>
        <w:t>——会务工作再规范。进一步强化会务预案、会议细节等环节的工作，规范提升会务工作水平。</w:t>
      </w:r>
    </w:p>
    <w:p>
      <w:pPr>
        <w:pStyle w:val="24"/>
        <w:sectPr>
          <w:pgSz w:w="16840" w:h="11900" w:orient="landscape"/>
          <w:pgMar w:top="1361" w:right="1020" w:bottom="1361" w:left="1020" w:header="720" w:footer="720" w:gutter="0"/>
          <w:cols w:space="720" w:num="1"/>
        </w:sectPr>
      </w:pPr>
      <w:r>
        <w:t>——队伍建设再严实。进一步强化“强身健体、强筋壮骨”理念，突出政治和业务两手抓，用习近平新时代中国特色社会主义思想武装全室党员干部头脑，用“五个绝对忠诚”强化“四个意识”，用业务能力提升强化办公室工作水平,致力打造一支拿得出、冲得上、瞄得准、能征善战、战必能胜的办公室队伍。</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numPr>
          <w:ilvl w:val="0"/>
          <w:numId w:val="0"/>
        </w:numPr>
        <w:pBdr>
          <w:top w:val="none" w:color="auto" w:sz="0" w:space="0"/>
          <w:left w:val="none" w:color="auto" w:sz="0" w:space="0"/>
          <w:bottom w:val="none" w:color="auto" w:sz="0" w:space="0"/>
          <w:right w:val="none" w:color="auto" w:sz="0" w:space="0"/>
          <w:between w:val="none" w:color="auto" w:sz="0" w:space="0"/>
        </w:pBdr>
        <w:spacing w:before="0" w:after="0" w:line="240" w:lineRule="auto"/>
        <w:ind w:firstLine="1120" w:firstLineChars="4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1、“名校英才入冀”人员房租补助绩效目标表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13052525P00003910025U</w:t>
            </w:r>
          </w:p>
        </w:tc>
        <w:tc>
          <w:tcPr>
            <w:tcW w:w="2835" w:type="dxa"/>
            <w:vAlign w:val="center"/>
          </w:tcPr>
          <w:p>
            <w:pPr>
              <w:pStyle w:val="11"/>
            </w:pPr>
            <w:r>
              <w:t>项目名称</w:t>
            </w:r>
          </w:p>
        </w:tc>
        <w:tc>
          <w:tcPr>
            <w:tcW w:w="6095" w:type="dxa"/>
            <w:gridSpan w:val="3"/>
            <w:vAlign w:val="center"/>
          </w:tcPr>
          <w:p>
            <w:pPr>
              <w:pStyle w:val="13"/>
            </w:pPr>
            <w:r>
              <w:t>“名校英才入冀”人员房租补助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选调生房补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1.保障定向选调生住房补贴发放到位，更好服务群众。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应发放政府补贴租房定向选调人数占比</w:t>
            </w:r>
          </w:p>
        </w:tc>
        <w:tc>
          <w:tcPr>
            <w:tcW w:w="5386" w:type="dxa"/>
            <w:vAlign w:val="center"/>
          </w:tcPr>
          <w:p>
            <w:pPr>
              <w:pStyle w:val="13"/>
            </w:pPr>
            <w:r>
              <w:t>覆盖本单位定向选调生人员</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保障定向选调生租房补贴金额</w:t>
            </w:r>
          </w:p>
        </w:tc>
        <w:tc>
          <w:tcPr>
            <w:tcW w:w="5386" w:type="dxa"/>
            <w:vAlign w:val="center"/>
          </w:tcPr>
          <w:p>
            <w:pPr>
              <w:pStyle w:val="13"/>
            </w:pPr>
            <w:r>
              <w:t>保障定向选调生租房补贴金额</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保障及时发放补贴率</w:t>
            </w:r>
          </w:p>
        </w:tc>
        <w:tc>
          <w:tcPr>
            <w:tcW w:w="5386" w:type="dxa"/>
            <w:vAlign w:val="center"/>
          </w:tcPr>
          <w:p>
            <w:pPr>
              <w:pStyle w:val="13"/>
            </w:pPr>
            <w:r>
              <w:t>保障及时发放补贴</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保障发放金额正确率</w:t>
            </w:r>
          </w:p>
        </w:tc>
        <w:tc>
          <w:tcPr>
            <w:tcW w:w="5386" w:type="dxa"/>
            <w:vAlign w:val="center"/>
          </w:tcPr>
          <w:p>
            <w:pPr>
              <w:pStyle w:val="13"/>
            </w:pPr>
            <w:r>
              <w:t>保障发放金额正确</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保障对任职村做出贡献率</w:t>
            </w:r>
          </w:p>
        </w:tc>
        <w:tc>
          <w:tcPr>
            <w:tcW w:w="5386" w:type="dxa"/>
            <w:vAlign w:val="center"/>
          </w:tcPr>
          <w:p>
            <w:pPr>
              <w:pStyle w:val="13"/>
            </w:pPr>
            <w:r>
              <w:t>保障对任职村做出贡献</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保障定向选调生提高在村服务工作率</w:t>
            </w:r>
          </w:p>
        </w:tc>
        <w:tc>
          <w:tcPr>
            <w:tcW w:w="5386" w:type="dxa"/>
            <w:vAlign w:val="center"/>
          </w:tcPr>
          <w:p>
            <w:pPr>
              <w:pStyle w:val="13"/>
            </w:pPr>
            <w:r>
              <w:t>保障定向选调生更好为村服务</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租房保护生态环境率</w:t>
            </w:r>
          </w:p>
        </w:tc>
        <w:tc>
          <w:tcPr>
            <w:tcW w:w="5386" w:type="dxa"/>
            <w:vAlign w:val="center"/>
          </w:tcPr>
          <w:p>
            <w:pPr>
              <w:pStyle w:val="13"/>
            </w:pPr>
            <w:r>
              <w:t>租房保护生态环境</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保障定向选调生在村服务持续率</w:t>
            </w:r>
          </w:p>
        </w:tc>
        <w:tc>
          <w:tcPr>
            <w:tcW w:w="5386" w:type="dxa"/>
            <w:vAlign w:val="center"/>
          </w:tcPr>
          <w:p>
            <w:pPr>
              <w:pStyle w:val="13"/>
            </w:pPr>
            <w:r>
              <w:t>保障定向选调生安心工作</w:t>
            </w:r>
          </w:p>
        </w:tc>
        <w:tc>
          <w:tcPr>
            <w:tcW w:w="2268" w:type="dxa"/>
            <w:vAlign w:val="center"/>
          </w:tcPr>
          <w:p>
            <w:pPr>
              <w:pStyle w:val="13"/>
            </w:pPr>
            <w:r>
              <w:t>100百分比</w:t>
            </w:r>
          </w:p>
        </w:tc>
        <w:tc>
          <w:tcPr>
            <w:tcW w:w="1276" w:type="dxa"/>
            <w:vAlign w:val="center"/>
          </w:tcPr>
          <w:p>
            <w:pPr>
              <w:pStyle w:val="13"/>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保障定向选调生满意</w:t>
            </w:r>
          </w:p>
        </w:tc>
        <w:tc>
          <w:tcPr>
            <w:tcW w:w="5386" w:type="dxa"/>
            <w:vAlign w:val="center"/>
          </w:tcPr>
          <w:p>
            <w:pPr>
              <w:pStyle w:val="13"/>
            </w:pPr>
            <w:r>
              <w:t>保障定向选调生满意</w:t>
            </w:r>
          </w:p>
        </w:tc>
        <w:tc>
          <w:tcPr>
            <w:tcW w:w="2268" w:type="dxa"/>
            <w:vAlign w:val="center"/>
          </w:tcPr>
          <w:p>
            <w:pPr>
              <w:pStyle w:val="13"/>
            </w:pPr>
            <w:r>
              <w:t>100百分比</w:t>
            </w:r>
          </w:p>
        </w:tc>
        <w:tc>
          <w:tcPr>
            <w:tcW w:w="1276" w:type="dxa"/>
            <w:vAlign w:val="center"/>
          </w:tcPr>
          <w:p>
            <w:pPr>
              <w:pStyle w:val="13"/>
            </w:pPr>
            <w:r>
              <w:t>名校英才入冀相关文件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2、机要密码通信设备经费绩效目标表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13052525P00003910069R</w:t>
            </w:r>
          </w:p>
        </w:tc>
        <w:tc>
          <w:tcPr>
            <w:tcW w:w="2835" w:type="dxa"/>
            <w:vAlign w:val="center"/>
          </w:tcPr>
          <w:p>
            <w:pPr>
              <w:pStyle w:val="11"/>
            </w:pPr>
            <w:r>
              <w:t>项目名称</w:t>
            </w:r>
          </w:p>
        </w:tc>
        <w:tc>
          <w:tcPr>
            <w:tcW w:w="6095" w:type="dxa"/>
            <w:gridSpan w:val="3"/>
            <w:vAlign w:val="center"/>
          </w:tcPr>
          <w:p>
            <w:pPr>
              <w:pStyle w:val="13"/>
            </w:pPr>
            <w:r>
              <w:t>机要密码通信设备经费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19.76</w:t>
            </w:r>
          </w:p>
        </w:tc>
        <w:tc>
          <w:tcPr>
            <w:tcW w:w="2835" w:type="dxa"/>
            <w:vAlign w:val="center"/>
          </w:tcPr>
          <w:p>
            <w:pPr>
              <w:pStyle w:val="11"/>
            </w:pPr>
            <w:r>
              <w:t>其中：财政    资金</w:t>
            </w:r>
          </w:p>
        </w:tc>
        <w:tc>
          <w:tcPr>
            <w:tcW w:w="2551" w:type="dxa"/>
            <w:vAlign w:val="center"/>
          </w:tcPr>
          <w:p>
            <w:pPr>
              <w:pStyle w:val="13"/>
            </w:pPr>
            <w:r>
              <w:t>19.76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机要密码通信设备经费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1.机要密码通信设备经费项目内容涉密。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3、全省党政专用电视会议系统延伸建设经费绩效目标表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13052525P000039100705</w:t>
            </w:r>
          </w:p>
        </w:tc>
        <w:tc>
          <w:tcPr>
            <w:tcW w:w="2835" w:type="dxa"/>
            <w:vAlign w:val="center"/>
          </w:tcPr>
          <w:p>
            <w:pPr>
              <w:pStyle w:val="11"/>
            </w:pPr>
            <w:r>
              <w:t>项目名称</w:t>
            </w:r>
          </w:p>
        </w:tc>
        <w:tc>
          <w:tcPr>
            <w:tcW w:w="6095" w:type="dxa"/>
            <w:gridSpan w:val="3"/>
            <w:vAlign w:val="center"/>
          </w:tcPr>
          <w:p>
            <w:pPr>
              <w:pStyle w:val="13"/>
            </w:pPr>
            <w:r>
              <w:t>全省党政专用电视会议系统延伸建设经费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135.00</w:t>
            </w:r>
          </w:p>
        </w:tc>
        <w:tc>
          <w:tcPr>
            <w:tcW w:w="2835" w:type="dxa"/>
            <w:vAlign w:val="center"/>
          </w:tcPr>
          <w:p>
            <w:pPr>
              <w:pStyle w:val="11"/>
            </w:pPr>
            <w:r>
              <w:t>其中：财政    资金</w:t>
            </w:r>
          </w:p>
        </w:tc>
        <w:tc>
          <w:tcPr>
            <w:tcW w:w="2551" w:type="dxa"/>
            <w:vAlign w:val="center"/>
          </w:tcPr>
          <w:p>
            <w:pPr>
              <w:pStyle w:val="13"/>
            </w:pPr>
            <w:r>
              <w:t>135.00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隆尧县党政专用电视会议系统经费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1.全省党政专用电视会议系统延伸建设经费项目内容涉密。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100百分号</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4、县委办专项工作经费绩效目标表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13052525P00003910066Y</w:t>
            </w:r>
          </w:p>
        </w:tc>
        <w:tc>
          <w:tcPr>
            <w:tcW w:w="2835" w:type="dxa"/>
            <w:vAlign w:val="center"/>
          </w:tcPr>
          <w:p>
            <w:pPr>
              <w:pStyle w:val="11"/>
            </w:pPr>
            <w:r>
              <w:t>项目名称</w:t>
            </w:r>
          </w:p>
        </w:tc>
        <w:tc>
          <w:tcPr>
            <w:tcW w:w="6095" w:type="dxa"/>
            <w:gridSpan w:val="3"/>
            <w:vAlign w:val="center"/>
          </w:tcPr>
          <w:p>
            <w:pPr>
              <w:pStyle w:val="13"/>
            </w:pPr>
            <w:r>
              <w:t>县委办专项工作经费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优质高效完成县委办各项工作。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1.优质高效完成县委办各项工作。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领导交办事项数量完成率</w:t>
            </w:r>
          </w:p>
        </w:tc>
        <w:tc>
          <w:tcPr>
            <w:tcW w:w="2268" w:type="dxa"/>
            <w:vAlign w:val="center"/>
          </w:tcPr>
          <w:p>
            <w:pPr>
              <w:pStyle w:val="13"/>
            </w:pPr>
            <w:r>
              <w:t>≥98百分号</w:t>
            </w:r>
          </w:p>
        </w:tc>
        <w:tc>
          <w:tcPr>
            <w:tcW w:w="1276" w:type="dxa"/>
            <w:vAlign w:val="center"/>
          </w:tcPr>
          <w:p>
            <w:pPr>
              <w:pStyle w:val="13"/>
            </w:pPr>
            <w:r>
              <w:t>工作性质及职责</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差错率</w:t>
            </w:r>
          </w:p>
        </w:tc>
        <w:tc>
          <w:tcPr>
            <w:tcW w:w="5386" w:type="dxa"/>
            <w:vAlign w:val="center"/>
          </w:tcPr>
          <w:p>
            <w:pPr>
              <w:pStyle w:val="13"/>
            </w:pPr>
            <w:r>
              <w:t>出现差错情况数量占工作总量比例</w:t>
            </w:r>
          </w:p>
        </w:tc>
        <w:tc>
          <w:tcPr>
            <w:tcW w:w="2268" w:type="dxa"/>
            <w:vAlign w:val="center"/>
          </w:tcPr>
          <w:p>
            <w:pPr>
              <w:pStyle w:val="13"/>
            </w:pPr>
            <w:r>
              <w:t>≤5百分号</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及时完成任务数量占完成工作总量比例</w:t>
            </w:r>
          </w:p>
        </w:tc>
        <w:tc>
          <w:tcPr>
            <w:tcW w:w="2268" w:type="dxa"/>
            <w:vAlign w:val="center"/>
          </w:tcPr>
          <w:p>
            <w:pPr>
              <w:pStyle w:val="13"/>
            </w:pPr>
            <w:r>
              <w:t>≥98百分号</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≤100百分号</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社会氛围</w:t>
            </w:r>
          </w:p>
        </w:tc>
        <w:tc>
          <w:tcPr>
            <w:tcW w:w="2268" w:type="dxa"/>
            <w:vAlign w:val="center"/>
          </w:tcPr>
          <w:p>
            <w:pPr>
              <w:pStyle w:val="13"/>
            </w:pPr>
            <w:r>
              <w:t>营造良好社会氛围</w:t>
            </w:r>
          </w:p>
        </w:tc>
        <w:tc>
          <w:tcPr>
            <w:tcW w:w="1276" w:type="dxa"/>
            <w:vAlign w:val="center"/>
          </w:tcPr>
          <w:p>
            <w:pPr>
              <w:pStyle w:val="13"/>
            </w:pPr>
            <w:r>
              <w:t>社会评价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≥98百分号</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5、值班子系统运维、省级视频会议系统链路传输、广电网络视频会议技术服务保障费用、县委值班室视频点名系统运维费绩效目标表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13052525P00003910071Q</w:t>
            </w:r>
          </w:p>
        </w:tc>
        <w:tc>
          <w:tcPr>
            <w:tcW w:w="2835" w:type="dxa"/>
            <w:vAlign w:val="center"/>
          </w:tcPr>
          <w:p>
            <w:pPr>
              <w:pStyle w:val="11"/>
            </w:pPr>
            <w:r>
              <w:t>项目名称</w:t>
            </w:r>
          </w:p>
        </w:tc>
        <w:tc>
          <w:tcPr>
            <w:tcW w:w="6095" w:type="dxa"/>
            <w:gridSpan w:val="3"/>
            <w:vAlign w:val="center"/>
          </w:tcPr>
          <w:p>
            <w:pPr>
              <w:pStyle w:val="13"/>
            </w:pPr>
            <w:r>
              <w:t>值班子系统运维、省级视频会议系统链路传输、广电网络视频会议技术服务保障费用、县委值班室视频点名系统运维费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14.93</w:t>
            </w:r>
          </w:p>
        </w:tc>
        <w:tc>
          <w:tcPr>
            <w:tcW w:w="2835" w:type="dxa"/>
            <w:vAlign w:val="center"/>
          </w:tcPr>
          <w:p>
            <w:pPr>
              <w:pStyle w:val="11"/>
            </w:pPr>
            <w:r>
              <w:t>其中：财政    资金</w:t>
            </w:r>
          </w:p>
        </w:tc>
        <w:tc>
          <w:tcPr>
            <w:tcW w:w="2551" w:type="dxa"/>
            <w:vAlign w:val="center"/>
          </w:tcPr>
          <w:p>
            <w:pPr>
              <w:pStyle w:val="13"/>
            </w:pPr>
            <w:r>
              <w:t>14.93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值班子系统运维、省级视频会议系统链路传输、广电网络视频会议技术服务保障费用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1.保障视频会议、点名系统、值班系统等正常运行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保障率</w:t>
            </w:r>
          </w:p>
        </w:tc>
        <w:tc>
          <w:tcPr>
            <w:tcW w:w="5386" w:type="dxa"/>
            <w:vAlign w:val="center"/>
          </w:tcPr>
          <w:p>
            <w:pPr>
              <w:pStyle w:val="13"/>
            </w:pPr>
            <w:r>
              <w:t>保障系统正常使用次数占总会议次数比例</w:t>
            </w:r>
          </w:p>
        </w:tc>
        <w:tc>
          <w:tcPr>
            <w:tcW w:w="2268" w:type="dxa"/>
            <w:vAlign w:val="center"/>
          </w:tcPr>
          <w:p>
            <w:pPr>
              <w:pStyle w:val="13"/>
            </w:pPr>
            <w:r>
              <w:t>≥98百分号</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高质量比率</w:t>
            </w:r>
          </w:p>
        </w:tc>
        <w:tc>
          <w:tcPr>
            <w:tcW w:w="5386" w:type="dxa"/>
            <w:vAlign w:val="center"/>
          </w:tcPr>
          <w:p>
            <w:pPr>
              <w:pStyle w:val="13"/>
            </w:pPr>
            <w:r>
              <w:t>高质量保障系统正常使用次数占总会议次数比例</w:t>
            </w:r>
          </w:p>
        </w:tc>
        <w:tc>
          <w:tcPr>
            <w:tcW w:w="2268" w:type="dxa"/>
            <w:vAlign w:val="center"/>
          </w:tcPr>
          <w:p>
            <w:pPr>
              <w:pStyle w:val="13"/>
            </w:pPr>
            <w:r>
              <w:t>≥98百分号</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及时保障率</w:t>
            </w:r>
          </w:p>
        </w:tc>
        <w:tc>
          <w:tcPr>
            <w:tcW w:w="5386" w:type="dxa"/>
            <w:vAlign w:val="center"/>
          </w:tcPr>
          <w:p>
            <w:pPr>
              <w:pStyle w:val="13"/>
            </w:pPr>
            <w:r>
              <w:t>及时高效保障会议正常进行比率</w:t>
            </w:r>
          </w:p>
        </w:tc>
        <w:tc>
          <w:tcPr>
            <w:tcW w:w="2268" w:type="dxa"/>
            <w:vAlign w:val="center"/>
          </w:tcPr>
          <w:p>
            <w:pPr>
              <w:pStyle w:val="13"/>
            </w:pPr>
            <w:r>
              <w:t>≥98百分号</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≤100百分号</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公共服务水平显著提升</w:t>
            </w:r>
          </w:p>
        </w:tc>
        <w:tc>
          <w:tcPr>
            <w:tcW w:w="1276" w:type="dxa"/>
            <w:vAlign w:val="center"/>
          </w:tcPr>
          <w:p>
            <w:pPr>
              <w:pStyle w:val="13"/>
            </w:pPr>
            <w:r>
              <w:t>服务效果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≥98百分号</w:t>
            </w:r>
          </w:p>
        </w:tc>
        <w:tc>
          <w:tcPr>
            <w:tcW w:w="1276" w:type="dxa"/>
            <w:vAlign w:val="center"/>
          </w:tcPr>
          <w:p>
            <w:pPr>
              <w:pStyle w:val="13"/>
            </w:pPr>
            <w:r>
              <w:t>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6、保障公务出行费绩效目标表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13052525P000026100144</w:t>
            </w:r>
          </w:p>
        </w:tc>
        <w:tc>
          <w:tcPr>
            <w:tcW w:w="2835" w:type="dxa"/>
            <w:vAlign w:val="center"/>
          </w:tcPr>
          <w:p>
            <w:pPr>
              <w:pStyle w:val="11"/>
            </w:pPr>
            <w:r>
              <w:t>项目名称</w:t>
            </w:r>
          </w:p>
        </w:tc>
        <w:tc>
          <w:tcPr>
            <w:tcW w:w="6095" w:type="dxa"/>
            <w:gridSpan w:val="3"/>
            <w:vAlign w:val="center"/>
          </w:tcPr>
          <w:p>
            <w:pPr>
              <w:pStyle w:val="13"/>
            </w:pPr>
            <w:r>
              <w:t>保障公务出行费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63.52</w:t>
            </w:r>
          </w:p>
        </w:tc>
        <w:tc>
          <w:tcPr>
            <w:tcW w:w="2835" w:type="dxa"/>
            <w:vAlign w:val="center"/>
          </w:tcPr>
          <w:p>
            <w:pPr>
              <w:pStyle w:val="11"/>
            </w:pPr>
            <w:r>
              <w:t>其中：财政    资金</w:t>
            </w:r>
          </w:p>
        </w:tc>
        <w:tc>
          <w:tcPr>
            <w:tcW w:w="2551" w:type="dxa"/>
            <w:vAlign w:val="center"/>
          </w:tcPr>
          <w:p>
            <w:pPr>
              <w:pStyle w:val="13"/>
            </w:pPr>
            <w:r>
              <w:t>63.52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城管局、大气办、环保局租车费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1.完成城管局、大气办、环保局租车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日均车辆轨迹信息条数</w:t>
            </w:r>
          </w:p>
        </w:tc>
        <w:tc>
          <w:tcPr>
            <w:tcW w:w="5386" w:type="dxa"/>
            <w:vAlign w:val="center"/>
          </w:tcPr>
          <w:p>
            <w:pPr>
              <w:pStyle w:val="13"/>
            </w:pPr>
            <w:r>
              <w:t>日均车辆轨迹信息条数</w:t>
            </w:r>
          </w:p>
        </w:tc>
        <w:tc>
          <w:tcPr>
            <w:tcW w:w="2268" w:type="dxa"/>
            <w:vAlign w:val="center"/>
          </w:tcPr>
          <w:p>
            <w:pPr>
              <w:pStyle w:val="13"/>
            </w:pPr>
            <w:r>
              <w:t>≥50条</w:t>
            </w:r>
          </w:p>
        </w:tc>
        <w:tc>
          <w:tcPr>
            <w:tcW w:w="1276" w:type="dxa"/>
            <w:vAlign w:val="center"/>
          </w:tcPr>
          <w:p>
            <w:pPr>
              <w:pStyle w:val="13"/>
            </w:pPr>
            <w:r>
              <w:t>车辆出勤率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机动车查验系统正常工作时间比例</w:t>
            </w:r>
          </w:p>
        </w:tc>
        <w:tc>
          <w:tcPr>
            <w:tcW w:w="5386" w:type="dxa"/>
            <w:vAlign w:val="center"/>
          </w:tcPr>
          <w:p>
            <w:pPr>
              <w:pStyle w:val="13"/>
            </w:pPr>
            <w:r>
              <w:t>机动车查验系统正常工作时间比例</w:t>
            </w:r>
          </w:p>
        </w:tc>
        <w:tc>
          <w:tcPr>
            <w:tcW w:w="2268" w:type="dxa"/>
            <w:vAlign w:val="center"/>
          </w:tcPr>
          <w:p>
            <w:pPr>
              <w:pStyle w:val="13"/>
            </w:pPr>
            <w:r>
              <w:t>≥90%</w:t>
            </w:r>
          </w:p>
        </w:tc>
        <w:tc>
          <w:tcPr>
            <w:tcW w:w="1276" w:type="dxa"/>
            <w:vAlign w:val="center"/>
          </w:tcPr>
          <w:p>
            <w:pPr>
              <w:pStyle w:val="13"/>
            </w:pPr>
            <w:r>
              <w:t>车辆检测率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资金支出情况</w:t>
            </w:r>
          </w:p>
        </w:tc>
        <w:tc>
          <w:tcPr>
            <w:tcW w:w="5386" w:type="dxa"/>
            <w:vAlign w:val="center"/>
          </w:tcPr>
          <w:p>
            <w:pPr>
              <w:pStyle w:val="13"/>
            </w:pPr>
            <w:r>
              <w:t>资金支出情况</w:t>
            </w:r>
          </w:p>
        </w:tc>
        <w:tc>
          <w:tcPr>
            <w:tcW w:w="2268" w:type="dxa"/>
            <w:vAlign w:val="center"/>
          </w:tcPr>
          <w:p>
            <w:pPr>
              <w:pStyle w:val="13"/>
            </w:pPr>
            <w:r>
              <w:t>≥100%</w:t>
            </w:r>
          </w:p>
        </w:tc>
        <w:tc>
          <w:tcPr>
            <w:tcW w:w="1276" w:type="dxa"/>
            <w:vAlign w:val="center"/>
          </w:tcPr>
          <w:p>
            <w:pPr>
              <w:pStyle w:val="13"/>
            </w:pPr>
            <w:r>
              <w:t>年度报告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≤635200元</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≥90%</w:t>
            </w:r>
          </w:p>
        </w:tc>
        <w:tc>
          <w:tcPr>
            <w:tcW w:w="1276" w:type="dxa"/>
            <w:vAlign w:val="center"/>
          </w:tcPr>
          <w:p>
            <w:pPr>
              <w:pStyle w:val="13"/>
            </w:pPr>
            <w:r>
              <w:t>提升工作效率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租赁车辆对社会的影响</w:t>
            </w:r>
          </w:p>
        </w:tc>
        <w:tc>
          <w:tcPr>
            <w:tcW w:w="1276" w:type="dxa"/>
            <w:vAlign w:val="center"/>
          </w:tcPr>
          <w:p>
            <w:pPr>
              <w:pStyle w:val="13"/>
            </w:pPr>
            <w:r>
              <w:t>年度报告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节能环保减排</w:t>
            </w:r>
          </w:p>
        </w:tc>
        <w:tc>
          <w:tcPr>
            <w:tcW w:w="5386" w:type="dxa"/>
            <w:vAlign w:val="center"/>
          </w:tcPr>
          <w:p>
            <w:pPr>
              <w:pStyle w:val="13"/>
            </w:pPr>
            <w:r>
              <w:t>节能环保减排</w:t>
            </w:r>
          </w:p>
        </w:tc>
        <w:tc>
          <w:tcPr>
            <w:tcW w:w="2268" w:type="dxa"/>
            <w:vAlign w:val="center"/>
          </w:tcPr>
          <w:p>
            <w:pPr>
              <w:pStyle w:val="13"/>
            </w:pPr>
            <w:r>
              <w:t>≥90%</w:t>
            </w:r>
          </w:p>
        </w:tc>
        <w:tc>
          <w:tcPr>
            <w:tcW w:w="1276" w:type="dxa"/>
            <w:vAlign w:val="center"/>
          </w:tcPr>
          <w:p>
            <w:pPr>
              <w:pStyle w:val="13"/>
            </w:pPr>
            <w:r>
              <w:t>用电动汽车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提升行业管理水平</w:t>
            </w:r>
          </w:p>
        </w:tc>
        <w:tc>
          <w:tcPr>
            <w:tcW w:w="5386" w:type="dxa"/>
            <w:vAlign w:val="center"/>
          </w:tcPr>
          <w:p>
            <w:pPr>
              <w:pStyle w:val="13"/>
            </w:pPr>
            <w:r>
              <w:t>提升行业管理水平</w:t>
            </w:r>
          </w:p>
        </w:tc>
        <w:tc>
          <w:tcPr>
            <w:tcW w:w="2268" w:type="dxa"/>
            <w:vAlign w:val="center"/>
          </w:tcPr>
          <w:p>
            <w:pPr>
              <w:pStyle w:val="13"/>
            </w:pPr>
            <w:r>
              <w:t>≥90%</w:t>
            </w:r>
          </w:p>
        </w:tc>
        <w:tc>
          <w:tcPr>
            <w:tcW w:w="1276" w:type="dxa"/>
            <w:vAlign w:val="center"/>
          </w:tcPr>
          <w:p>
            <w:pPr>
              <w:pStyle w:val="13"/>
            </w:pPr>
            <w:r>
              <w:t>提升办事效率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用车人的满意度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7、公务用车运行维护费绩效目标表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13052525P00002610008N</w:t>
            </w:r>
          </w:p>
        </w:tc>
        <w:tc>
          <w:tcPr>
            <w:tcW w:w="2835" w:type="dxa"/>
            <w:vAlign w:val="center"/>
          </w:tcPr>
          <w:p>
            <w:pPr>
              <w:pStyle w:val="11"/>
            </w:pPr>
            <w:r>
              <w:t>项目名称</w:t>
            </w:r>
          </w:p>
        </w:tc>
        <w:tc>
          <w:tcPr>
            <w:tcW w:w="6095" w:type="dxa"/>
            <w:gridSpan w:val="3"/>
            <w:vAlign w:val="center"/>
          </w:tcPr>
          <w:p>
            <w:pPr>
              <w:pStyle w:val="13"/>
            </w:pPr>
            <w:r>
              <w:t>公务用车运行维护费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全年确保县直各单位公车燃油费、维修费、保险费、过桥费、机动车检测费、保障各单位车辆正常运行，工作顺利开展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1.全年确保县直各单位公车燃油费、维修费、保险费、过桥费、机动车检测费、保障各单位车辆正常运行，工作顺利开展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公务用车入保险率</w:t>
            </w:r>
          </w:p>
        </w:tc>
        <w:tc>
          <w:tcPr>
            <w:tcW w:w="5386" w:type="dxa"/>
            <w:vAlign w:val="center"/>
          </w:tcPr>
          <w:p>
            <w:pPr>
              <w:pStyle w:val="13"/>
            </w:pPr>
            <w:r>
              <w:t>入保险的公务用车量占全部公务用车的比例</w:t>
            </w:r>
          </w:p>
        </w:tc>
        <w:tc>
          <w:tcPr>
            <w:tcW w:w="2268" w:type="dxa"/>
            <w:vAlign w:val="center"/>
          </w:tcPr>
          <w:p>
            <w:pPr>
              <w:pStyle w:val="13"/>
            </w:pPr>
            <w:r>
              <w:t>≥100入保险的公务用车量占全部公务用车的比例</w:t>
            </w:r>
          </w:p>
        </w:tc>
        <w:tc>
          <w:tcPr>
            <w:tcW w:w="1276" w:type="dxa"/>
            <w:vAlign w:val="center"/>
          </w:tcPr>
          <w:p>
            <w:pPr>
              <w:pStyle w:val="13"/>
            </w:pPr>
            <w:r>
              <w:t>入保险统计表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公务用车检测率</w:t>
            </w:r>
          </w:p>
        </w:tc>
        <w:tc>
          <w:tcPr>
            <w:tcW w:w="5386" w:type="dxa"/>
            <w:vAlign w:val="center"/>
          </w:tcPr>
          <w:p>
            <w:pPr>
              <w:pStyle w:val="13"/>
            </w:pPr>
            <w:r>
              <w:t>检测完成的公务用车量占全部公务用车的比例</w:t>
            </w:r>
          </w:p>
        </w:tc>
        <w:tc>
          <w:tcPr>
            <w:tcW w:w="2268" w:type="dxa"/>
            <w:vAlign w:val="center"/>
          </w:tcPr>
          <w:p>
            <w:pPr>
              <w:pStyle w:val="13"/>
            </w:pPr>
            <w:r>
              <w:t>≥100检测完成的公务用车量占全部公务用车的比例</w:t>
            </w:r>
          </w:p>
        </w:tc>
        <w:tc>
          <w:tcPr>
            <w:tcW w:w="1276" w:type="dxa"/>
            <w:vAlign w:val="center"/>
          </w:tcPr>
          <w:p>
            <w:pPr>
              <w:pStyle w:val="13"/>
            </w:pPr>
            <w:r>
              <w:t>车辆检测表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过桥费支出率</w:t>
            </w:r>
          </w:p>
        </w:tc>
        <w:tc>
          <w:tcPr>
            <w:tcW w:w="5386" w:type="dxa"/>
            <w:vAlign w:val="center"/>
          </w:tcPr>
          <w:p>
            <w:pPr>
              <w:pStyle w:val="13"/>
            </w:pPr>
            <w:r>
              <w:t>过桥费支出量占全部公车过桥费支出量的比例</w:t>
            </w:r>
          </w:p>
        </w:tc>
        <w:tc>
          <w:tcPr>
            <w:tcW w:w="2268" w:type="dxa"/>
            <w:vAlign w:val="center"/>
          </w:tcPr>
          <w:p>
            <w:pPr>
              <w:pStyle w:val="13"/>
            </w:pPr>
            <w:r>
              <w:t>≥100过桥费支出量占全部公车过桥费支出量的比例</w:t>
            </w:r>
          </w:p>
        </w:tc>
        <w:tc>
          <w:tcPr>
            <w:tcW w:w="1276" w:type="dxa"/>
            <w:vAlign w:val="center"/>
          </w:tcPr>
          <w:p>
            <w:pPr>
              <w:pStyle w:val="13"/>
            </w:pPr>
            <w:r>
              <w:t>每月过桥费支出数量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公车完成维修率</w:t>
            </w:r>
          </w:p>
        </w:tc>
        <w:tc>
          <w:tcPr>
            <w:tcW w:w="5386" w:type="dxa"/>
            <w:vAlign w:val="center"/>
          </w:tcPr>
          <w:p>
            <w:pPr>
              <w:pStyle w:val="13"/>
            </w:pPr>
            <w:r>
              <w:t>完成维修的公车量占需要维修的公车的比例</w:t>
            </w:r>
          </w:p>
        </w:tc>
        <w:tc>
          <w:tcPr>
            <w:tcW w:w="2268" w:type="dxa"/>
            <w:vAlign w:val="center"/>
          </w:tcPr>
          <w:p>
            <w:pPr>
              <w:pStyle w:val="13"/>
            </w:pPr>
            <w:r>
              <w:t>≥100完成维修的公车量占需要维修的公车的比例</w:t>
            </w:r>
          </w:p>
        </w:tc>
        <w:tc>
          <w:tcPr>
            <w:tcW w:w="1276" w:type="dxa"/>
            <w:vAlign w:val="center"/>
          </w:tcPr>
          <w:p>
            <w:pPr>
              <w:pStyle w:val="13"/>
            </w:pPr>
            <w:r>
              <w:t>完成维修的数量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正常运行的公车占全部公车的比</w:t>
            </w:r>
          </w:p>
        </w:tc>
        <w:tc>
          <w:tcPr>
            <w:tcW w:w="5386" w:type="dxa"/>
            <w:vAlign w:val="center"/>
          </w:tcPr>
          <w:p>
            <w:pPr>
              <w:pStyle w:val="13"/>
            </w:pPr>
            <w:r>
              <w:t>正常运行的车辆占比</w:t>
            </w:r>
          </w:p>
        </w:tc>
        <w:tc>
          <w:tcPr>
            <w:tcW w:w="2268" w:type="dxa"/>
            <w:vAlign w:val="center"/>
          </w:tcPr>
          <w:p>
            <w:pPr>
              <w:pStyle w:val="13"/>
            </w:pPr>
            <w:r>
              <w:t>≥100正常运行的车辆占比</w:t>
            </w:r>
          </w:p>
        </w:tc>
        <w:tc>
          <w:tcPr>
            <w:tcW w:w="1276" w:type="dxa"/>
            <w:vAlign w:val="center"/>
          </w:tcPr>
          <w:p>
            <w:pPr>
              <w:pStyle w:val="13"/>
            </w:pPr>
            <w:r>
              <w:t>使用公车率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公务用车完成维修率</w:t>
            </w:r>
          </w:p>
        </w:tc>
        <w:tc>
          <w:tcPr>
            <w:tcW w:w="5386" w:type="dxa"/>
            <w:vAlign w:val="center"/>
          </w:tcPr>
          <w:p>
            <w:pPr>
              <w:pStyle w:val="13"/>
            </w:pPr>
            <w:r>
              <w:t>完成维修的公车量占需要维修的公车的比例</w:t>
            </w:r>
          </w:p>
        </w:tc>
        <w:tc>
          <w:tcPr>
            <w:tcW w:w="2268" w:type="dxa"/>
            <w:vAlign w:val="center"/>
          </w:tcPr>
          <w:p>
            <w:pPr>
              <w:pStyle w:val="13"/>
            </w:pPr>
            <w:r>
              <w:t>≥100完成维修的公车量占需要维修的公车的比例</w:t>
            </w:r>
          </w:p>
        </w:tc>
        <w:tc>
          <w:tcPr>
            <w:tcW w:w="1276" w:type="dxa"/>
            <w:vAlign w:val="center"/>
          </w:tcPr>
          <w:p>
            <w:pPr>
              <w:pStyle w:val="13"/>
            </w:pPr>
            <w:r>
              <w:t>完成维修的数量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机动车尾气排放达标率(％)</w:t>
            </w:r>
          </w:p>
        </w:tc>
        <w:tc>
          <w:tcPr>
            <w:tcW w:w="5386" w:type="dxa"/>
            <w:vAlign w:val="center"/>
          </w:tcPr>
          <w:p>
            <w:pPr>
              <w:pStyle w:val="13"/>
            </w:pPr>
            <w:r>
              <w:t>检测以后公车尾气达标率</w:t>
            </w:r>
          </w:p>
        </w:tc>
        <w:tc>
          <w:tcPr>
            <w:tcW w:w="2268" w:type="dxa"/>
            <w:vAlign w:val="center"/>
          </w:tcPr>
          <w:p>
            <w:pPr>
              <w:pStyle w:val="13"/>
            </w:pPr>
            <w:r>
              <w:t>≥100检测以后公车尾气达标率</w:t>
            </w:r>
          </w:p>
        </w:tc>
        <w:tc>
          <w:tcPr>
            <w:tcW w:w="1276" w:type="dxa"/>
            <w:vAlign w:val="center"/>
          </w:tcPr>
          <w:p>
            <w:pPr>
              <w:pStyle w:val="13"/>
            </w:pPr>
            <w:r>
              <w:t>检测不合格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日常出行率</w:t>
            </w:r>
          </w:p>
        </w:tc>
        <w:tc>
          <w:tcPr>
            <w:tcW w:w="5386" w:type="dxa"/>
            <w:vAlign w:val="center"/>
          </w:tcPr>
          <w:p>
            <w:pPr>
              <w:pStyle w:val="13"/>
            </w:pPr>
            <w:r>
              <w:t>日常出行使用公车率</w:t>
            </w:r>
          </w:p>
        </w:tc>
        <w:tc>
          <w:tcPr>
            <w:tcW w:w="2268" w:type="dxa"/>
            <w:vAlign w:val="center"/>
          </w:tcPr>
          <w:p>
            <w:pPr>
              <w:pStyle w:val="13"/>
            </w:pPr>
            <w:r>
              <w:t>≥100日常出行使用公车率</w:t>
            </w:r>
          </w:p>
        </w:tc>
        <w:tc>
          <w:tcPr>
            <w:tcW w:w="1276" w:type="dxa"/>
            <w:vAlign w:val="center"/>
          </w:tcPr>
          <w:p>
            <w:pPr>
              <w:pStyle w:val="13"/>
            </w:pPr>
            <w:r>
              <w:t>平台派车单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领导使用公车的满意度</w:t>
            </w:r>
          </w:p>
        </w:tc>
        <w:tc>
          <w:tcPr>
            <w:tcW w:w="2268" w:type="dxa"/>
            <w:vAlign w:val="center"/>
          </w:tcPr>
          <w:p>
            <w:pPr>
              <w:pStyle w:val="13"/>
            </w:pPr>
            <w:r>
              <w:t>≥90领导使用公车的满意度</w:t>
            </w:r>
          </w:p>
        </w:tc>
        <w:tc>
          <w:tcPr>
            <w:tcW w:w="1276" w:type="dxa"/>
            <w:vAlign w:val="center"/>
          </w:tcPr>
          <w:p>
            <w:pPr>
              <w:pStyle w:val="13"/>
            </w:pPr>
            <w:r>
              <w:t>使用公车投诉率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8、机关办公费绩效目标表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13052525P000026100048</w:t>
            </w:r>
          </w:p>
        </w:tc>
        <w:tc>
          <w:tcPr>
            <w:tcW w:w="2835" w:type="dxa"/>
            <w:vAlign w:val="center"/>
          </w:tcPr>
          <w:p>
            <w:pPr>
              <w:pStyle w:val="11"/>
            </w:pPr>
            <w:r>
              <w:t>项目名称</w:t>
            </w:r>
          </w:p>
        </w:tc>
        <w:tc>
          <w:tcPr>
            <w:tcW w:w="6095" w:type="dxa"/>
            <w:gridSpan w:val="3"/>
            <w:vAlign w:val="center"/>
          </w:tcPr>
          <w:p>
            <w:pPr>
              <w:pStyle w:val="13"/>
            </w:pPr>
            <w:r>
              <w:t>机关办公费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确保单位全年人员日常办公费用的使用，保障单位的顺利运行。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1.确保单位全年人员日常办公费用的使用，保障单位的顺利运行。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机关工作完成率</w:t>
            </w:r>
          </w:p>
        </w:tc>
        <w:tc>
          <w:tcPr>
            <w:tcW w:w="5386" w:type="dxa"/>
            <w:vAlign w:val="center"/>
          </w:tcPr>
          <w:p>
            <w:pPr>
              <w:pStyle w:val="13"/>
            </w:pPr>
            <w:r>
              <w:t>完成机关工作占全年工作的比例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机关高质量工作节能减排</w:t>
            </w:r>
          </w:p>
        </w:tc>
        <w:tc>
          <w:tcPr>
            <w:tcW w:w="5386" w:type="dxa"/>
            <w:vAlign w:val="center"/>
          </w:tcPr>
          <w:p>
            <w:pPr>
              <w:pStyle w:val="13"/>
            </w:pPr>
            <w:r>
              <w:t>完成机关高质量工作占全年工作的比例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机关购置率</w:t>
            </w:r>
          </w:p>
        </w:tc>
        <w:tc>
          <w:tcPr>
            <w:tcW w:w="5386" w:type="dxa"/>
            <w:vAlign w:val="center"/>
          </w:tcPr>
          <w:p>
            <w:pPr>
              <w:pStyle w:val="13"/>
            </w:pPr>
            <w:r>
              <w:t>机关购置货物量占全年购置计划的比例</w:t>
            </w:r>
          </w:p>
        </w:tc>
        <w:tc>
          <w:tcPr>
            <w:tcW w:w="2268" w:type="dxa"/>
            <w:vAlign w:val="center"/>
          </w:tcPr>
          <w:p>
            <w:pPr>
              <w:pStyle w:val="13"/>
            </w:pPr>
            <w:r>
              <w:t>≤10%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机关办公费支出率</w:t>
            </w:r>
          </w:p>
        </w:tc>
        <w:tc>
          <w:tcPr>
            <w:tcW w:w="5386" w:type="dxa"/>
            <w:vAlign w:val="center"/>
          </w:tcPr>
          <w:p>
            <w:pPr>
              <w:pStyle w:val="13"/>
            </w:pPr>
            <w:r>
              <w:t>机关办公费支出数占预算总数的比例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机关办公优质率</w:t>
            </w:r>
          </w:p>
        </w:tc>
        <w:tc>
          <w:tcPr>
            <w:tcW w:w="5386" w:type="dxa"/>
            <w:vAlign w:val="center"/>
          </w:tcPr>
          <w:p>
            <w:pPr>
              <w:pStyle w:val="13"/>
            </w:pPr>
            <w:r>
              <w:t>机关办公优质次数占总办公次数的比例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机关高质量工作完成率</w:t>
            </w:r>
          </w:p>
        </w:tc>
        <w:tc>
          <w:tcPr>
            <w:tcW w:w="5386" w:type="dxa"/>
            <w:vAlign w:val="center"/>
          </w:tcPr>
          <w:p>
            <w:pPr>
              <w:pStyle w:val="13"/>
            </w:pPr>
            <w:r>
              <w:t>完成机关高质量工作占全年工作的比例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节能使用办公用品</w:t>
            </w:r>
          </w:p>
        </w:tc>
        <w:tc>
          <w:tcPr>
            <w:tcW w:w="5386" w:type="dxa"/>
            <w:vAlign w:val="center"/>
          </w:tcPr>
          <w:p>
            <w:pPr>
              <w:pStyle w:val="13"/>
            </w:pPr>
            <w:r>
              <w:t>日常使用办公用品更换率</w:t>
            </w:r>
          </w:p>
        </w:tc>
        <w:tc>
          <w:tcPr>
            <w:tcW w:w="2268" w:type="dxa"/>
            <w:vAlign w:val="center"/>
          </w:tcPr>
          <w:p>
            <w:pPr>
              <w:pStyle w:val="13"/>
            </w:pPr>
            <w:r>
              <w:t>≤30%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人员使用的满意度</w:t>
            </w:r>
          </w:p>
        </w:tc>
        <w:tc>
          <w:tcPr>
            <w:tcW w:w="2268" w:type="dxa"/>
            <w:vAlign w:val="center"/>
          </w:tcPr>
          <w:p>
            <w:pPr>
              <w:pStyle w:val="13"/>
            </w:pPr>
            <w:r>
              <w:t>≥90%</w:t>
            </w:r>
          </w:p>
        </w:tc>
        <w:tc>
          <w:tcPr>
            <w:tcW w:w="1276" w:type="dxa"/>
            <w:vAlign w:val="center"/>
          </w:tcPr>
          <w:p>
            <w:pPr>
              <w:pStyle w:val="13"/>
            </w:pPr>
            <w:r>
              <w:t>办公室记录本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9、机关取暖费邮电费绩效目标表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13052525P000026100073</w:t>
            </w:r>
          </w:p>
        </w:tc>
        <w:tc>
          <w:tcPr>
            <w:tcW w:w="2835" w:type="dxa"/>
            <w:vAlign w:val="center"/>
          </w:tcPr>
          <w:p>
            <w:pPr>
              <w:pStyle w:val="11"/>
            </w:pPr>
            <w:r>
              <w:t>项目名称</w:t>
            </w:r>
          </w:p>
        </w:tc>
        <w:tc>
          <w:tcPr>
            <w:tcW w:w="6095" w:type="dxa"/>
            <w:gridSpan w:val="3"/>
            <w:vAlign w:val="center"/>
          </w:tcPr>
          <w:p>
            <w:pPr>
              <w:pStyle w:val="13"/>
            </w:pPr>
            <w:r>
              <w:t>机关取暖费邮电费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60.69</w:t>
            </w:r>
          </w:p>
        </w:tc>
        <w:tc>
          <w:tcPr>
            <w:tcW w:w="2835" w:type="dxa"/>
            <w:vAlign w:val="center"/>
          </w:tcPr>
          <w:p>
            <w:pPr>
              <w:pStyle w:val="11"/>
            </w:pPr>
            <w:r>
              <w:t>其中：财政    资金</w:t>
            </w:r>
          </w:p>
        </w:tc>
        <w:tc>
          <w:tcPr>
            <w:tcW w:w="2551" w:type="dxa"/>
            <w:vAlign w:val="center"/>
          </w:tcPr>
          <w:p>
            <w:pPr>
              <w:pStyle w:val="13"/>
            </w:pPr>
            <w:r>
              <w:t>60.69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保障大院取暖费和大院电话网费会议室正常运行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1.保证电话、网络正常运行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光纤租赁</w:t>
            </w:r>
          </w:p>
        </w:tc>
        <w:tc>
          <w:tcPr>
            <w:tcW w:w="5386" w:type="dxa"/>
            <w:vAlign w:val="center"/>
          </w:tcPr>
          <w:p>
            <w:pPr>
              <w:pStyle w:val="13"/>
            </w:pPr>
            <w:r>
              <w:t>光纤租赁</w:t>
            </w:r>
          </w:p>
        </w:tc>
        <w:tc>
          <w:tcPr>
            <w:tcW w:w="2268" w:type="dxa"/>
            <w:vAlign w:val="center"/>
          </w:tcPr>
          <w:p>
            <w:pPr>
              <w:pStyle w:val="13"/>
            </w:pPr>
            <w:r>
              <w:t>完成光纤的租赁</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资金按时到位</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资金拨付时限</w:t>
            </w:r>
          </w:p>
        </w:tc>
        <w:tc>
          <w:tcPr>
            <w:tcW w:w="5386" w:type="dxa"/>
            <w:vAlign w:val="center"/>
          </w:tcPr>
          <w:p>
            <w:pPr>
              <w:pStyle w:val="13"/>
            </w:pPr>
            <w:r>
              <w:t>资金拨付时限</w:t>
            </w:r>
          </w:p>
        </w:tc>
        <w:tc>
          <w:tcPr>
            <w:tcW w:w="2268" w:type="dxa"/>
            <w:vAlign w:val="center"/>
          </w:tcPr>
          <w:p>
            <w:pPr>
              <w:pStyle w:val="13"/>
            </w:pPr>
            <w:r>
              <w:t>按时支付资金</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24万元</w:t>
            </w:r>
          </w:p>
        </w:tc>
        <w:tc>
          <w:tcPr>
            <w:tcW w:w="5386" w:type="dxa"/>
            <w:vAlign w:val="center"/>
          </w:tcPr>
          <w:p>
            <w:pPr>
              <w:pStyle w:val="13"/>
            </w:pPr>
            <w:r>
              <w:t>邮电费24万元</w:t>
            </w:r>
          </w:p>
        </w:tc>
        <w:tc>
          <w:tcPr>
            <w:tcW w:w="2268" w:type="dxa"/>
            <w:vAlign w:val="center"/>
          </w:tcPr>
          <w:p>
            <w:pPr>
              <w:pStyle w:val="13"/>
            </w:pPr>
            <w:r>
              <w:t>邮电费24万元</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提高网速</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邮电费使用投诉率</w:t>
            </w:r>
          </w:p>
        </w:tc>
        <w:tc>
          <w:tcPr>
            <w:tcW w:w="1276" w:type="dxa"/>
            <w:vAlign w:val="center"/>
          </w:tcPr>
          <w:p>
            <w:pPr>
              <w:pStyle w:val="13"/>
            </w:pPr>
            <w:r>
              <w:t>投诉表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10、机关水电费绩效目标表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13052525P00002610006F</w:t>
            </w:r>
          </w:p>
        </w:tc>
        <w:tc>
          <w:tcPr>
            <w:tcW w:w="2835" w:type="dxa"/>
            <w:vAlign w:val="center"/>
          </w:tcPr>
          <w:p>
            <w:pPr>
              <w:pStyle w:val="11"/>
            </w:pPr>
            <w:r>
              <w:t>项目名称</w:t>
            </w:r>
          </w:p>
        </w:tc>
        <w:tc>
          <w:tcPr>
            <w:tcW w:w="6095" w:type="dxa"/>
            <w:gridSpan w:val="3"/>
            <w:vAlign w:val="center"/>
          </w:tcPr>
          <w:p>
            <w:pPr>
              <w:pStyle w:val="13"/>
            </w:pPr>
            <w:r>
              <w:t>机关水电费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81.26</w:t>
            </w:r>
          </w:p>
        </w:tc>
        <w:tc>
          <w:tcPr>
            <w:tcW w:w="2835" w:type="dxa"/>
            <w:vAlign w:val="center"/>
          </w:tcPr>
          <w:p>
            <w:pPr>
              <w:pStyle w:val="11"/>
            </w:pPr>
            <w:r>
              <w:t>其中：财政    资金</w:t>
            </w:r>
          </w:p>
        </w:tc>
        <w:tc>
          <w:tcPr>
            <w:tcW w:w="2551" w:type="dxa"/>
            <w:vAlign w:val="center"/>
          </w:tcPr>
          <w:p>
            <w:pPr>
              <w:pStyle w:val="13"/>
            </w:pPr>
            <w:r>
              <w:t>81.26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保障机关水费正常运行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1.保障机关水费正常运行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办公用电</w:t>
            </w:r>
          </w:p>
        </w:tc>
        <w:tc>
          <w:tcPr>
            <w:tcW w:w="5386" w:type="dxa"/>
            <w:vAlign w:val="center"/>
          </w:tcPr>
          <w:p>
            <w:pPr>
              <w:pStyle w:val="13"/>
            </w:pPr>
            <w:r>
              <w:t>办公用电</w:t>
            </w:r>
          </w:p>
        </w:tc>
        <w:tc>
          <w:tcPr>
            <w:tcW w:w="2268" w:type="dxa"/>
            <w:vAlign w:val="center"/>
          </w:tcPr>
          <w:p>
            <w:pPr>
              <w:pStyle w:val="13"/>
            </w:pPr>
            <w:r>
              <w:t>≥100办公用电率100%</w:t>
            </w:r>
          </w:p>
        </w:tc>
        <w:tc>
          <w:tcPr>
            <w:tcW w:w="1276" w:type="dxa"/>
            <w:vAlign w:val="center"/>
          </w:tcPr>
          <w:p>
            <w:pPr>
              <w:pStyle w:val="13"/>
            </w:pPr>
            <w:r>
              <w:t>正常办公用电使用率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办公用电正常时间</w:t>
            </w:r>
          </w:p>
        </w:tc>
        <w:tc>
          <w:tcPr>
            <w:tcW w:w="5386" w:type="dxa"/>
            <w:vAlign w:val="center"/>
          </w:tcPr>
          <w:p>
            <w:pPr>
              <w:pStyle w:val="13"/>
            </w:pPr>
            <w:r>
              <w:t>办公用电正常时间</w:t>
            </w:r>
          </w:p>
        </w:tc>
        <w:tc>
          <w:tcPr>
            <w:tcW w:w="2268" w:type="dxa"/>
            <w:vAlign w:val="center"/>
          </w:tcPr>
          <w:p>
            <w:pPr>
              <w:pStyle w:val="13"/>
            </w:pPr>
            <w:r>
              <w:t>办公用电正常上班时间满足供给</w:t>
            </w:r>
          </w:p>
        </w:tc>
        <w:tc>
          <w:tcPr>
            <w:tcW w:w="1276" w:type="dxa"/>
            <w:vAlign w:val="center"/>
          </w:tcPr>
          <w:p>
            <w:pPr>
              <w:pStyle w:val="13"/>
            </w:pPr>
            <w:r>
              <w:t>上班时间电使用时间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支付完成率</w:t>
            </w:r>
          </w:p>
        </w:tc>
        <w:tc>
          <w:tcPr>
            <w:tcW w:w="5386" w:type="dxa"/>
            <w:vAlign w:val="center"/>
          </w:tcPr>
          <w:p>
            <w:pPr>
              <w:pStyle w:val="13"/>
            </w:pPr>
            <w:r>
              <w:t>按时有序支付</w:t>
            </w:r>
          </w:p>
        </w:tc>
        <w:tc>
          <w:tcPr>
            <w:tcW w:w="2268" w:type="dxa"/>
            <w:vAlign w:val="center"/>
          </w:tcPr>
          <w:p>
            <w:pPr>
              <w:pStyle w:val="13"/>
            </w:pPr>
            <w:r>
              <w:t>电费支付按时支付</w:t>
            </w:r>
          </w:p>
        </w:tc>
        <w:tc>
          <w:tcPr>
            <w:tcW w:w="1276" w:type="dxa"/>
            <w:vAlign w:val="center"/>
          </w:tcPr>
          <w:p>
            <w:pPr>
              <w:pStyle w:val="13"/>
            </w:pPr>
            <w:r>
              <w:t>电力局下发电力缴费情况表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用电成本</w:t>
            </w:r>
          </w:p>
        </w:tc>
        <w:tc>
          <w:tcPr>
            <w:tcW w:w="5386" w:type="dxa"/>
            <w:vAlign w:val="center"/>
          </w:tcPr>
          <w:p>
            <w:pPr>
              <w:pStyle w:val="13"/>
            </w:pPr>
            <w:r>
              <w:t>用电成本</w:t>
            </w:r>
          </w:p>
        </w:tc>
        <w:tc>
          <w:tcPr>
            <w:tcW w:w="2268" w:type="dxa"/>
            <w:vAlign w:val="center"/>
          </w:tcPr>
          <w:p>
            <w:pPr>
              <w:pStyle w:val="13"/>
            </w:pPr>
            <w:r>
              <w:t>用电少于等于81.2644万元</w:t>
            </w:r>
          </w:p>
        </w:tc>
        <w:tc>
          <w:tcPr>
            <w:tcW w:w="1276" w:type="dxa"/>
            <w:vAlign w:val="center"/>
          </w:tcPr>
          <w:p>
            <w:pPr>
              <w:pStyle w:val="13"/>
            </w:pPr>
            <w:r>
              <w:t>使用电费统计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水电供应对游客服务提升</w:t>
            </w:r>
          </w:p>
        </w:tc>
        <w:tc>
          <w:tcPr>
            <w:tcW w:w="1276" w:type="dxa"/>
            <w:vAlign w:val="center"/>
          </w:tcPr>
          <w:p>
            <w:pPr>
              <w:pStyle w:val="13"/>
            </w:pPr>
            <w:r>
              <w:t>投诉表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提升员工电子化管理水平</w:t>
            </w:r>
          </w:p>
        </w:tc>
        <w:tc>
          <w:tcPr>
            <w:tcW w:w="5386" w:type="dxa"/>
            <w:vAlign w:val="center"/>
          </w:tcPr>
          <w:p>
            <w:pPr>
              <w:pStyle w:val="13"/>
            </w:pPr>
            <w:r>
              <w:t>提升员工电子化管理水平</w:t>
            </w:r>
          </w:p>
        </w:tc>
        <w:tc>
          <w:tcPr>
            <w:tcW w:w="2268" w:type="dxa"/>
            <w:vAlign w:val="center"/>
          </w:tcPr>
          <w:p>
            <w:pPr>
              <w:pStyle w:val="13"/>
            </w:pPr>
            <w:r>
              <w:t>用电合规</w:t>
            </w:r>
          </w:p>
        </w:tc>
        <w:tc>
          <w:tcPr>
            <w:tcW w:w="1276" w:type="dxa"/>
            <w:vAlign w:val="center"/>
          </w:tcPr>
          <w:p>
            <w:pPr>
              <w:pStyle w:val="13"/>
            </w:pPr>
            <w:r>
              <w:t>用电使用手册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电资源利用率</w:t>
            </w:r>
          </w:p>
        </w:tc>
        <w:tc>
          <w:tcPr>
            <w:tcW w:w="5386" w:type="dxa"/>
            <w:vAlign w:val="center"/>
          </w:tcPr>
          <w:p>
            <w:pPr>
              <w:pStyle w:val="13"/>
            </w:pPr>
            <w:r>
              <w:t>电资源利用率</w:t>
            </w:r>
          </w:p>
        </w:tc>
        <w:tc>
          <w:tcPr>
            <w:tcW w:w="2268" w:type="dxa"/>
            <w:vAlign w:val="center"/>
          </w:tcPr>
          <w:p>
            <w:pPr>
              <w:pStyle w:val="13"/>
            </w:pPr>
            <w:r>
              <w:t>≥90节电率大于等于90%</w:t>
            </w:r>
          </w:p>
        </w:tc>
        <w:tc>
          <w:tcPr>
            <w:tcW w:w="1276" w:type="dxa"/>
            <w:vAlign w:val="center"/>
          </w:tcPr>
          <w:p>
            <w:pPr>
              <w:pStyle w:val="13"/>
            </w:pPr>
            <w:r>
              <w:t>用电统计表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节电意识</w:t>
            </w:r>
          </w:p>
        </w:tc>
        <w:tc>
          <w:tcPr>
            <w:tcW w:w="5386" w:type="dxa"/>
            <w:vAlign w:val="center"/>
          </w:tcPr>
          <w:p>
            <w:pPr>
              <w:pStyle w:val="13"/>
            </w:pPr>
            <w:r>
              <w:t>节电意识</w:t>
            </w:r>
          </w:p>
        </w:tc>
        <w:tc>
          <w:tcPr>
            <w:tcW w:w="2268" w:type="dxa"/>
            <w:vAlign w:val="center"/>
          </w:tcPr>
          <w:p>
            <w:pPr>
              <w:pStyle w:val="13"/>
            </w:pPr>
            <w:r>
              <w:t>有助于节电意识提升</w:t>
            </w:r>
          </w:p>
        </w:tc>
        <w:tc>
          <w:tcPr>
            <w:tcW w:w="1276" w:type="dxa"/>
            <w:vAlign w:val="center"/>
          </w:tcPr>
          <w:p>
            <w:pPr>
              <w:pStyle w:val="13"/>
            </w:pPr>
            <w:r>
              <w:t>节电调查表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对使用电对象满意度</w:t>
            </w:r>
          </w:p>
        </w:tc>
        <w:tc>
          <w:tcPr>
            <w:tcW w:w="1276" w:type="dxa"/>
            <w:vAlign w:val="center"/>
          </w:tcPr>
          <w:p>
            <w:pPr>
              <w:pStyle w:val="13"/>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11、机关物业保安费绩效目标表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13052525P00002610005U</w:t>
            </w:r>
          </w:p>
        </w:tc>
        <w:tc>
          <w:tcPr>
            <w:tcW w:w="2835" w:type="dxa"/>
            <w:vAlign w:val="center"/>
          </w:tcPr>
          <w:p>
            <w:pPr>
              <w:pStyle w:val="11"/>
            </w:pPr>
            <w:r>
              <w:t>项目名称</w:t>
            </w:r>
          </w:p>
        </w:tc>
        <w:tc>
          <w:tcPr>
            <w:tcW w:w="6095" w:type="dxa"/>
            <w:gridSpan w:val="3"/>
            <w:vAlign w:val="center"/>
          </w:tcPr>
          <w:p>
            <w:pPr>
              <w:pStyle w:val="13"/>
            </w:pPr>
            <w:r>
              <w:t>机关物业保安费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103.58</w:t>
            </w:r>
          </w:p>
        </w:tc>
        <w:tc>
          <w:tcPr>
            <w:tcW w:w="2835" w:type="dxa"/>
            <w:vAlign w:val="center"/>
          </w:tcPr>
          <w:p>
            <w:pPr>
              <w:pStyle w:val="11"/>
            </w:pPr>
            <w:r>
              <w:t>其中：财政    资金</w:t>
            </w:r>
          </w:p>
        </w:tc>
        <w:tc>
          <w:tcPr>
            <w:tcW w:w="2551" w:type="dxa"/>
            <w:vAlign w:val="center"/>
          </w:tcPr>
          <w:p>
            <w:pPr>
              <w:pStyle w:val="13"/>
            </w:pPr>
            <w:r>
              <w:t>103.58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大院卫生和安保。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1.保障院内安全、卫生。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安保任务天数</w:t>
            </w:r>
          </w:p>
        </w:tc>
        <w:tc>
          <w:tcPr>
            <w:tcW w:w="5386" w:type="dxa"/>
            <w:vAlign w:val="center"/>
          </w:tcPr>
          <w:p>
            <w:pPr>
              <w:pStyle w:val="13"/>
            </w:pPr>
            <w:r>
              <w:t>安保任务天数</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物业后勤服务质量</w:t>
            </w:r>
          </w:p>
        </w:tc>
        <w:tc>
          <w:tcPr>
            <w:tcW w:w="5386" w:type="dxa"/>
            <w:vAlign w:val="center"/>
          </w:tcPr>
          <w:p>
            <w:pPr>
              <w:pStyle w:val="13"/>
            </w:pPr>
            <w:r>
              <w:t>物业服务质量大于90%</w:t>
            </w:r>
          </w:p>
        </w:tc>
        <w:tc>
          <w:tcPr>
            <w:tcW w:w="2268" w:type="dxa"/>
            <w:vAlign w:val="center"/>
          </w:tcPr>
          <w:p>
            <w:pPr>
              <w:pStyle w:val="13"/>
            </w:pPr>
            <w:r>
              <w:t>≥90%</w:t>
            </w:r>
          </w:p>
        </w:tc>
        <w:tc>
          <w:tcPr>
            <w:tcW w:w="1276" w:type="dxa"/>
            <w:vAlign w:val="center"/>
          </w:tcPr>
          <w:p>
            <w:pPr>
              <w:pStyle w:val="13"/>
            </w:pPr>
            <w:r>
              <w:t>年度 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支付完成率</w:t>
            </w:r>
          </w:p>
        </w:tc>
        <w:tc>
          <w:tcPr>
            <w:tcW w:w="5386" w:type="dxa"/>
            <w:vAlign w:val="center"/>
          </w:tcPr>
          <w:p>
            <w:pPr>
              <w:pStyle w:val="13"/>
            </w:pPr>
            <w:r>
              <w:t>按时有序支付</w:t>
            </w:r>
          </w:p>
        </w:tc>
        <w:tc>
          <w:tcPr>
            <w:tcW w:w="2268" w:type="dxa"/>
            <w:vAlign w:val="center"/>
          </w:tcPr>
          <w:p>
            <w:pPr>
              <w:pStyle w:val="13"/>
            </w:pPr>
            <w:r>
              <w:t>≥100%</w:t>
            </w:r>
          </w:p>
        </w:tc>
        <w:tc>
          <w:tcPr>
            <w:tcW w:w="1276" w:type="dxa"/>
            <w:vAlign w:val="center"/>
          </w:tcPr>
          <w:p>
            <w:pPr>
              <w:pStyle w:val="13"/>
            </w:pPr>
            <w:r>
              <w:t>发放时间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保安、物业完成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水电供应对游客服务提升</w:t>
            </w:r>
          </w:p>
        </w:tc>
        <w:tc>
          <w:tcPr>
            <w:tcW w:w="1276" w:type="dxa"/>
            <w:vAlign w:val="center"/>
          </w:tcPr>
          <w:p>
            <w:pPr>
              <w:pStyle w:val="13"/>
            </w:pPr>
            <w:r>
              <w:t>投诉表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提升员工电子化管理水平</w:t>
            </w:r>
          </w:p>
        </w:tc>
        <w:tc>
          <w:tcPr>
            <w:tcW w:w="5386" w:type="dxa"/>
            <w:vAlign w:val="center"/>
          </w:tcPr>
          <w:p>
            <w:pPr>
              <w:pStyle w:val="13"/>
            </w:pPr>
            <w:r>
              <w:t>提升员工电子化管理水平</w:t>
            </w:r>
          </w:p>
        </w:tc>
        <w:tc>
          <w:tcPr>
            <w:tcW w:w="2268" w:type="dxa"/>
            <w:vAlign w:val="center"/>
          </w:tcPr>
          <w:p>
            <w:pPr>
              <w:pStyle w:val="13"/>
            </w:pPr>
            <w:r>
              <w:t>用电合规</w:t>
            </w:r>
          </w:p>
        </w:tc>
        <w:tc>
          <w:tcPr>
            <w:tcW w:w="1276" w:type="dxa"/>
            <w:vAlign w:val="center"/>
          </w:tcPr>
          <w:p>
            <w:pPr>
              <w:pStyle w:val="13"/>
            </w:pPr>
            <w:r>
              <w:t>用电使用手册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≥90节水率大于等于90%</w:t>
            </w:r>
          </w:p>
        </w:tc>
        <w:tc>
          <w:tcPr>
            <w:tcW w:w="1276" w:type="dxa"/>
            <w:vAlign w:val="center"/>
          </w:tcPr>
          <w:p>
            <w:pPr>
              <w:pStyle w:val="13"/>
            </w:pPr>
            <w:r>
              <w:t>用水统计表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提升行业管理水平</w:t>
            </w:r>
          </w:p>
        </w:tc>
        <w:tc>
          <w:tcPr>
            <w:tcW w:w="5386" w:type="dxa"/>
            <w:vAlign w:val="center"/>
          </w:tcPr>
          <w:p>
            <w:pPr>
              <w:pStyle w:val="13"/>
            </w:pPr>
            <w:r>
              <w:t>提升行业管理水平</w:t>
            </w:r>
          </w:p>
        </w:tc>
        <w:tc>
          <w:tcPr>
            <w:tcW w:w="2268" w:type="dxa"/>
            <w:vAlign w:val="center"/>
          </w:tcPr>
          <w:p>
            <w:pPr>
              <w:pStyle w:val="13"/>
            </w:pPr>
            <w:r>
              <w:t>有助于提升管理</w:t>
            </w:r>
          </w:p>
        </w:tc>
        <w:tc>
          <w:tcPr>
            <w:tcW w:w="1276" w:type="dxa"/>
            <w:vAlign w:val="center"/>
          </w:tcPr>
          <w:p>
            <w:pPr>
              <w:pStyle w:val="13"/>
            </w:pPr>
            <w:r>
              <w:t>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对物业、安保对象满意度</w:t>
            </w:r>
          </w:p>
        </w:tc>
        <w:tc>
          <w:tcPr>
            <w:tcW w:w="1276" w:type="dxa"/>
            <w:vAlign w:val="center"/>
          </w:tcPr>
          <w:p>
            <w:pPr>
              <w:pStyle w:val="13"/>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12、劳务派遣司机工资绩效目标表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13052525P00003910001M</w:t>
            </w:r>
          </w:p>
        </w:tc>
        <w:tc>
          <w:tcPr>
            <w:tcW w:w="2835" w:type="dxa"/>
            <w:vAlign w:val="center"/>
          </w:tcPr>
          <w:p>
            <w:pPr>
              <w:pStyle w:val="11"/>
            </w:pPr>
            <w:r>
              <w:t>项目名称</w:t>
            </w:r>
          </w:p>
        </w:tc>
        <w:tc>
          <w:tcPr>
            <w:tcW w:w="6095" w:type="dxa"/>
            <w:gridSpan w:val="3"/>
            <w:vAlign w:val="center"/>
          </w:tcPr>
          <w:p>
            <w:pPr>
              <w:pStyle w:val="13"/>
            </w:pPr>
            <w:r>
              <w:t>劳务派遣司机工资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48.56</w:t>
            </w:r>
          </w:p>
        </w:tc>
        <w:tc>
          <w:tcPr>
            <w:tcW w:w="2835" w:type="dxa"/>
            <w:vAlign w:val="center"/>
          </w:tcPr>
          <w:p>
            <w:pPr>
              <w:pStyle w:val="11"/>
            </w:pPr>
            <w:r>
              <w:t>其中：财政    资金</w:t>
            </w:r>
          </w:p>
        </w:tc>
        <w:tc>
          <w:tcPr>
            <w:tcW w:w="2551" w:type="dxa"/>
            <w:vAlign w:val="center"/>
          </w:tcPr>
          <w:p>
            <w:pPr>
              <w:pStyle w:val="13"/>
            </w:pPr>
            <w:r>
              <w:t>48.56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保障全年劳务派遣人员工资保险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1.保障全年劳务派遣人员工资保险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劳务派遣人员工资保险为485561.6元</w:t>
            </w:r>
          </w:p>
        </w:tc>
        <w:tc>
          <w:tcPr>
            <w:tcW w:w="5386" w:type="dxa"/>
            <w:vAlign w:val="center"/>
          </w:tcPr>
          <w:p>
            <w:pPr>
              <w:pStyle w:val="13"/>
            </w:pPr>
            <w:r>
              <w:t>劳务派遣人员工资保险小于等于485561.6元</w:t>
            </w:r>
          </w:p>
        </w:tc>
        <w:tc>
          <w:tcPr>
            <w:tcW w:w="2268" w:type="dxa"/>
            <w:vAlign w:val="center"/>
          </w:tcPr>
          <w:p>
            <w:pPr>
              <w:pStyle w:val="13"/>
            </w:pPr>
            <w:r>
              <w:t>≤100%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发放补助人数</w:t>
            </w:r>
          </w:p>
        </w:tc>
        <w:tc>
          <w:tcPr>
            <w:tcW w:w="5386" w:type="dxa"/>
            <w:vAlign w:val="center"/>
          </w:tcPr>
          <w:p>
            <w:pPr>
              <w:pStyle w:val="13"/>
            </w:pPr>
            <w:r>
              <w:t>反映发放或补助人员数量情况</w:t>
            </w:r>
          </w:p>
        </w:tc>
        <w:tc>
          <w:tcPr>
            <w:tcW w:w="2268" w:type="dxa"/>
            <w:vAlign w:val="center"/>
          </w:tcPr>
          <w:p>
            <w:pPr>
              <w:pStyle w:val="13"/>
            </w:pPr>
            <w:r>
              <w:t>≥10个</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发放（补助）次数</w:t>
            </w:r>
          </w:p>
        </w:tc>
        <w:tc>
          <w:tcPr>
            <w:tcW w:w="5386" w:type="dxa"/>
            <w:vAlign w:val="center"/>
          </w:tcPr>
          <w:p>
            <w:pPr>
              <w:pStyle w:val="13"/>
            </w:pPr>
            <w:r>
              <w:t>反映发放或补助频次情况</w:t>
            </w:r>
          </w:p>
        </w:tc>
        <w:tc>
          <w:tcPr>
            <w:tcW w:w="2268" w:type="dxa"/>
            <w:vAlign w:val="center"/>
          </w:tcPr>
          <w:p>
            <w:pPr>
              <w:pStyle w:val="13"/>
            </w:pPr>
            <w:r>
              <w:t>≥12次</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资金发放（补助）及时性</w:t>
            </w:r>
          </w:p>
        </w:tc>
        <w:tc>
          <w:tcPr>
            <w:tcW w:w="5386" w:type="dxa"/>
            <w:vAlign w:val="center"/>
          </w:tcPr>
          <w:p>
            <w:pPr>
              <w:pStyle w:val="13"/>
            </w:pPr>
            <w:r>
              <w:t>反映资金发放（补助）及时性</w:t>
            </w:r>
          </w:p>
        </w:tc>
        <w:tc>
          <w:tcPr>
            <w:tcW w:w="2268" w:type="dxa"/>
            <w:vAlign w:val="center"/>
          </w:tcPr>
          <w:p>
            <w:pPr>
              <w:pStyle w:val="13"/>
            </w:pPr>
            <w:r>
              <w:t>≥100%</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招聘劳务派遣人员增加就业率</w:t>
            </w:r>
          </w:p>
        </w:tc>
        <w:tc>
          <w:tcPr>
            <w:tcW w:w="5386" w:type="dxa"/>
            <w:vAlign w:val="center"/>
          </w:tcPr>
          <w:p>
            <w:pPr>
              <w:pStyle w:val="13"/>
            </w:pPr>
            <w:r>
              <w:t>招聘劳务派遣人员增加就业率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高效完成工作量</w:t>
            </w:r>
          </w:p>
        </w:tc>
        <w:tc>
          <w:tcPr>
            <w:tcW w:w="5386" w:type="dxa"/>
            <w:vAlign w:val="center"/>
          </w:tcPr>
          <w:p>
            <w:pPr>
              <w:pStyle w:val="13"/>
            </w:pPr>
            <w:r>
              <w:t>高效完成工作量完成工作</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日常出行率</w:t>
            </w:r>
          </w:p>
        </w:tc>
        <w:tc>
          <w:tcPr>
            <w:tcW w:w="5386" w:type="dxa"/>
            <w:vAlign w:val="center"/>
          </w:tcPr>
          <w:p>
            <w:pPr>
              <w:pStyle w:val="13"/>
            </w:pPr>
            <w:r>
              <w:t>日常出行使用司机</w:t>
            </w:r>
          </w:p>
        </w:tc>
        <w:tc>
          <w:tcPr>
            <w:tcW w:w="2268" w:type="dxa"/>
            <w:vAlign w:val="center"/>
          </w:tcPr>
          <w:p>
            <w:pPr>
              <w:pStyle w:val="13"/>
            </w:pPr>
            <w:r>
              <w:t>≥80%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反映参加受益人员满意情况</w:t>
            </w:r>
          </w:p>
        </w:tc>
        <w:tc>
          <w:tcPr>
            <w:tcW w:w="2268" w:type="dxa"/>
            <w:vAlign w:val="center"/>
          </w:tcPr>
          <w:p>
            <w:pPr>
              <w:pStyle w:val="13"/>
            </w:pPr>
            <w:r>
              <w:t>≥90%</w:t>
            </w:r>
          </w:p>
        </w:tc>
        <w:tc>
          <w:tcPr>
            <w:tcW w:w="1276" w:type="dxa"/>
            <w:vAlign w:val="center"/>
          </w:tcPr>
          <w:p>
            <w:pPr>
              <w:pStyle w:val="13"/>
            </w:pPr>
            <w:r>
              <w:t>劳务派遣人员签订情况表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13、领导干部健康服务费绩效目标表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13052525P000026100119</w:t>
            </w:r>
          </w:p>
        </w:tc>
        <w:tc>
          <w:tcPr>
            <w:tcW w:w="2835" w:type="dxa"/>
            <w:vAlign w:val="center"/>
          </w:tcPr>
          <w:p>
            <w:pPr>
              <w:pStyle w:val="11"/>
            </w:pPr>
            <w:r>
              <w:t>项目名称</w:t>
            </w:r>
          </w:p>
        </w:tc>
        <w:tc>
          <w:tcPr>
            <w:tcW w:w="6095" w:type="dxa"/>
            <w:gridSpan w:val="3"/>
            <w:vAlign w:val="center"/>
          </w:tcPr>
          <w:p>
            <w:pPr>
              <w:pStyle w:val="13"/>
            </w:pPr>
            <w:r>
              <w:t>领导干部健康服务费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w:t>
            </w:r>
          </w:p>
        </w:tc>
        <w:tc>
          <w:tcPr>
            <w:tcW w:w="2835" w:type="dxa"/>
            <w:vAlign w:val="center"/>
          </w:tcPr>
          <w:p>
            <w:pPr>
              <w:pStyle w:val="11"/>
            </w:pPr>
            <w:r>
              <w:t>其中：财政    资金</w:t>
            </w:r>
          </w:p>
        </w:tc>
        <w:tc>
          <w:tcPr>
            <w:tcW w:w="2551" w:type="dxa"/>
            <w:vAlign w:val="center"/>
          </w:tcPr>
          <w:p>
            <w:pPr>
              <w:pStyle w:val="13"/>
            </w:pPr>
            <w:r>
              <w:t>5.71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保障领导干部身体健康</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1.保障领导干部身体健康</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体检劳模人数</w:t>
            </w:r>
          </w:p>
        </w:tc>
        <w:tc>
          <w:tcPr>
            <w:tcW w:w="5386" w:type="dxa"/>
            <w:vAlign w:val="center"/>
          </w:tcPr>
          <w:p>
            <w:pPr>
              <w:pStyle w:val="13"/>
            </w:pPr>
            <w:r>
              <w:t>体检劳模人数</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体检结果准确率</w:t>
            </w:r>
          </w:p>
        </w:tc>
        <w:tc>
          <w:tcPr>
            <w:tcW w:w="5386" w:type="dxa"/>
            <w:vAlign w:val="center"/>
          </w:tcPr>
          <w:p>
            <w:pPr>
              <w:pStyle w:val="13"/>
            </w:pPr>
            <w:r>
              <w:t>体检结果准确率</w:t>
            </w:r>
          </w:p>
        </w:tc>
        <w:tc>
          <w:tcPr>
            <w:tcW w:w="2268" w:type="dxa"/>
            <w:vAlign w:val="center"/>
          </w:tcPr>
          <w:p>
            <w:pPr>
              <w:pStyle w:val="13"/>
            </w:pPr>
            <w:r>
              <w:t>≥100%</w:t>
            </w:r>
          </w:p>
        </w:tc>
        <w:tc>
          <w:tcPr>
            <w:tcW w:w="1276" w:type="dxa"/>
            <w:vAlign w:val="center"/>
          </w:tcPr>
          <w:p>
            <w:pPr>
              <w:pStyle w:val="13"/>
            </w:pPr>
            <w:r>
              <w:t>体检报告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体检工作完成是否及时</w:t>
            </w:r>
          </w:p>
        </w:tc>
        <w:tc>
          <w:tcPr>
            <w:tcW w:w="5386" w:type="dxa"/>
            <w:vAlign w:val="center"/>
          </w:tcPr>
          <w:p>
            <w:pPr>
              <w:pStyle w:val="13"/>
            </w:pPr>
            <w:r>
              <w:t>体检工作完成是否及时</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劳模体检成本</w:t>
            </w:r>
          </w:p>
        </w:tc>
        <w:tc>
          <w:tcPr>
            <w:tcW w:w="5386" w:type="dxa"/>
            <w:vAlign w:val="center"/>
          </w:tcPr>
          <w:p>
            <w:pPr>
              <w:pStyle w:val="13"/>
            </w:pPr>
            <w:r>
              <w:t>劳模体检成本</w:t>
            </w:r>
          </w:p>
        </w:tc>
        <w:tc>
          <w:tcPr>
            <w:tcW w:w="2268" w:type="dxa"/>
            <w:vAlign w:val="center"/>
          </w:tcPr>
          <w:p>
            <w:pPr>
              <w:pStyle w:val="13"/>
            </w:pPr>
            <w:r>
              <w:t>≤100%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资金使用合规性</w:t>
            </w:r>
          </w:p>
        </w:tc>
        <w:tc>
          <w:tcPr>
            <w:tcW w:w="5386" w:type="dxa"/>
            <w:vAlign w:val="center"/>
          </w:tcPr>
          <w:p>
            <w:pPr>
              <w:pStyle w:val="13"/>
            </w:pPr>
            <w:r>
              <w:t>资金使用合规性</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确诊领导救治率</w:t>
            </w:r>
          </w:p>
        </w:tc>
        <w:tc>
          <w:tcPr>
            <w:tcW w:w="5386" w:type="dxa"/>
            <w:vAlign w:val="center"/>
          </w:tcPr>
          <w:p>
            <w:pPr>
              <w:pStyle w:val="13"/>
            </w:pPr>
            <w:r>
              <w:t xml:space="preserve"> 确诊领导救治率</w:t>
            </w:r>
          </w:p>
        </w:tc>
        <w:tc>
          <w:tcPr>
            <w:tcW w:w="2268" w:type="dxa"/>
            <w:vAlign w:val="center"/>
          </w:tcPr>
          <w:p>
            <w:pPr>
              <w:pStyle w:val="13"/>
            </w:pPr>
            <w:r>
              <w:t>≥100%</w:t>
            </w:r>
          </w:p>
        </w:tc>
        <w:tc>
          <w:tcPr>
            <w:tcW w:w="1276" w:type="dxa"/>
            <w:vAlign w:val="center"/>
          </w:tcPr>
          <w:p>
            <w:pPr>
              <w:pStyle w:val="13"/>
            </w:pPr>
            <w:r>
              <w:t>体检报告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制度执行有效性</w:t>
            </w:r>
          </w:p>
        </w:tc>
        <w:tc>
          <w:tcPr>
            <w:tcW w:w="5386" w:type="dxa"/>
            <w:vAlign w:val="center"/>
          </w:tcPr>
          <w:p>
            <w:pPr>
              <w:pStyle w:val="13"/>
            </w:pPr>
            <w:r>
              <w:t>制度执行有效性</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领导健康有利于工作进展</w:t>
            </w:r>
          </w:p>
        </w:tc>
        <w:tc>
          <w:tcPr>
            <w:tcW w:w="5386" w:type="dxa"/>
            <w:vAlign w:val="center"/>
          </w:tcPr>
          <w:p>
            <w:pPr>
              <w:pStyle w:val="13"/>
            </w:pPr>
            <w:r>
              <w:t>领导健康有利于工作进展程度</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领导满意度</w:t>
            </w:r>
          </w:p>
        </w:tc>
        <w:tc>
          <w:tcPr>
            <w:tcW w:w="5386" w:type="dxa"/>
            <w:vAlign w:val="center"/>
          </w:tcPr>
          <w:p>
            <w:pPr>
              <w:pStyle w:val="13"/>
            </w:pPr>
            <w:r>
              <w:t>领导满意度</w:t>
            </w:r>
          </w:p>
        </w:tc>
        <w:tc>
          <w:tcPr>
            <w:tcW w:w="2268" w:type="dxa"/>
            <w:vAlign w:val="center"/>
          </w:tcPr>
          <w:p>
            <w:pPr>
              <w:pStyle w:val="13"/>
            </w:pPr>
            <w:r>
              <w:t>≥90%</w:t>
            </w:r>
          </w:p>
        </w:tc>
        <w:tc>
          <w:tcPr>
            <w:tcW w:w="1276" w:type="dxa"/>
            <w:vAlign w:val="center"/>
          </w:tcPr>
          <w:p>
            <w:pPr>
              <w:pStyle w:val="13"/>
            </w:pPr>
            <w:r>
              <w:t>领导体检反馈表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14、食堂服务费绩效目标表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13052525P00002610010M</w:t>
            </w:r>
          </w:p>
        </w:tc>
        <w:tc>
          <w:tcPr>
            <w:tcW w:w="2835" w:type="dxa"/>
            <w:vAlign w:val="center"/>
          </w:tcPr>
          <w:p>
            <w:pPr>
              <w:pStyle w:val="11"/>
            </w:pPr>
            <w:r>
              <w:t>项目名称</w:t>
            </w:r>
          </w:p>
        </w:tc>
        <w:tc>
          <w:tcPr>
            <w:tcW w:w="6095" w:type="dxa"/>
            <w:gridSpan w:val="3"/>
            <w:vAlign w:val="center"/>
          </w:tcPr>
          <w:p>
            <w:pPr>
              <w:pStyle w:val="13"/>
            </w:pPr>
            <w:r>
              <w:t>食堂服务费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保障大院人员就餐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1.政府县委大院人员就餐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每日供养菜品种类</w:t>
            </w:r>
          </w:p>
        </w:tc>
        <w:tc>
          <w:tcPr>
            <w:tcW w:w="5386" w:type="dxa"/>
            <w:vAlign w:val="center"/>
          </w:tcPr>
          <w:p>
            <w:pPr>
              <w:pStyle w:val="13"/>
            </w:pPr>
            <w:r>
              <w:t>每日供养菜品种类</w:t>
            </w:r>
          </w:p>
        </w:tc>
        <w:tc>
          <w:tcPr>
            <w:tcW w:w="2268" w:type="dxa"/>
            <w:vAlign w:val="center"/>
          </w:tcPr>
          <w:p>
            <w:pPr>
              <w:pStyle w:val="13"/>
            </w:pPr>
            <w:r>
              <w:t>≥15种</w:t>
            </w:r>
          </w:p>
        </w:tc>
        <w:tc>
          <w:tcPr>
            <w:tcW w:w="1276" w:type="dxa"/>
            <w:vAlign w:val="center"/>
          </w:tcPr>
          <w:p>
            <w:pPr>
              <w:pStyle w:val="13"/>
            </w:pPr>
            <w:r>
              <w:t>按合同标准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食品抽检合格率</w:t>
            </w:r>
          </w:p>
        </w:tc>
        <w:tc>
          <w:tcPr>
            <w:tcW w:w="5386" w:type="dxa"/>
            <w:vAlign w:val="center"/>
          </w:tcPr>
          <w:p>
            <w:pPr>
              <w:pStyle w:val="13"/>
            </w:pPr>
            <w:r>
              <w:t>食品抽检合格率</w:t>
            </w:r>
          </w:p>
        </w:tc>
        <w:tc>
          <w:tcPr>
            <w:tcW w:w="2268" w:type="dxa"/>
            <w:vAlign w:val="center"/>
          </w:tcPr>
          <w:p>
            <w:pPr>
              <w:pStyle w:val="13"/>
            </w:pPr>
            <w:r>
              <w:t>≥95%</w:t>
            </w:r>
          </w:p>
        </w:tc>
        <w:tc>
          <w:tcPr>
            <w:tcW w:w="1276" w:type="dxa"/>
            <w:vAlign w:val="center"/>
          </w:tcPr>
          <w:p>
            <w:pPr>
              <w:pStyle w:val="13"/>
            </w:pPr>
            <w:r>
              <w:t>检验部门出具证明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设备设施完好率</w:t>
            </w:r>
          </w:p>
        </w:tc>
        <w:tc>
          <w:tcPr>
            <w:tcW w:w="5386" w:type="dxa"/>
            <w:vAlign w:val="center"/>
          </w:tcPr>
          <w:p>
            <w:pPr>
              <w:pStyle w:val="13"/>
            </w:pPr>
            <w:r>
              <w:t>设备设施完好率大于等于80%</w:t>
            </w:r>
          </w:p>
        </w:tc>
        <w:tc>
          <w:tcPr>
            <w:tcW w:w="2268" w:type="dxa"/>
            <w:vAlign w:val="center"/>
          </w:tcPr>
          <w:p>
            <w:pPr>
              <w:pStyle w:val="13"/>
            </w:pPr>
            <w:r>
              <w:t>≥80%</w:t>
            </w:r>
          </w:p>
        </w:tc>
        <w:tc>
          <w:tcPr>
            <w:tcW w:w="1276" w:type="dxa"/>
            <w:vAlign w:val="center"/>
          </w:tcPr>
          <w:p>
            <w:pPr>
              <w:pStyle w:val="13"/>
            </w:pPr>
            <w:r>
              <w:t>按合同标准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全年指标花费</w:t>
            </w:r>
          </w:p>
        </w:tc>
        <w:tc>
          <w:tcPr>
            <w:tcW w:w="5386" w:type="dxa"/>
            <w:vAlign w:val="center"/>
          </w:tcPr>
          <w:p>
            <w:pPr>
              <w:pStyle w:val="13"/>
            </w:pPr>
            <w:r>
              <w:t>全年指标花费小于等于</w:t>
            </w:r>
          </w:p>
        </w:tc>
        <w:tc>
          <w:tcPr>
            <w:tcW w:w="2268" w:type="dxa"/>
            <w:vAlign w:val="center"/>
          </w:tcPr>
          <w:p>
            <w:pPr>
              <w:pStyle w:val="13"/>
            </w:pPr>
            <w:r>
              <w:t>≤100%</w:t>
            </w:r>
          </w:p>
        </w:tc>
        <w:tc>
          <w:tcPr>
            <w:tcW w:w="1276" w:type="dxa"/>
            <w:vAlign w:val="center"/>
          </w:tcPr>
          <w:p>
            <w:pPr>
              <w:pStyle w:val="13"/>
            </w:pPr>
            <w:r>
              <w:t>结算金额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卫生清洁达标率</w:t>
            </w:r>
          </w:p>
        </w:tc>
        <w:tc>
          <w:tcPr>
            <w:tcW w:w="5386" w:type="dxa"/>
            <w:vAlign w:val="center"/>
          </w:tcPr>
          <w:p>
            <w:pPr>
              <w:pStyle w:val="13"/>
            </w:pPr>
            <w:r>
              <w:t>考核期内卫生达标90%</w:t>
            </w:r>
          </w:p>
        </w:tc>
        <w:tc>
          <w:tcPr>
            <w:tcW w:w="2268" w:type="dxa"/>
            <w:vAlign w:val="center"/>
          </w:tcPr>
          <w:p>
            <w:pPr>
              <w:pStyle w:val="13"/>
            </w:pPr>
            <w:r>
              <w:t>≥90%</w:t>
            </w:r>
          </w:p>
        </w:tc>
        <w:tc>
          <w:tcPr>
            <w:tcW w:w="1276" w:type="dxa"/>
            <w:vAlign w:val="center"/>
          </w:tcPr>
          <w:p>
            <w:pPr>
              <w:pStyle w:val="13"/>
            </w:pPr>
            <w:r>
              <w:t>检查报告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经营GOP率</w:t>
            </w:r>
          </w:p>
        </w:tc>
        <w:tc>
          <w:tcPr>
            <w:tcW w:w="5386" w:type="dxa"/>
            <w:vAlign w:val="center"/>
          </w:tcPr>
          <w:p>
            <w:pPr>
              <w:pStyle w:val="13"/>
            </w:pPr>
            <w:r>
              <w:t>经营GOP大于等于90%</w:t>
            </w:r>
          </w:p>
        </w:tc>
        <w:tc>
          <w:tcPr>
            <w:tcW w:w="2268" w:type="dxa"/>
            <w:vAlign w:val="center"/>
          </w:tcPr>
          <w:p>
            <w:pPr>
              <w:pStyle w:val="13"/>
            </w:pPr>
            <w:r>
              <w:t>≥90%</w:t>
            </w:r>
          </w:p>
        </w:tc>
        <w:tc>
          <w:tcPr>
            <w:tcW w:w="1276" w:type="dxa"/>
            <w:vAlign w:val="center"/>
          </w:tcPr>
          <w:p>
            <w:pPr>
              <w:pStyle w:val="13"/>
            </w:pPr>
            <w:r>
              <w:t>按合同标准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经营成本节约率</w:t>
            </w:r>
          </w:p>
        </w:tc>
        <w:tc>
          <w:tcPr>
            <w:tcW w:w="5386" w:type="dxa"/>
            <w:vAlign w:val="center"/>
          </w:tcPr>
          <w:p>
            <w:pPr>
              <w:pStyle w:val="13"/>
            </w:pPr>
            <w:r>
              <w:t>经营成本节约粮食率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饭菜投诉率</w:t>
            </w:r>
          </w:p>
        </w:tc>
        <w:tc>
          <w:tcPr>
            <w:tcW w:w="5386" w:type="dxa"/>
            <w:vAlign w:val="center"/>
          </w:tcPr>
          <w:p>
            <w:pPr>
              <w:pStyle w:val="13"/>
            </w:pPr>
            <w:r>
              <w:t>饭菜投诉率小于等于80%</w:t>
            </w:r>
          </w:p>
        </w:tc>
        <w:tc>
          <w:tcPr>
            <w:tcW w:w="2268" w:type="dxa"/>
            <w:vAlign w:val="center"/>
          </w:tcPr>
          <w:p>
            <w:pPr>
              <w:pStyle w:val="13"/>
            </w:pPr>
            <w:r>
              <w:t>≤80%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人员就餐满意度</w:t>
            </w:r>
          </w:p>
        </w:tc>
        <w:tc>
          <w:tcPr>
            <w:tcW w:w="2268" w:type="dxa"/>
            <w:vAlign w:val="center"/>
          </w:tcPr>
          <w:p>
            <w:pPr>
              <w:pStyle w:val="13"/>
            </w:pPr>
            <w:r>
              <w:t>≥90%</w:t>
            </w:r>
          </w:p>
        </w:tc>
        <w:tc>
          <w:tcPr>
            <w:tcW w:w="1276" w:type="dxa"/>
            <w:vAlign w:val="center"/>
          </w:tcPr>
          <w:p>
            <w:pPr>
              <w:pStyle w:val="13"/>
            </w:pPr>
            <w:r>
              <w:t>年度考核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15、退役军人岗位补贴绩效目标表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13052525P000039100029</w:t>
            </w:r>
          </w:p>
        </w:tc>
        <w:tc>
          <w:tcPr>
            <w:tcW w:w="2835" w:type="dxa"/>
            <w:vAlign w:val="center"/>
          </w:tcPr>
          <w:p>
            <w:pPr>
              <w:pStyle w:val="11"/>
            </w:pPr>
            <w:r>
              <w:t>项目名称</w:t>
            </w:r>
          </w:p>
        </w:tc>
        <w:tc>
          <w:tcPr>
            <w:tcW w:w="6095" w:type="dxa"/>
            <w:gridSpan w:val="3"/>
            <w:vAlign w:val="center"/>
          </w:tcPr>
          <w:p>
            <w:pPr>
              <w:pStyle w:val="13"/>
            </w:pPr>
            <w:r>
              <w:t>退役军人岗位补贴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11.14</w:t>
            </w:r>
          </w:p>
        </w:tc>
        <w:tc>
          <w:tcPr>
            <w:tcW w:w="2835" w:type="dxa"/>
            <w:vAlign w:val="center"/>
          </w:tcPr>
          <w:p>
            <w:pPr>
              <w:pStyle w:val="11"/>
            </w:pPr>
            <w:r>
              <w:t>其中：财政    资金</w:t>
            </w:r>
          </w:p>
        </w:tc>
        <w:tc>
          <w:tcPr>
            <w:tcW w:w="2551" w:type="dxa"/>
            <w:vAlign w:val="center"/>
          </w:tcPr>
          <w:p>
            <w:pPr>
              <w:pStyle w:val="13"/>
            </w:pPr>
            <w:r>
              <w:t>11.14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3名退役军人岗位补贴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1.保证机关大院卫生情况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反映发放或补助人员数量情况</w:t>
            </w:r>
          </w:p>
        </w:tc>
        <w:tc>
          <w:tcPr>
            <w:tcW w:w="2268" w:type="dxa"/>
            <w:vAlign w:val="center"/>
          </w:tcPr>
          <w:p>
            <w:pPr>
              <w:pStyle w:val="13"/>
            </w:pPr>
            <w:r>
              <w:t>3人</w:t>
            </w:r>
          </w:p>
        </w:tc>
        <w:tc>
          <w:tcPr>
            <w:tcW w:w="1276" w:type="dxa"/>
            <w:vAlign w:val="center"/>
          </w:tcPr>
          <w:p>
            <w:pPr>
              <w:pStyle w:val="13"/>
            </w:pPr>
            <w:r>
              <w:t>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发放（补助）次数</w:t>
            </w:r>
          </w:p>
        </w:tc>
        <w:tc>
          <w:tcPr>
            <w:tcW w:w="5386" w:type="dxa"/>
            <w:vAlign w:val="center"/>
          </w:tcPr>
          <w:p>
            <w:pPr>
              <w:pStyle w:val="13"/>
            </w:pPr>
            <w:r>
              <w:t>反映发放或补助频次情况</w:t>
            </w:r>
          </w:p>
        </w:tc>
        <w:tc>
          <w:tcPr>
            <w:tcW w:w="2268" w:type="dxa"/>
            <w:vAlign w:val="center"/>
          </w:tcPr>
          <w:p>
            <w:pPr>
              <w:pStyle w:val="13"/>
            </w:pPr>
            <w:r>
              <w:t>12次</w:t>
            </w:r>
          </w:p>
        </w:tc>
        <w:tc>
          <w:tcPr>
            <w:tcW w:w="1276" w:type="dxa"/>
            <w:vAlign w:val="center"/>
          </w:tcPr>
          <w:p>
            <w:pPr>
              <w:pStyle w:val="13"/>
            </w:pPr>
            <w:r>
              <w:t>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资金发放（补助）及时性</w:t>
            </w:r>
          </w:p>
        </w:tc>
        <w:tc>
          <w:tcPr>
            <w:tcW w:w="5386" w:type="dxa"/>
            <w:vAlign w:val="center"/>
          </w:tcPr>
          <w:p>
            <w:pPr>
              <w:pStyle w:val="13"/>
            </w:pPr>
            <w:r>
              <w:t>反映资金发放（补助）及时性</w:t>
            </w:r>
          </w:p>
        </w:tc>
        <w:tc>
          <w:tcPr>
            <w:tcW w:w="2268" w:type="dxa"/>
            <w:vAlign w:val="center"/>
          </w:tcPr>
          <w:p>
            <w:pPr>
              <w:pStyle w:val="13"/>
            </w:pPr>
            <w:r>
              <w:t>≥100%</w:t>
            </w:r>
          </w:p>
        </w:tc>
        <w:tc>
          <w:tcPr>
            <w:tcW w:w="1276" w:type="dxa"/>
            <w:vAlign w:val="center"/>
          </w:tcPr>
          <w:p>
            <w:pPr>
              <w:pStyle w:val="13"/>
            </w:pPr>
            <w:r>
              <w:t>投诉率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人员工资保险小于等于111356.28元</w:t>
            </w:r>
          </w:p>
        </w:tc>
        <w:tc>
          <w:tcPr>
            <w:tcW w:w="5386" w:type="dxa"/>
            <w:vAlign w:val="center"/>
          </w:tcPr>
          <w:p>
            <w:pPr>
              <w:pStyle w:val="13"/>
            </w:pPr>
            <w:r>
              <w:t>人员工资保险小于等于111356.28元</w:t>
            </w:r>
          </w:p>
        </w:tc>
        <w:tc>
          <w:tcPr>
            <w:tcW w:w="2268" w:type="dxa"/>
            <w:vAlign w:val="center"/>
          </w:tcPr>
          <w:p>
            <w:pPr>
              <w:pStyle w:val="13"/>
            </w:pPr>
            <w:r>
              <w:t>≤100%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招聘退役军人人员增加就业率</w:t>
            </w:r>
          </w:p>
        </w:tc>
        <w:tc>
          <w:tcPr>
            <w:tcW w:w="5386" w:type="dxa"/>
            <w:vAlign w:val="center"/>
          </w:tcPr>
          <w:p>
            <w:pPr>
              <w:pStyle w:val="13"/>
            </w:pPr>
            <w:r>
              <w:t>招聘退役军人人员增加就业率</w:t>
            </w:r>
          </w:p>
        </w:tc>
        <w:tc>
          <w:tcPr>
            <w:tcW w:w="2268" w:type="dxa"/>
            <w:vAlign w:val="center"/>
          </w:tcPr>
          <w:p>
            <w:pPr>
              <w:pStyle w:val="13"/>
            </w:pPr>
            <w:r>
              <w:t>≥10%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招聘退役军人人员增加就业率</w:t>
            </w:r>
          </w:p>
        </w:tc>
        <w:tc>
          <w:tcPr>
            <w:tcW w:w="5386" w:type="dxa"/>
            <w:vAlign w:val="center"/>
          </w:tcPr>
          <w:p>
            <w:pPr>
              <w:pStyle w:val="13"/>
            </w:pPr>
            <w:r>
              <w:t>招聘退役军人人员增加就业率</w:t>
            </w:r>
          </w:p>
        </w:tc>
        <w:tc>
          <w:tcPr>
            <w:tcW w:w="2268" w:type="dxa"/>
            <w:vAlign w:val="center"/>
          </w:tcPr>
          <w:p>
            <w:pPr>
              <w:pStyle w:val="13"/>
            </w:pPr>
            <w:r>
              <w:t>≥10%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高效完成工作量</w:t>
            </w:r>
          </w:p>
        </w:tc>
        <w:tc>
          <w:tcPr>
            <w:tcW w:w="5386" w:type="dxa"/>
            <w:vAlign w:val="center"/>
          </w:tcPr>
          <w:p>
            <w:pPr>
              <w:pStyle w:val="13"/>
            </w:pPr>
            <w:r>
              <w:t>高效完成工作量完成工作</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反映参加受益人员满意情况</w:t>
            </w:r>
          </w:p>
        </w:tc>
        <w:tc>
          <w:tcPr>
            <w:tcW w:w="2268" w:type="dxa"/>
            <w:vAlign w:val="center"/>
          </w:tcPr>
          <w:p>
            <w:pPr>
              <w:pStyle w:val="13"/>
            </w:pPr>
            <w:r>
              <w:t>≥80%</w:t>
            </w:r>
          </w:p>
        </w:tc>
        <w:tc>
          <w:tcPr>
            <w:tcW w:w="1276" w:type="dxa"/>
            <w:vAlign w:val="center"/>
          </w:tcPr>
          <w:p>
            <w:pPr>
              <w:pStyle w:val="13"/>
            </w:pPr>
            <w:r>
              <w:t>合同签订情况表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13052525P00002610009A</w:t>
            </w:r>
          </w:p>
        </w:tc>
        <w:tc>
          <w:tcPr>
            <w:tcW w:w="2835" w:type="dxa"/>
            <w:vAlign w:val="center"/>
          </w:tcPr>
          <w:p>
            <w:pPr>
              <w:pStyle w:val="11"/>
            </w:pPr>
            <w:r>
              <w:t>项目名称</w:t>
            </w:r>
          </w:p>
        </w:tc>
        <w:tc>
          <w:tcPr>
            <w:tcW w:w="6095" w:type="dxa"/>
            <w:gridSpan w:val="3"/>
            <w:vAlign w:val="center"/>
          </w:tcPr>
          <w:p>
            <w:pPr>
              <w:pStyle w:val="13"/>
            </w:pPr>
            <w:r>
              <w:t>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34.50</w:t>
            </w:r>
          </w:p>
        </w:tc>
        <w:tc>
          <w:tcPr>
            <w:tcW w:w="2835" w:type="dxa"/>
            <w:vAlign w:val="center"/>
          </w:tcPr>
          <w:p>
            <w:pPr>
              <w:pStyle w:val="11"/>
            </w:pPr>
            <w:r>
              <w:t>其中：财政    资金</w:t>
            </w:r>
          </w:p>
        </w:tc>
        <w:tc>
          <w:tcPr>
            <w:tcW w:w="2551" w:type="dxa"/>
            <w:vAlign w:val="center"/>
          </w:tcPr>
          <w:p>
            <w:pPr>
              <w:pStyle w:val="13"/>
            </w:pPr>
            <w:r>
              <w:t>34.50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保障公务用车GPS费，会议室、周转房和办公用房正常运行。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1.保障公车服务平台的正常运行和车辆定位，保障视频会议室正常运行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购买公车软件率</w:t>
            </w:r>
          </w:p>
        </w:tc>
        <w:tc>
          <w:tcPr>
            <w:tcW w:w="5386" w:type="dxa"/>
            <w:vAlign w:val="center"/>
          </w:tcPr>
          <w:p>
            <w:pPr>
              <w:pStyle w:val="13"/>
            </w:pPr>
            <w:r>
              <w:t>购买公务用车软件率</w:t>
            </w:r>
          </w:p>
        </w:tc>
        <w:tc>
          <w:tcPr>
            <w:tcW w:w="2268" w:type="dxa"/>
            <w:vAlign w:val="center"/>
          </w:tcPr>
          <w:p>
            <w:pPr>
              <w:pStyle w:val="13"/>
            </w:pPr>
            <w:r>
              <w:t>≥100购买公务用车软件率</w:t>
            </w:r>
          </w:p>
        </w:tc>
        <w:tc>
          <w:tcPr>
            <w:tcW w:w="1276" w:type="dxa"/>
            <w:vAlign w:val="center"/>
          </w:tcPr>
          <w:p>
            <w:pPr>
              <w:pStyle w:val="13"/>
            </w:pPr>
            <w:r>
              <w:t>公车统计表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GPS安装率</w:t>
            </w:r>
          </w:p>
        </w:tc>
        <w:tc>
          <w:tcPr>
            <w:tcW w:w="5386" w:type="dxa"/>
            <w:vAlign w:val="center"/>
          </w:tcPr>
          <w:p>
            <w:pPr>
              <w:pStyle w:val="13"/>
            </w:pPr>
            <w:r>
              <w:t>全部公车安装GPS率</w:t>
            </w:r>
          </w:p>
        </w:tc>
        <w:tc>
          <w:tcPr>
            <w:tcW w:w="2268" w:type="dxa"/>
            <w:vAlign w:val="center"/>
          </w:tcPr>
          <w:p>
            <w:pPr>
              <w:pStyle w:val="13"/>
            </w:pPr>
            <w:r>
              <w:t>≥100全部公车安装GPS率</w:t>
            </w:r>
          </w:p>
        </w:tc>
        <w:tc>
          <w:tcPr>
            <w:tcW w:w="1276" w:type="dxa"/>
            <w:vAlign w:val="center"/>
          </w:tcPr>
          <w:p>
            <w:pPr>
              <w:pStyle w:val="13"/>
            </w:pPr>
            <w:r>
              <w:t>公车统计表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视频会议室网络服务费支出率</w:t>
            </w:r>
          </w:p>
        </w:tc>
        <w:tc>
          <w:tcPr>
            <w:tcW w:w="5386" w:type="dxa"/>
            <w:vAlign w:val="center"/>
          </w:tcPr>
          <w:p>
            <w:pPr>
              <w:pStyle w:val="13"/>
            </w:pPr>
            <w:r>
              <w:t>视屏会议系统网络服务费占全年计划支出费用的比例</w:t>
            </w:r>
          </w:p>
        </w:tc>
        <w:tc>
          <w:tcPr>
            <w:tcW w:w="2268" w:type="dxa"/>
            <w:vAlign w:val="center"/>
          </w:tcPr>
          <w:p>
            <w:pPr>
              <w:pStyle w:val="13"/>
            </w:pPr>
            <w:r>
              <w:t>≥100视屏会议系统网络服务费占全年计划支出费用的比例</w:t>
            </w:r>
          </w:p>
        </w:tc>
        <w:tc>
          <w:tcPr>
            <w:tcW w:w="1276" w:type="dxa"/>
            <w:vAlign w:val="center"/>
          </w:tcPr>
          <w:p>
            <w:pPr>
              <w:pStyle w:val="13"/>
            </w:pPr>
            <w:r>
              <w:t>支出统计表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使用公车满意的单位量占全部使用公车单位总量的比例</w:t>
            </w:r>
          </w:p>
        </w:tc>
        <w:tc>
          <w:tcPr>
            <w:tcW w:w="5386" w:type="dxa"/>
            <w:vAlign w:val="center"/>
          </w:tcPr>
          <w:p>
            <w:pPr>
              <w:pStyle w:val="13"/>
            </w:pPr>
            <w:r>
              <w:t>使用公车满意的单位量占全部使用公车单位总量的比例</w:t>
            </w:r>
          </w:p>
        </w:tc>
        <w:tc>
          <w:tcPr>
            <w:tcW w:w="2268" w:type="dxa"/>
            <w:vAlign w:val="center"/>
          </w:tcPr>
          <w:p>
            <w:pPr>
              <w:pStyle w:val="13"/>
            </w:pPr>
            <w:r>
              <w:t>≥100使用公车满意的单位量占全部使用公车单位总量的比例</w:t>
            </w:r>
          </w:p>
        </w:tc>
        <w:tc>
          <w:tcPr>
            <w:tcW w:w="1276" w:type="dxa"/>
            <w:vAlign w:val="center"/>
          </w:tcPr>
          <w:p>
            <w:pPr>
              <w:pStyle w:val="13"/>
            </w:pPr>
            <w:r>
              <w:t>公车投诉率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公车和视频会议系统平稳使用率</w:t>
            </w:r>
          </w:p>
        </w:tc>
        <w:tc>
          <w:tcPr>
            <w:tcW w:w="5386" w:type="dxa"/>
            <w:vAlign w:val="center"/>
          </w:tcPr>
          <w:p>
            <w:pPr>
              <w:pStyle w:val="13"/>
            </w:pPr>
            <w:r>
              <w:t>公车和视频会议系统平稳使用率</w:t>
            </w:r>
          </w:p>
        </w:tc>
        <w:tc>
          <w:tcPr>
            <w:tcW w:w="2268" w:type="dxa"/>
            <w:vAlign w:val="center"/>
          </w:tcPr>
          <w:p>
            <w:pPr>
              <w:pStyle w:val="13"/>
            </w:pPr>
            <w:r>
              <w:t>≥100公车和视频会议系统平稳使用率</w:t>
            </w:r>
          </w:p>
        </w:tc>
        <w:tc>
          <w:tcPr>
            <w:tcW w:w="1276" w:type="dxa"/>
            <w:vAlign w:val="center"/>
          </w:tcPr>
          <w:p>
            <w:pPr>
              <w:pStyle w:val="13"/>
            </w:pPr>
            <w:r>
              <w:t>使用维修率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调度平台的正常运行</w:t>
            </w:r>
          </w:p>
        </w:tc>
        <w:tc>
          <w:tcPr>
            <w:tcW w:w="5386" w:type="dxa"/>
            <w:vAlign w:val="center"/>
          </w:tcPr>
          <w:p>
            <w:pPr>
              <w:pStyle w:val="13"/>
            </w:pPr>
            <w:r>
              <w:t>调度平台的正常运行率</w:t>
            </w:r>
          </w:p>
        </w:tc>
        <w:tc>
          <w:tcPr>
            <w:tcW w:w="2268" w:type="dxa"/>
            <w:vAlign w:val="center"/>
          </w:tcPr>
          <w:p>
            <w:pPr>
              <w:pStyle w:val="13"/>
            </w:pPr>
            <w:r>
              <w:t>≥100调度平台的正常运行率</w:t>
            </w:r>
          </w:p>
        </w:tc>
        <w:tc>
          <w:tcPr>
            <w:tcW w:w="1276" w:type="dxa"/>
            <w:vAlign w:val="center"/>
          </w:tcPr>
          <w:p>
            <w:pPr>
              <w:pStyle w:val="13"/>
            </w:pPr>
            <w:r>
              <w:t>平台使用维修率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车辆卫星定位准确</w:t>
            </w:r>
          </w:p>
        </w:tc>
        <w:tc>
          <w:tcPr>
            <w:tcW w:w="5386" w:type="dxa"/>
            <w:vAlign w:val="center"/>
          </w:tcPr>
          <w:p>
            <w:pPr>
              <w:pStyle w:val="13"/>
            </w:pPr>
            <w:r>
              <w:t>全县公车卫星定位系统</w:t>
            </w:r>
          </w:p>
        </w:tc>
        <w:tc>
          <w:tcPr>
            <w:tcW w:w="2268" w:type="dxa"/>
            <w:vAlign w:val="center"/>
          </w:tcPr>
          <w:p>
            <w:pPr>
              <w:pStyle w:val="13"/>
            </w:pPr>
            <w:r>
              <w:t>≥100全县公车卫星定位系统</w:t>
            </w:r>
          </w:p>
        </w:tc>
        <w:tc>
          <w:tcPr>
            <w:tcW w:w="1276" w:type="dxa"/>
            <w:vAlign w:val="center"/>
          </w:tcPr>
          <w:p>
            <w:pPr>
              <w:pStyle w:val="13"/>
            </w:pPr>
            <w:r>
              <w:t>调度平台公车行驶路线轨迹回放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会议室使用满意度</w:t>
            </w:r>
          </w:p>
        </w:tc>
        <w:tc>
          <w:tcPr>
            <w:tcW w:w="5386" w:type="dxa"/>
            <w:vAlign w:val="center"/>
          </w:tcPr>
          <w:p>
            <w:pPr>
              <w:pStyle w:val="13"/>
            </w:pPr>
            <w:r>
              <w:t>省市召开视频会议，视频会议室的使用情况</w:t>
            </w:r>
          </w:p>
        </w:tc>
        <w:tc>
          <w:tcPr>
            <w:tcW w:w="2268" w:type="dxa"/>
            <w:vAlign w:val="center"/>
          </w:tcPr>
          <w:p>
            <w:pPr>
              <w:pStyle w:val="13"/>
            </w:pPr>
            <w:r>
              <w:t>≥100省市召开视频会议，视频会议室的使用情况</w:t>
            </w:r>
          </w:p>
        </w:tc>
        <w:tc>
          <w:tcPr>
            <w:tcW w:w="1276" w:type="dxa"/>
            <w:vAlign w:val="center"/>
          </w:tcPr>
          <w:p>
            <w:pPr>
              <w:pStyle w:val="13"/>
            </w:pPr>
            <w:r>
              <w:t>会议使用满意次数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领导使用公车的满意度</w:t>
            </w:r>
          </w:p>
        </w:tc>
        <w:tc>
          <w:tcPr>
            <w:tcW w:w="2268" w:type="dxa"/>
            <w:vAlign w:val="center"/>
          </w:tcPr>
          <w:p>
            <w:pPr>
              <w:pStyle w:val="13"/>
            </w:pPr>
            <w:r>
              <w:t>≥100领导使用公车的满意度</w:t>
            </w:r>
          </w:p>
        </w:tc>
        <w:tc>
          <w:tcPr>
            <w:tcW w:w="1276" w:type="dxa"/>
            <w:vAlign w:val="center"/>
          </w:tcPr>
          <w:p>
            <w:pPr>
              <w:pStyle w:val="13"/>
            </w:pPr>
            <w:r>
              <w:t>使用公车投诉率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329.18</w:t>
            </w:r>
          </w:p>
        </w:tc>
        <w:tc>
          <w:tcPr>
            <w:tcW w:w="964" w:type="dxa"/>
            <w:vAlign w:val="center"/>
          </w:tcPr>
          <w:p>
            <w:pPr>
              <w:pStyle w:val="16"/>
            </w:pPr>
            <w:r>
              <w:t>329.18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329.18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中国共产党隆尧县委员会办公室本级小计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35.60</w:t>
            </w:r>
          </w:p>
        </w:tc>
        <w:tc>
          <w:tcPr>
            <w:tcW w:w="964" w:type="dxa"/>
            <w:vAlign w:val="center"/>
          </w:tcPr>
          <w:p>
            <w:pPr>
              <w:pStyle w:val="16"/>
            </w:pPr>
            <w:r>
              <w:t>35.60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县委办专项工作经费</w:t>
            </w:r>
          </w:p>
        </w:tc>
        <w:tc>
          <w:tcPr>
            <w:tcW w:w="964" w:type="dxa"/>
            <w:vAlign w:val="center"/>
          </w:tcPr>
          <w:p>
            <w:pPr>
              <w:pStyle w:val="12"/>
            </w:pPr>
            <w:r>
              <w:t>200.00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0.24</w:t>
            </w:r>
          </w:p>
        </w:tc>
        <w:tc>
          <w:tcPr>
            <w:tcW w:w="964" w:type="dxa"/>
            <w:vAlign w:val="center"/>
          </w:tcPr>
          <w:p>
            <w:pPr>
              <w:pStyle w:val="12"/>
            </w:pPr>
            <w:r>
              <w:t>0.48</w:t>
            </w:r>
          </w:p>
        </w:tc>
        <w:tc>
          <w:tcPr>
            <w:tcW w:w="964" w:type="dxa"/>
            <w:vAlign w:val="center"/>
          </w:tcPr>
          <w:p>
            <w:pPr>
              <w:pStyle w:val="12"/>
            </w:pPr>
            <w:r>
              <w:t>0.48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县委办专项工作经费</w:t>
            </w:r>
          </w:p>
        </w:tc>
        <w:tc>
          <w:tcPr>
            <w:tcW w:w="964" w:type="dxa"/>
            <w:vAlign w:val="center"/>
          </w:tcPr>
          <w:p>
            <w:pPr>
              <w:pStyle w:val="12"/>
            </w:pPr>
            <w:r>
              <w:t>200.00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34</w:t>
            </w:r>
          </w:p>
        </w:tc>
        <w:tc>
          <w:tcPr>
            <w:tcW w:w="850" w:type="dxa"/>
            <w:vAlign w:val="center"/>
          </w:tcPr>
          <w:p>
            <w:pPr>
              <w:pStyle w:val="12"/>
            </w:pPr>
            <w:r>
              <w:t>1.00</w:t>
            </w:r>
          </w:p>
        </w:tc>
        <w:tc>
          <w:tcPr>
            <w:tcW w:w="964" w:type="dxa"/>
            <w:vAlign w:val="center"/>
          </w:tcPr>
          <w:p>
            <w:pPr>
              <w:pStyle w:val="12"/>
            </w:pPr>
            <w:r>
              <w:t>34.00</w:t>
            </w:r>
          </w:p>
        </w:tc>
        <w:tc>
          <w:tcPr>
            <w:tcW w:w="964" w:type="dxa"/>
            <w:vAlign w:val="center"/>
          </w:tcPr>
          <w:p>
            <w:pPr>
              <w:pStyle w:val="12"/>
            </w:pPr>
            <w:r>
              <w:t>34.00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县委办专项工作经费</w:t>
            </w:r>
          </w:p>
        </w:tc>
        <w:tc>
          <w:tcPr>
            <w:tcW w:w="964" w:type="dxa"/>
            <w:vAlign w:val="center"/>
          </w:tcPr>
          <w:p>
            <w:pPr>
              <w:pStyle w:val="12"/>
            </w:pPr>
            <w:r>
              <w:t>200.00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县委办专项工作经费</w:t>
            </w:r>
          </w:p>
        </w:tc>
        <w:tc>
          <w:tcPr>
            <w:tcW w:w="964" w:type="dxa"/>
            <w:vAlign w:val="center"/>
          </w:tcPr>
          <w:p>
            <w:pPr>
              <w:pStyle w:val="12"/>
            </w:pPr>
            <w:r>
              <w:t>200.00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5</w:t>
            </w:r>
          </w:p>
        </w:tc>
        <w:tc>
          <w:tcPr>
            <w:tcW w:w="850" w:type="dxa"/>
            <w:vAlign w:val="center"/>
          </w:tcPr>
          <w:p>
            <w:pPr>
              <w:pStyle w:val="12"/>
            </w:pPr>
            <w:r>
              <w:t>0.14</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县委办专项工作经费</w:t>
            </w:r>
          </w:p>
        </w:tc>
        <w:tc>
          <w:tcPr>
            <w:tcW w:w="964" w:type="dxa"/>
            <w:vAlign w:val="center"/>
          </w:tcPr>
          <w:p>
            <w:pPr>
              <w:pStyle w:val="12"/>
            </w:pPr>
            <w:r>
              <w:t>200.00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6</w:t>
            </w:r>
          </w:p>
        </w:tc>
        <w:tc>
          <w:tcPr>
            <w:tcW w:w="850" w:type="dxa"/>
            <w:vAlign w:val="center"/>
          </w:tcPr>
          <w:p>
            <w:pPr>
              <w:pStyle w:val="12"/>
            </w:pPr>
            <w:r>
              <w:t>0.05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隆尧县机关事务管理局小计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293.58</w:t>
            </w:r>
          </w:p>
        </w:tc>
        <w:tc>
          <w:tcPr>
            <w:tcW w:w="964" w:type="dxa"/>
            <w:vAlign w:val="center"/>
          </w:tcPr>
          <w:p>
            <w:pPr>
              <w:pStyle w:val="16"/>
            </w:pPr>
            <w:r>
              <w:t>293.58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公务用车运行维护费</w:t>
            </w:r>
          </w:p>
        </w:tc>
        <w:tc>
          <w:tcPr>
            <w:tcW w:w="964" w:type="dxa"/>
            <w:vAlign w:val="center"/>
          </w:tcPr>
          <w:p>
            <w:pPr>
              <w:pStyle w:val="12"/>
            </w:pPr>
            <w:r>
              <w:t>80.00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公务用车运行维护费</w:t>
            </w:r>
          </w:p>
        </w:tc>
        <w:tc>
          <w:tcPr>
            <w:tcW w:w="964" w:type="dxa"/>
            <w:vAlign w:val="center"/>
          </w:tcPr>
          <w:p>
            <w:pPr>
              <w:pStyle w:val="12"/>
            </w:pPr>
            <w:r>
              <w:t>80.00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机关物业保安费</w:t>
            </w:r>
          </w:p>
        </w:tc>
        <w:tc>
          <w:tcPr>
            <w:tcW w:w="964" w:type="dxa"/>
            <w:vAlign w:val="center"/>
          </w:tcPr>
          <w:p>
            <w:pPr>
              <w:pStyle w:val="12"/>
            </w:pPr>
            <w:r>
              <w:t>103.58</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45.12</w:t>
            </w:r>
          </w:p>
        </w:tc>
        <w:tc>
          <w:tcPr>
            <w:tcW w:w="964" w:type="dxa"/>
            <w:vAlign w:val="center"/>
          </w:tcPr>
          <w:p>
            <w:pPr>
              <w:pStyle w:val="12"/>
            </w:pPr>
            <w:r>
              <w:t>45.12</w:t>
            </w:r>
          </w:p>
        </w:tc>
        <w:tc>
          <w:tcPr>
            <w:tcW w:w="964" w:type="dxa"/>
            <w:vAlign w:val="center"/>
          </w:tcPr>
          <w:p>
            <w:pPr>
              <w:pStyle w:val="12"/>
            </w:pPr>
            <w:r>
              <w:t>45.12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机关物业保安费</w:t>
            </w:r>
          </w:p>
        </w:tc>
        <w:tc>
          <w:tcPr>
            <w:tcW w:w="964" w:type="dxa"/>
            <w:vAlign w:val="center"/>
          </w:tcPr>
          <w:p>
            <w:pPr>
              <w:pStyle w:val="12"/>
            </w:pPr>
            <w:r>
              <w:t>103.58</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58.46</w:t>
            </w:r>
          </w:p>
        </w:tc>
        <w:tc>
          <w:tcPr>
            <w:tcW w:w="964" w:type="dxa"/>
            <w:vAlign w:val="center"/>
          </w:tcPr>
          <w:p>
            <w:pPr>
              <w:pStyle w:val="12"/>
            </w:pPr>
            <w:r>
              <w:t>58.46</w:t>
            </w:r>
          </w:p>
        </w:tc>
        <w:tc>
          <w:tcPr>
            <w:tcW w:w="964" w:type="dxa"/>
            <w:vAlign w:val="center"/>
          </w:tcPr>
          <w:p>
            <w:pPr>
              <w:pStyle w:val="12"/>
            </w:pPr>
            <w:r>
              <w:t>58.46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食堂服务费</w:t>
            </w:r>
          </w:p>
        </w:tc>
        <w:tc>
          <w:tcPr>
            <w:tcW w:w="964" w:type="dxa"/>
            <w:vAlign w:val="center"/>
          </w:tcPr>
          <w:p>
            <w:pPr>
              <w:pStyle w:val="12"/>
            </w:pPr>
            <w:r>
              <w:t>120.00</w:t>
            </w:r>
          </w:p>
        </w:tc>
        <w:tc>
          <w:tcPr>
            <w:tcW w:w="1134" w:type="dxa"/>
            <w:vAlign w:val="center"/>
          </w:tcPr>
          <w:p>
            <w:pPr>
              <w:pStyle w:val="13"/>
            </w:pPr>
            <w:r>
              <w:t>餐饮服务</w:t>
            </w:r>
          </w:p>
        </w:tc>
        <w:tc>
          <w:tcPr>
            <w:tcW w:w="1134" w:type="dxa"/>
            <w:vAlign w:val="center"/>
          </w:tcPr>
          <w:p>
            <w:pPr>
              <w:pStyle w:val="13"/>
            </w:pPr>
            <w:r>
              <w:t>C22040000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中国共产党隆尧县委员会办公室（含所属单位）上年末固定资产金额为</w:t>
      </w:r>
      <w:r>
        <w:rPr>
          <w:rFonts w:hint="eastAsia" w:eastAsia="方正仿宋_GBK" w:cs="Times New Roman"/>
          <w:b w:val="0"/>
          <w:color w:val="000000"/>
          <w:sz w:val="28"/>
          <w:lang w:val="en-US" w:eastAsia="zh-CN"/>
        </w:rPr>
        <w:t>2812.34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35.60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bookmarkStart w:id="20" w:name="_GoBack"/>
      <w:bookmarkEnd w:id="2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201中国共产党隆尧县委员会办公室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2812.34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31627.38</w:t>
            </w:r>
          </w:p>
        </w:tc>
        <w:tc>
          <w:tcPr>
            <w:tcW w:w="2835" w:type="dxa"/>
            <w:vAlign w:val="center"/>
          </w:tcPr>
          <w:p>
            <w:pPr>
              <w:pStyle w:val="12"/>
            </w:pPr>
            <w:r>
              <w:t>1323.45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87</w:t>
            </w:r>
          </w:p>
        </w:tc>
        <w:tc>
          <w:tcPr>
            <w:tcW w:w="2835" w:type="dxa"/>
            <w:vAlign w:val="center"/>
          </w:tcPr>
          <w:p>
            <w:pPr>
              <w:pStyle w:val="12"/>
            </w:pPr>
            <w:r>
              <w:t>1103.29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1413</w:t>
            </w:r>
          </w:p>
        </w:tc>
        <w:tc>
          <w:tcPr>
            <w:tcW w:w="2835" w:type="dxa"/>
            <w:vAlign w:val="center"/>
          </w:tcPr>
          <w:p>
            <w:pPr>
              <w:pStyle w:val="12"/>
              <w:rPr>
                <w:rFonts w:hint="default" w:eastAsia="方正书宋_GBK"/>
                <w:lang w:val="en-US" w:eastAsia="zh-CN"/>
              </w:rPr>
            </w:pPr>
            <w:r>
              <w:rPr>
                <w:rFonts w:hint="eastAsia"/>
                <w:lang w:val="en-US" w:eastAsia="zh-CN"/>
              </w:rPr>
              <w:t>385.60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SimSun">
    <w:panose1 w:val="02010600030101010101"/>
    <w:charset w:val="86"/>
    <w:family w:val="auto"/>
    <w:pitch w:val="default"/>
    <w:sig w:usb0="00000003" w:usb1="288F0000" w:usb2="0000000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AFD8097"/>
    <w:rsid w:val="3E77CAC2"/>
    <w:rsid w:val="4FFC051D"/>
    <w:rsid w:val="7B5DA010"/>
    <w:rsid w:val="7BD7B4E1"/>
    <w:rsid w:val="7E3C7DD6"/>
    <w:rsid w:val="7FF95549"/>
    <w:rsid w:val="AFBDB6CD"/>
    <w:rsid w:val="B7F729FE"/>
    <w:rsid w:val="DDDF3BC1"/>
    <w:rsid w:val="EF9F956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TotalTime>4</TotalTime>
  <ScaleCrop>false</ScaleCrop>
  <LinksUpToDate>false</LinksUpToDate>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2025-03-01T08:00:00Z</dcterms:created>
  <dc:creator>work</dc:creator>
  <cp:lastModifiedBy>work</cp:lastModifiedBy>
  <dcterms:modified xsi:type="dcterms:W3CDTF">2025-02-28T16:51:58Z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A037C64CF6F96296256EC167139BFC1D</vt:lpwstr>
  </property>
</Properties>
</file>