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8</w:t>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906河北省隆尧县气象局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24.93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24.93</w:t>
            </w:r>
          </w:p>
        </w:tc>
        <w:tc>
          <w:tcPr>
            <w:tcW w:w="4535" w:type="dxa"/>
            <w:vAlign w:val="center"/>
          </w:tcPr>
          <w:p>
            <w:pPr>
              <w:pStyle w:val="15"/>
            </w:pPr>
            <w:r>
              <w:t>本年支出合计</w:t>
            </w:r>
          </w:p>
        </w:tc>
        <w:tc>
          <w:tcPr>
            <w:tcW w:w="2126" w:type="dxa"/>
            <w:vAlign w:val="center"/>
          </w:tcPr>
          <w:p>
            <w:pPr>
              <w:pStyle w:val="16"/>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24.93</w:t>
            </w:r>
          </w:p>
        </w:tc>
        <w:tc>
          <w:tcPr>
            <w:tcW w:w="4535" w:type="dxa"/>
            <w:vAlign w:val="center"/>
          </w:tcPr>
          <w:p>
            <w:pPr>
              <w:pStyle w:val="15"/>
            </w:pPr>
            <w:r>
              <w:t>支出总计</w:t>
            </w:r>
          </w:p>
        </w:tc>
        <w:tc>
          <w:tcPr>
            <w:tcW w:w="2126" w:type="dxa"/>
            <w:vAlign w:val="center"/>
          </w:tcPr>
          <w:p>
            <w:pPr>
              <w:pStyle w:val="16"/>
            </w:pPr>
            <w:r>
              <w:t>24.93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906河北省隆尧县气象局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24.93</w:t>
            </w:r>
          </w:p>
        </w:tc>
        <w:tc>
          <w:tcPr>
            <w:tcW w:w="1134" w:type="dxa"/>
            <w:vAlign w:val="center"/>
          </w:tcPr>
          <w:p>
            <w:pPr>
              <w:pStyle w:val="16"/>
            </w:pPr>
            <w:r>
              <w:t>24.93</w:t>
            </w:r>
          </w:p>
        </w:tc>
        <w:tc>
          <w:tcPr>
            <w:tcW w:w="1134" w:type="dxa"/>
            <w:vAlign w:val="center"/>
          </w:tcPr>
          <w:p>
            <w:pPr>
              <w:pStyle w:val="16"/>
            </w:pPr>
            <w:r>
              <w:t>24.93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22005</w:t>
            </w:r>
          </w:p>
        </w:tc>
        <w:tc>
          <w:tcPr>
            <w:tcW w:w="1559" w:type="dxa"/>
            <w:vAlign w:val="center"/>
          </w:tcPr>
          <w:p>
            <w:pPr>
              <w:pStyle w:val="13"/>
            </w:pPr>
            <w:r>
              <w:t>气象事务</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2200509</w:t>
            </w:r>
          </w:p>
        </w:tc>
        <w:tc>
          <w:tcPr>
            <w:tcW w:w="1559" w:type="dxa"/>
            <w:vAlign w:val="center"/>
          </w:tcPr>
          <w:p>
            <w:pPr>
              <w:pStyle w:val="13"/>
            </w:pPr>
            <w:r>
              <w:t>气象服务</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r>
              <w:t>24.93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24.93</w:t>
            </w:r>
          </w:p>
        </w:tc>
        <w:tc>
          <w:tcPr>
            <w:tcW w:w="1361" w:type="dxa"/>
            <w:vAlign w:val="center"/>
          </w:tcPr>
          <w:p>
            <w:pPr>
              <w:pStyle w:val="16"/>
            </w:pPr>
          </w:p>
        </w:tc>
        <w:tc>
          <w:tcPr>
            <w:tcW w:w="1361" w:type="dxa"/>
            <w:vAlign w:val="center"/>
          </w:tcPr>
          <w:p>
            <w:pPr>
              <w:pStyle w:val="16"/>
            </w:pPr>
            <w:r>
              <w:t>24.93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22005</w:t>
            </w:r>
          </w:p>
        </w:tc>
        <w:tc>
          <w:tcPr>
            <w:tcW w:w="4535" w:type="dxa"/>
            <w:vAlign w:val="center"/>
          </w:tcPr>
          <w:p>
            <w:pPr>
              <w:pStyle w:val="13"/>
            </w:pPr>
            <w:r>
              <w:t>气象事务</w:t>
            </w: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2200509</w:t>
            </w:r>
          </w:p>
        </w:tc>
        <w:tc>
          <w:tcPr>
            <w:tcW w:w="4535" w:type="dxa"/>
            <w:vAlign w:val="center"/>
          </w:tcPr>
          <w:p>
            <w:pPr>
              <w:pStyle w:val="13"/>
            </w:pPr>
            <w:r>
              <w:t>气象服务</w:t>
            </w: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r>
              <w:t>24.93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24.93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24.93</w:t>
            </w:r>
          </w:p>
        </w:tc>
        <w:tc>
          <w:tcPr>
            <w:tcW w:w="1474" w:type="dxa"/>
            <w:vAlign w:val="center"/>
          </w:tcPr>
          <w:p>
            <w:pPr>
              <w:pStyle w:val="12"/>
            </w:pPr>
            <w:r>
              <w:t>24.93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24.93</w:t>
            </w:r>
          </w:p>
        </w:tc>
        <w:tc>
          <w:tcPr>
            <w:tcW w:w="3402" w:type="dxa"/>
            <w:vAlign w:val="center"/>
          </w:tcPr>
          <w:p>
            <w:pPr>
              <w:pStyle w:val="15"/>
            </w:pPr>
            <w:r>
              <w:t>本年支出合计</w:t>
            </w:r>
          </w:p>
        </w:tc>
        <w:tc>
          <w:tcPr>
            <w:tcW w:w="1474" w:type="dxa"/>
            <w:vAlign w:val="center"/>
          </w:tcPr>
          <w:p>
            <w:pPr>
              <w:pStyle w:val="16"/>
            </w:pPr>
            <w:r>
              <w:t>24.93</w:t>
            </w:r>
          </w:p>
        </w:tc>
        <w:tc>
          <w:tcPr>
            <w:tcW w:w="1474" w:type="dxa"/>
            <w:vAlign w:val="center"/>
          </w:tcPr>
          <w:p>
            <w:pPr>
              <w:pStyle w:val="16"/>
            </w:pPr>
            <w:r>
              <w:t>24.93</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24.93</w:t>
            </w:r>
          </w:p>
        </w:tc>
        <w:tc>
          <w:tcPr>
            <w:tcW w:w="3402" w:type="dxa"/>
            <w:vAlign w:val="center"/>
          </w:tcPr>
          <w:p>
            <w:pPr>
              <w:pStyle w:val="15"/>
            </w:pPr>
            <w:r>
              <w:t>支出总计</w:t>
            </w:r>
          </w:p>
        </w:tc>
        <w:tc>
          <w:tcPr>
            <w:tcW w:w="1474" w:type="dxa"/>
            <w:vAlign w:val="center"/>
          </w:tcPr>
          <w:p>
            <w:pPr>
              <w:pStyle w:val="16"/>
            </w:pPr>
            <w:r>
              <w:t>24.93</w:t>
            </w:r>
          </w:p>
        </w:tc>
        <w:tc>
          <w:tcPr>
            <w:tcW w:w="1474" w:type="dxa"/>
            <w:vAlign w:val="center"/>
          </w:tcPr>
          <w:p>
            <w:pPr>
              <w:pStyle w:val="16"/>
            </w:pPr>
            <w:r>
              <w:t>24.93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24.93</w:t>
            </w:r>
          </w:p>
        </w:tc>
        <w:tc>
          <w:tcPr>
            <w:tcW w:w="2551" w:type="dxa"/>
            <w:vAlign w:val="center"/>
          </w:tcPr>
          <w:p>
            <w:pPr>
              <w:pStyle w:val="16"/>
            </w:pPr>
          </w:p>
        </w:tc>
        <w:tc>
          <w:tcPr>
            <w:tcW w:w="2551" w:type="dxa"/>
            <w:vAlign w:val="center"/>
          </w:tcPr>
          <w:p>
            <w:pPr>
              <w:pStyle w:val="16"/>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24.93</w:t>
            </w:r>
          </w:p>
        </w:tc>
        <w:tc>
          <w:tcPr>
            <w:tcW w:w="2551" w:type="dxa"/>
            <w:vAlign w:val="center"/>
          </w:tcPr>
          <w:p>
            <w:pPr>
              <w:pStyle w:val="12"/>
            </w:pPr>
          </w:p>
        </w:tc>
        <w:tc>
          <w:tcPr>
            <w:tcW w:w="2551" w:type="dxa"/>
            <w:vAlign w:val="center"/>
          </w:tcPr>
          <w:p>
            <w:pPr>
              <w:pStyle w:val="12"/>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22005</w:t>
            </w:r>
          </w:p>
        </w:tc>
        <w:tc>
          <w:tcPr>
            <w:tcW w:w="4535" w:type="dxa"/>
            <w:vAlign w:val="center"/>
          </w:tcPr>
          <w:p>
            <w:pPr>
              <w:pStyle w:val="13"/>
            </w:pPr>
            <w:r>
              <w:t>气象事务</w:t>
            </w:r>
          </w:p>
        </w:tc>
        <w:tc>
          <w:tcPr>
            <w:tcW w:w="2551" w:type="dxa"/>
            <w:vAlign w:val="center"/>
          </w:tcPr>
          <w:p>
            <w:pPr>
              <w:pStyle w:val="12"/>
            </w:pPr>
            <w:r>
              <w:t>24.93</w:t>
            </w:r>
          </w:p>
        </w:tc>
        <w:tc>
          <w:tcPr>
            <w:tcW w:w="2551" w:type="dxa"/>
            <w:vAlign w:val="center"/>
          </w:tcPr>
          <w:p>
            <w:pPr>
              <w:pStyle w:val="12"/>
            </w:pPr>
          </w:p>
        </w:tc>
        <w:tc>
          <w:tcPr>
            <w:tcW w:w="2551" w:type="dxa"/>
            <w:vAlign w:val="center"/>
          </w:tcPr>
          <w:p>
            <w:pPr>
              <w:pStyle w:val="12"/>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2200509</w:t>
            </w:r>
          </w:p>
        </w:tc>
        <w:tc>
          <w:tcPr>
            <w:tcW w:w="4535" w:type="dxa"/>
            <w:vAlign w:val="center"/>
          </w:tcPr>
          <w:p>
            <w:pPr>
              <w:pStyle w:val="13"/>
            </w:pPr>
            <w:r>
              <w:t>气象服务</w:t>
            </w:r>
          </w:p>
        </w:tc>
        <w:tc>
          <w:tcPr>
            <w:tcW w:w="2551" w:type="dxa"/>
            <w:vAlign w:val="center"/>
          </w:tcPr>
          <w:p>
            <w:pPr>
              <w:pStyle w:val="12"/>
            </w:pPr>
            <w:r>
              <w:t>24.93</w:t>
            </w:r>
          </w:p>
        </w:tc>
        <w:tc>
          <w:tcPr>
            <w:tcW w:w="2551" w:type="dxa"/>
            <w:vAlign w:val="center"/>
          </w:tcPr>
          <w:p>
            <w:pPr>
              <w:pStyle w:val="12"/>
            </w:pPr>
          </w:p>
        </w:tc>
        <w:tc>
          <w:tcPr>
            <w:tcW w:w="2551" w:type="dxa"/>
            <w:vAlign w:val="center"/>
          </w:tcPr>
          <w:p>
            <w:pPr>
              <w:pStyle w:val="12"/>
            </w:pPr>
            <w:r>
              <w:t>24.93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906河北省隆尧县气象局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河北省隆尧县气象局2025年部门预算信息公开情况说明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河北省隆尧县气象局2025年部门预算信息公开情况说明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按照《中华人民共和国预算法》、《地方预决算公开操作规程》和《关于进一步推进预算公开工作的实施意见》规定，现将河北省隆尧县气象局2025年部门预算公开如下：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line="15" w:lineRule="atLeast"/>
        <w:ind w:firstLine="560" w:firstLineChars="200"/>
        <w:rPr>
          <w:rFonts w:hint="eastAsia" w:eastAsia="方正仿宋_GBK"/>
          <w:sz w:val="28"/>
          <w:lang w:eastAsia="zh-CN"/>
        </w:rPr>
      </w:pPr>
      <w:r>
        <w:rPr>
          <w:rFonts w:hint="eastAsia" w:eastAsia="方正仿宋_GBK"/>
          <w:sz w:val="28"/>
          <w:lang w:eastAsia="zh-CN"/>
        </w:rPr>
        <w:t>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w:t>
      </w:r>
    </w:p>
    <w:p>
      <w:pPr>
        <w:spacing w:line="15" w:lineRule="atLeast"/>
        <w:ind w:firstLine="560" w:firstLineChars="200"/>
        <w:rPr>
          <w:rFonts w:hint="eastAsia" w:eastAsia="方正仿宋_GBK"/>
          <w:sz w:val="28"/>
          <w:lang w:eastAsia="zh-CN"/>
        </w:rPr>
      </w:pPr>
      <w:r>
        <w:rPr>
          <w:rFonts w:hint="eastAsia" w:eastAsia="方正仿宋_GBK"/>
          <w:sz w:val="28"/>
          <w:lang w:eastAsia="zh-CN"/>
        </w:rP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w:t>
      </w:r>
      <w:r>
        <w:rPr>
          <w:rFonts w:hint="eastAsia" w:asciiTheme="minorEastAsia" w:hAnsiTheme="minorEastAsia" w:eastAsiaTheme="minorEastAsia"/>
          <w:sz w:val="28"/>
          <w:lang w:eastAsia="zh-CN"/>
        </w:rPr>
        <w:t>务</w:t>
      </w:r>
      <w:r>
        <w:rPr>
          <w:rFonts w:hint="eastAsia" w:eastAsia="方正仿宋_GBK"/>
          <w:sz w:val="28"/>
          <w:lang w:eastAsia="zh-CN"/>
        </w:rPr>
        <w:t>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大贡献。</w:t>
      </w:r>
    </w:p>
    <w:p>
      <w:pPr>
        <w:spacing w:line="15" w:lineRule="atLeast"/>
        <w:ind w:firstLine="560" w:firstLineChars="200"/>
        <w:rPr>
          <w:rFonts w:hint="eastAsia" w:eastAsia="方正仿宋_GBK"/>
          <w:sz w:val="28"/>
          <w:lang w:eastAsia="zh-CN"/>
        </w:rPr>
      </w:pPr>
    </w:p>
    <w:p>
      <w:pPr>
        <w:spacing w:line="15" w:lineRule="atLeast"/>
        <w:ind w:firstLine="560" w:firstLineChars="200"/>
        <w:rPr>
          <w:rFonts w:hint="eastAsia" w:eastAsia="方正仿宋_GBK"/>
          <w:sz w:val="28"/>
          <w:lang w:eastAsia="zh-CN"/>
        </w:rPr>
      </w:pPr>
    </w:p>
    <w:p>
      <w:pPr>
        <w:spacing w:line="15" w:lineRule="atLeast"/>
        <w:ind w:firstLine="560" w:firstLineChars="200"/>
        <w:rPr>
          <w:rFonts w:hint="eastAsia" w:eastAsia="方正仿宋_GBK"/>
          <w:sz w:val="28"/>
          <w:lang w:eastAsia="zh-CN"/>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河北省隆尧县气象局本级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反映本部门当年地方财政拨款全部收入。2025年预算收入24.93万元，其中：一般公共预算收入24.93万元，财政专户核拨收入0万元，其他来源收入0万元。</w:t>
      </w:r>
    </w:p>
    <w:p>
      <w:pPr>
        <w:pStyle w:val="19"/>
      </w:pPr>
      <w:r>
        <w:t>2、支出说明</w:t>
      </w:r>
    </w:p>
    <w:p>
      <w:pPr>
        <w:pStyle w:val="19"/>
      </w:pPr>
      <w:r>
        <w:t>收支预算总表支出栏、基本支出表、项目支出表按经济分类和支出功能分类科目编制，反映河北省隆尧县气象局年度部门预算中支出预算的总体情况。2025年部门支出预算为24.93万元，其中人员经费18.93万元；项目支出6万元，主要为气象专项经费6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2025年，我局运行经费共计安排24.93万元，主要用于保证机关正常运转的人员经费、区域站设备购置、维护维修、专用材料（火箭弹）及一般设备购置费、劳务费、线路租赁费等支出。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2025年，我局财政拨款“三公”经费预算安排0万元，其中因公出国（境）费0万元；公务用车购置及运维费0万元；公务接待费0万元。与2024年相比“三公”经费无增减变化。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隆尧县气象局全年开展气象灾害防御、面向公众的公共气象服务、面向行业的专业气象服务、面向农业的农业气象服务和人工影响天气等业务。通过持续支持，做至决策气象服务科学、及时、有效，且更具有针对性。保障国家突发事件预警信息发布系统安全、稳定运行。气象灾情上报系统安全有效运行,进一步提高灾情数据在效益评估方面的运用。通过12121、隆尧频道栏目播出等信息发布建设，提高公众气象服务覆盖面，提升气象信息服务质量。提升农业、重大活动等气象服务水平，强化关键农事季节、重大活动等气象服务保障能力，继续做好本区域内作物产量、重大活动预报。保障交通、旅游、林业、地质灾害等专业气象服务业务平台稳定运行。完成人工影响天气年度技术指导、作业指挥系统和平台运行、装备保障任务。公众和行业气象服务满意度保持在90分及以上。</w:t>
      </w:r>
    </w:p>
    <w:p>
      <w:pPr>
        <w:pStyle w:val="22"/>
      </w:pPr>
      <w:r>
        <w:t>开展气象为农服务能力提升建设。加强基层气象防灾减灾能力建设，提高气象灾害预警和应急联动响应能力，加强气象灾害风险预警服务；加强农业气象服务能力建设，发展基于“互联网+”的智慧农业气象服务，强化“直通式”农业气象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1.气象灾害防御能力建设进一步完善</w:t>
      </w:r>
    </w:p>
    <w:p>
      <w:pPr>
        <w:pStyle w:val="23"/>
      </w:pPr>
      <w:r>
        <w:t>绩效目标：提高气象灾害防御能力，避免、减轻气象灾害风险和损失，保障人民生命财产安全，促进经济社会发展。</w:t>
      </w:r>
    </w:p>
    <w:p>
      <w:pPr>
        <w:pStyle w:val="23"/>
      </w:pPr>
      <w:r>
        <w:t>绩效指标：建设完善的气象灾害监测站网，保障全市气象灾害监测站网和装备、通信网络正常运行，观测设备正常运行率达95%以上，气象资料传输率达98%以上，定期巡检次数不少于6次；建设完善突发公共事件预警信息发布系统，保障突发公共事件预警信息发布系统稳定运行，正常运行率达95%以上，全年发布成功率达90%以上；新建改建扩建建筑物防雷装置设计技术评价应评必评，新建改建扩建建筑物防雷装置应检必检。</w:t>
      </w:r>
    </w:p>
    <w:p>
      <w:pPr>
        <w:pStyle w:val="23"/>
      </w:pPr>
      <w:r>
        <w:t>2.气象服务水平进一步提高</w:t>
      </w:r>
    </w:p>
    <w:p>
      <w:pPr>
        <w:pStyle w:val="23"/>
      </w:pPr>
      <w:r>
        <w:t>绩效目标： 提高公共气象服务水平，丰富专业气象预报产品，提高人工增雨作业水平和抗旱救灾等能力。</w:t>
      </w:r>
    </w:p>
    <w:p>
      <w:pPr>
        <w:pStyle w:val="23"/>
      </w:pPr>
      <w:r>
        <w:t>绩效指标：加强农业、交通、能源、旅游、城市、生态等专业气象服务，开展重大活动气象保障服务，提高我市防灾减灾气象服务水平，提升气象保障经济发展的能力，实现气象服务产品多样化、精细化，提供信息准确率90%以上，信息及时率95%以上，公众服务满意度达90%。</w:t>
      </w:r>
    </w:p>
    <w:p>
      <w:pPr>
        <w:pStyle w:val="23"/>
      </w:pPr>
      <w:r>
        <w:t>3.气象政务管理进一步完善</w:t>
      </w:r>
    </w:p>
    <w:p>
      <w:pPr>
        <w:pStyle w:val="23"/>
      </w:pPr>
      <w:r>
        <w:t>绩效目标：建立高效、便民的气象依法行政体系和气象灾害防御体系，管理能力和水平显著提高。</w:t>
      </w:r>
    </w:p>
    <w:p>
      <w:pPr>
        <w:pStyle w:val="23"/>
      </w:pPr>
      <w:r>
        <w:t>绩效指标： 综合事务管理完成率95%以上。</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1302"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cs="Times New Roman"/>
          <w:sz w:val="28"/>
          <w:lang w:eastAsia="zh-CN"/>
        </w:rPr>
        <w:t>202</w:t>
      </w:r>
      <w:r>
        <w:rPr>
          <w:rFonts w:hint="eastAsia" w:eastAsia="方正仿宋_GBK" w:cs="Times New Roman"/>
          <w:sz w:val="28"/>
          <w:lang w:val="en-US" w:eastAsia="zh-CN"/>
        </w:rPr>
        <w:t>5</w:t>
      </w:r>
      <w:r>
        <w:rPr>
          <w:rFonts w:hint="eastAsia" w:eastAsia="方正仿宋_GBK" w:cs="Times New Roman"/>
          <w:sz w:val="28"/>
          <w:lang w:eastAsia="zh-CN"/>
        </w:rPr>
        <w:t>年我单位无专项资金。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1、气象专项经费绩效目标表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13052525P00000410260R</w:t>
            </w:r>
          </w:p>
        </w:tc>
        <w:tc>
          <w:tcPr>
            <w:tcW w:w="2835" w:type="dxa"/>
            <w:vAlign w:val="center"/>
          </w:tcPr>
          <w:p>
            <w:pPr>
              <w:pStyle w:val="11"/>
            </w:pPr>
            <w:r>
              <w:t>项目名称</w:t>
            </w:r>
          </w:p>
        </w:tc>
        <w:tc>
          <w:tcPr>
            <w:tcW w:w="6095" w:type="dxa"/>
            <w:gridSpan w:val="3"/>
            <w:vAlign w:val="center"/>
          </w:tcPr>
          <w:p>
            <w:pPr>
              <w:pStyle w:val="13"/>
            </w:pPr>
            <w:r>
              <w:t>气象专项经费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用于人工增雨（雪）作业各项经费，发布气象预报预警信息。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1.有县领导批示，用于人工增雨（雪）作业各项经费。提高公共气象服务水平，丰富专业气象产品，提高人工增雨水平和抗旱救灾等能力。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人工增雨（雪）飞机作业时间</w:t>
            </w:r>
          </w:p>
        </w:tc>
        <w:tc>
          <w:tcPr>
            <w:tcW w:w="5386" w:type="dxa"/>
            <w:vAlign w:val="center"/>
          </w:tcPr>
          <w:p>
            <w:pPr>
              <w:pStyle w:val="13"/>
            </w:pPr>
            <w:r>
              <w:t>人工增雨（雪）飞机作业时间不少于4小时。</w:t>
            </w:r>
          </w:p>
        </w:tc>
        <w:tc>
          <w:tcPr>
            <w:tcW w:w="2268" w:type="dxa"/>
            <w:vAlign w:val="center"/>
          </w:tcPr>
          <w:p>
            <w:pPr>
              <w:pStyle w:val="13"/>
            </w:pPr>
            <w:r>
              <w:t>≥4小时</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人影综合业务平台运行稳定</w:t>
            </w:r>
          </w:p>
        </w:tc>
        <w:tc>
          <w:tcPr>
            <w:tcW w:w="5386" w:type="dxa"/>
            <w:vAlign w:val="center"/>
          </w:tcPr>
          <w:p>
            <w:pPr>
              <w:pStyle w:val="13"/>
            </w:pPr>
            <w:r>
              <w:t>人影综合业务平台运行故障率低于10%</w:t>
            </w:r>
          </w:p>
        </w:tc>
        <w:tc>
          <w:tcPr>
            <w:tcW w:w="2268" w:type="dxa"/>
            <w:vAlign w:val="center"/>
          </w:tcPr>
          <w:p>
            <w:pPr>
              <w:pStyle w:val="13"/>
            </w:pPr>
            <w:r>
              <w:t>≤10百分数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人影作业方案制定</w:t>
            </w:r>
          </w:p>
        </w:tc>
        <w:tc>
          <w:tcPr>
            <w:tcW w:w="5386" w:type="dxa"/>
            <w:vAlign w:val="center"/>
          </w:tcPr>
          <w:p>
            <w:pPr>
              <w:pStyle w:val="13"/>
            </w:pPr>
            <w:r>
              <w:t>年初人影作业方案制定完成100%</w:t>
            </w:r>
          </w:p>
        </w:tc>
        <w:tc>
          <w:tcPr>
            <w:tcW w:w="2268" w:type="dxa"/>
            <w:vAlign w:val="center"/>
          </w:tcPr>
          <w:p>
            <w:pPr>
              <w:pStyle w:val="13"/>
            </w:pPr>
            <w:r>
              <w:t>年初制定完成</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该项目全年成本</w:t>
            </w:r>
          </w:p>
        </w:tc>
        <w:tc>
          <w:tcPr>
            <w:tcW w:w="5386" w:type="dxa"/>
            <w:vAlign w:val="center"/>
          </w:tcPr>
          <w:p>
            <w:pPr>
              <w:pStyle w:val="13"/>
            </w:pPr>
            <w:r>
              <w:t>人工影响天气在预算成本控制内完成达100%</w:t>
            </w:r>
          </w:p>
        </w:tc>
        <w:tc>
          <w:tcPr>
            <w:tcW w:w="2268" w:type="dxa"/>
            <w:vAlign w:val="center"/>
          </w:tcPr>
          <w:p>
            <w:pPr>
              <w:pStyle w:val="13"/>
            </w:pPr>
            <w:r>
              <w:t>按预算完成</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发布气象预报预警信息数</w:t>
            </w:r>
          </w:p>
        </w:tc>
        <w:tc>
          <w:tcPr>
            <w:tcW w:w="5386" w:type="dxa"/>
            <w:vAlign w:val="center"/>
          </w:tcPr>
          <w:p>
            <w:pPr>
              <w:pStyle w:val="13"/>
            </w:pPr>
            <w:r>
              <w:t>发布气象预报预警信息数</w:t>
            </w:r>
          </w:p>
        </w:tc>
        <w:tc>
          <w:tcPr>
            <w:tcW w:w="2268" w:type="dxa"/>
            <w:vAlign w:val="center"/>
          </w:tcPr>
          <w:p>
            <w:pPr>
              <w:pStyle w:val="13"/>
            </w:pPr>
            <w:r>
              <w:t>≥90万条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气象预报预警短信接收及时性</w:t>
            </w:r>
          </w:p>
        </w:tc>
        <w:tc>
          <w:tcPr>
            <w:tcW w:w="5386" w:type="dxa"/>
            <w:vAlign w:val="center"/>
          </w:tcPr>
          <w:p>
            <w:pPr>
              <w:pStyle w:val="13"/>
            </w:pPr>
            <w:r>
              <w:t>气象预报预警短信接收及时性</w:t>
            </w:r>
          </w:p>
        </w:tc>
        <w:tc>
          <w:tcPr>
            <w:tcW w:w="2268" w:type="dxa"/>
            <w:vAlign w:val="center"/>
          </w:tcPr>
          <w:p>
            <w:pPr>
              <w:pStyle w:val="13"/>
            </w:pPr>
            <w:r>
              <w:t>≤10分钟</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环境修复生态效益</w:t>
            </w:r>
          </w:p>
        </w:tc>
        <w:tc>
          <w:tcPr>
            <w:tcW w:w="5386" w:type="dxa"/>
            <w:vAlign w:val="center"/>
          </w:tcPr>
          <w:p>
            <w:pPr>
              <w:pStyle w:val="13"/>
            </w:pPr>
            <w:r>
              <w:t>对当地生态环境修复产生积极影响80%</w:t>
            </w:r>
          </w:p>
        </w:tc>
        <w:tc>
          <w:tcPr>
            <w:tcW w:w="2268" w:type="dxa"/>
            <w:vAlign w:val="center"/>
          </w:tcPr>
          <w:p>
            <w:pPr>
              <w:pStyle w:val="13"/>
            </w:pPr>
            <w:r>
              <w:t>≥80百分数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人工影响天气影响地区人民群众问卷调查满意度90%</w:t>
            </w:r>
          </w:p>
        </w:tc>
        <w:tc>
          <w:tcPr>
            <w:tcW w:w="2268" w:type="dxa"/>
            <w:vAlign w:val="center"/>
          </w:tcPr>
          <w:p>
            <w:pPr>
              <w:pStyle w:val="13"/>
            </w:pPr>
            <w:r>
              <w:t>≥90百分数</w:t>
            </w:r>
          </w:p>
        </w:tc>
        <w:tc>
          <w:tcPr>
            <w:tcW w:w="1276" w:type="dxa"/>
            <w:vAlign w:val="center"/>
          </w:tcPr>
          <w:p>
            <w:pPr>
              <w:pStyle w:val="13"/>
            </w:pPr>
            <w:r>
              <w:t>年度工作计划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2、人员运行经费绩效目标表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13052525P000002100018</w:t>
            </w:r>
          </w:p>
        </w:tc>
        <w:tc>
          <w:tcPr>
            <w:tcW w:w="2835" w:type="dxa"/>
            <w:vAlign w:val="center"/>
          </w:tcPr>
          <w:p>
            <w:pPr>
              <w:pStyle w:val="11"/>
            </w:pPr>
            <w:r>
              <w:t>项目名称</w:t>
            </w:r>
          </w:p>
        </w:tc>
        <w:tc>
          <w:tcPr>
            <w:tcW w:w="6095" w:type="dxa"/>
            <w:gridSpan w:val="3"/>
            <w:vAlign w:val="center"/>
          </w:tcPr>
          <w:p>
            <w:pPr>
              <w:pStyle w:val="13"/>
            </w:pPr>
            <w:r>
              <w:t>人员运行经费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18.93</w:t>
            </w:r>
          </w:p>
        </w:tc>
        <w:tc>
          <w:tcPr>
            <w:tcW w:w="2835" w:type="dxa"/>
            <w:vAlign w:val="center"/>
          </w:tcPr>
          <w:p>
            <w:pPr>
              <w:pStyle w:val="11"/>
            </w:pPr>
            <w:r>
              <w:t>其中：财政    资金</w:t>
            </w:r>
          </w:p>
        </w:tc>
        <w:tc>
          <w:tcPr>
            <w:tcW w:w="2551" w:type="dxa"/>
            <w:vAlign w:val="center"/>
          </w:tcPr>
          <w:p>
            <w:pPr>
              <w:pStyle w:val="13"/>
            </w:pPr>
            <w:r>
              <w:t>18.93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在职人员津贴，绩效工资，绩效月标准工资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55%</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1.在职人员津贴，绩效月标准工资。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气象人员培养数量</w:t>
            </w:r>
          </w:p>
        </w:tc>
        <w:tc>
          <w:tcPr>
            <w:tcW w:w="5386" w:type="dxa"/>
            <w:vAlign w:val="center"/>
          </w:tcPr>
          <w:p>
            <w:pPr>
              <w:pStyle w:val="13"/>
            </w:pPr>
            <w:r>
              <w:t>气象人员培养数量每年人数</w:t>
            </w:r>
          </w:p>
        </w:tc>
        <w:tc>
          <w:tcPr>
            <w:tcW w:w="2268" w:type="dxa"/>
            <w:vAlign w:val="center"/>
          </w:tcPr>
          <w:p>
            <w:pPr>
              <w:pStyle w:val="13"/>
            </w:pPr>
            <w:r>
              <w:t>8人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气象人员素质</w:t>
            </w:r>
          </w:p>
        </w:tc>
        <w:tc>
          <w:tcPr>
            <w:tcW w:w="5386" w:type="dxa"/>
            <w:vAlign w:val="center"/>
          </w:tcPr>
          <w:p>
            <w:pPr>
              <w:pStyle w:val="13"/>
            </w:pPr>
            <w:r>
              <w:t>气象人员素质教育覆盖率</w:t>
            </w:r>
          </w:p>
        </w:tc>
        <w:tc>
          <w:tcPr>
            <w:tcW w:w="2268" w:type="dxa"/>
            <w:vAlign w:val="center"/>
          </w:tcPr>
          <w:p>
            <w:pPr>
              <w:pStyle w:val="13"/>
            </w:pPr>
            <w:r>
              <w:t>≥98%</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气象人员工作建设时效</w:t>
            </w:r>
          </w:p>
        </w:tc>
        <w:tc>
          <w:tcPr>
            <w:tcW w:w="5386" w:type="dxa"/>
            <w:vAlign w:val="center"/>
          </w:tcPr>
          <w:p>
            <w:pPr>
              <w:pStyle w:val="13"/>
            </w:pPr>
            <w:r>
              <w:t>气象人员工作建设时效</w:t>
            </w:r>
          </w:p>
        </w:tc>
        <w:tc>
          <w:tcPr>
            <w:tcW w:w="2268" w:type="dxa"/>
            <w:vAlign w:val="center"/>
          </w:tcPr>
          <w:p>
            <w:pPr>
              <w:pStyle w:val="13"/>
            </w:pPr>
            <w:r>
              <w:t>≤12月</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气象人员运行成本</w:t>
            </w:r>
          </w:p>
        </w:tc>
        <w:tc>
          <w:tcPr>
            <w:tcW w:w="5386" w:type="dxa"/>
            <w:vAlign w:val="center"/>
          </w:tcPr>
          <w:p>
            <w:pPr>
              <w:pStyle w:val="13"/>
            </w:pPr>
            <w:r>
              <w:t>气象人员运行预算完成情况</w:t>
            </w:r>
          </w:p>
        </w:tc>
        <w:tc>
          <w:tcPr>
            <w:tcW w:w="2268" w:type="dxa"/>
            <w:vAlign w:val="center"/>
          </w:tcPr>
          <w:p>
            <w:pPr>
              <w:pStyle w:val="13"/>
            </w:pPr>
            <w:r>
              <w:t>≤18.93万元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对气象事业发展的影响</w:t>
            </w:r>
          </w:p>
        </w:tc>
        <w:tc>
          <w:tcPr>
            <w:tcW w:w="5386" w:type="dxa"/>
            <w:vAlign w:val="center"/>
          </w:tcPr>
          <w:p>
            <w:pPr>
              <w:pStyle w:val="13"/>
            </w:pPr>
            <w:r>
              <w:t>能保障气象事业可持续发展，保障人员运行的各项资金。</w:t>
            </w:r>
          </w:p>
        </w:tc>
        <w:tc>
          <w:tcPr>
            <w:tcW w:w="2268" w:type="dxa"/>
            <w:vAlign w:val="center"/>
          </w:tcPr>
          <w:p>
            <w:pPr>
              <w:pStyle w:val="13"/>
            </w:pPr>
            <w:r>
              <w:t>能保障气象事业可持续发展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气象人员构成</w:t>
            </w:r>
          </w:p>
        </w:tc>
        <w:tc>
          <w:tcPr>
            <w:tcW w:w="5386" w:type="dxa"/>
            <w:vAlign w:val="center"/>
          </w:tcPr>
          <w:p>
            <w:pPr>
              <w:pStyle w:val="13"/>
            </w:pPr>
            <w:r>
              <w:t>气象人员满意度100%</w:t>
            </w:r>
          </w:p>
        </w:tc>
        <w:tc>
          <w:tcPr>
            <w:tcW w:w="2268" w:type="dxa"/>
            <w:vAlign w:val="center"/>
          </w:tcPr>
          <w:p>
            <w:pPr>
              <w:pStyle w:val="13"/>
            </w:pPr>
            <w:r>
              <w:t>≥98%</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906河北省隆尧县气象局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906河北省隆尧县气象局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05495A"/>
    <w:rsid w:val="27B46B68"/>
    <w:rsid w:val="2F5D4927"/>
    <w:rsid w:val="75574672"/>
    <w:rsid w:val="77D630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6220</Words>
  <Characters>6747</Characters>
  <TotalTime>8</TotalTime>
  <ScaleCrop>false</ScaleCrop>
  <LinksUpToDate>false</LinksUpToDate>
  <CharactersWithSpaces>6883</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2025-02-27T17:42:00Z</dcterms:created>
  <dc:creator>CONG</dc:creator>
  <cp:lastModifiedBy>lyqx</cp:lastModifiedBy>
  <dcterms:modified xsi:type="dcterms:W3CDTF">2025-02-28T08:24:05Z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eyJoZGlkIjoiN2YwNTM0OGRhNmRiNTgwYzNmZTNkYjkzYjcxY2U0YzgiLCJ1c2VySWQiOiIxMTIyNDAwNDk4In0=</vt:lpwstr>
  </property>
  <property fmtid="{D5CDD505-2E9C-101B-9397-08002B2CF9AE}" pid="3" name="KSOProductBuildVer">
    <vt:lpwstr>2052-11.8.2.11978</vt:lpwstr>
  </property>
  <property fmtid="{D5CDD505-2E9C-101B-9397-08002B2CF9AE}" pid="4" name="ICV">
    <vt:lpwstr>563EEB24F2D64331BB7AD3CB697B7069</vt:lpwstr>
  </property>
</Properties>
</file>