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7A20C4">
      <w:pPr>
        <w:spacing w:line="480" w:lineRule="exact"/>
        <w:jc w:val="center"/>
        <w:rPr>
          <w:rFonts w:hint="eastAsia" w:ascii="宋体" w:hAnsi="宋体"/>
          <w:b/>
          <w:sz w:val="44"/>
          <w:szCs w:val="44"/>
        </w:rPr>
      </w:pPr>
    </w:p>
    <w:p w14:paraId="69BBAEB9">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民政局</w:t>
      </w:r>
      <w:r>
        <w:rPr>
          <w:rFonts w:hint="eastAsia" w:ascii="宋体" w:hAnsi="宋体"/>
          <w:b/>
          <w:sz w:val="44"/>
          <w:szCs w:val="44"/>
        </w:rPr>
        <w:t>2021年</w:t>
      </w:r>
    </w:p>
    <w:p w14:paraId="61428A70">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098EBB3A">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1B6F18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6E0C575">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86B245D">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1EBF31B3">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2BA209B2">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2D9228BE">
            <w:pPr>
              <w:widowControl/>
              <w:spacing w:line="240" w:lineRule="exact"/>
              <w:jc w:val="left"/>
              <w:rPr>
                <w:b/>
              </w:rPr>
            </w:pPr>
            <w:r>
              <w:rPr>
                <w:rFonts w:ascii="仿宋_GB2312" w:hAnsi="新宋体" w:eastAsia="仿宋_GB2312" w:cs="仿宋_GB2312"/>
                <w:b/>
                <w:kern w:val="0"/>
                <w:sz w:val="24"/>
                <w:szCs w:val="24"/>
              </w:rPr>
              <w:t>得分</w:t>
            </w:r>
          </w:p>
        </w:tc>
      </w:tr>
      <w:tr w14:paraId="6CAEE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E2A7B7A">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DD355C9">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5A8B1F6">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17B06D21">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311AFDD3">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5332A529">
            <w:pPr>
              <w:rPr>
                <w:rFonts w:ascii="宋体"/>
                <w:szCs w:val="21"/>
              </w:rPr>
            </w:pPr>
          </w:p>
        </w:tc>
      </w:tr>
      <w:tr w14:paraId="3A9031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3BFBC6D">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3C8E7CAE">
            <w:pPr>
              <w:widowControl/>
              <w:spacing w:line="240" w:lineRule="exact"/>
              <w:jc w:val="left"/>
              <w:rPr>
                <w:szCs w:val="21"/>
              </w:rPr>
            </w:pPr>
          </w:p>
        </w:tc>
      </w:tr>
      <w:tr w14:paraId="251FED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723C554">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12C5A2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4B8D8A85">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BDFF889">
            <w:pPr>
              <w:widowControl/>
              <w:spacing w:line="240" w:lineRule="exact"/>
              <w:jc w:val="left"/>
              <w:rPr>
                <w:rFonts w:ascii="仿宋_GB2312" w:hAnsi="新宋体" w:eastAsia="仿宋_GB2312" w:cs="仿宋_GB2312"/>
                <w:kern w:val="0"/>
                <w:szCs w:val="21"/>
              </w:rPr>
            </w:pPr>
          </w:p>
          <w:p w14:paraId="5106079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634DEABC">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A2D7911">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7D77C110">
            <w:pPr>
              <w:widowControl/>
              <w:spacing w:line="240" w:lineRule="exact"/>
              <w:jc w:val="left"/>
              <w:rPr>
                <w:szCs w:val="21"/>
              </w:rPr>
            </w:pPr>
            <w:r>
              <w:rPr>
                <w:rFonts w:ascii="仿宋_GB2312" w:hAnsi="新宋体" w:eastAsia="仿宋_GB2312" w:cs="仿宋_GB2312"/>
                <w:kern w:val="0"/>
                <w:szCs w:val="21"/>
              </w:rPr>
              <w:t>符合（1）；</w:t>
            </w:r>
          </w:p>
          <w:p w14:paraId="2EBD9D6D">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643D8044">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256A8F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02E388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87D6FA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78F6DD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09831E9C">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DCAF504">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49FB7C06">
            <w:pPr>
              <w:widowControl/>
              <w:spacing w:line="240" w:lineRule="exact"/>
              <w:jc w:val="left"/>
              <w:rPr>
                <w:szCs w:val="21"/>
              </w:rPr>
            </w:pPr>
            <w:r>
              <w:rPr>
                <w:rFonts w:ascii="仿宋_GB2312" w:hAnsi="新宋体" w:eastAsia="仿宋_GB2312" w:cs="仿宋_GB2312"/>
                <w:kern w:val="0"/>
                <w:szCs w:val="21"/>
              </w:rPr>
              <w:t>评价要点：</w:t>
            </w:r>
          </w:p>
          <w:p w14:paraId="2E52D8C6">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42746992">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C565EE0">
            <w:pPr>
              <w:widowControl/>
              <w:spacing w:line="240" w:lineRule="exact"/>
              <w:jc w:val="left"/>
              <w:rPr>
                <w:szCs w:val="21"/>
              </w:rPr>
            </w:pPr>
            <w:r>
              <w:rPr>
                <w:rFonts w:ascii="仿宋_GB2312" w:hAnsi="新宋体" w:eastAsia="仿宋_GB2312" w:cs="仿宋_GB2312"/>
                <w:kern w:val="0"/>
                <w:szCs w:val="21"/>
              </w:rPr>
              <w:t>全部符合（2）；</w:t>
            </w:r>
          </w:p>
          <w:p w14:paraId="1282F8CC">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4235ED54">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9B270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A4E0AF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6A33C33">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3EF1C72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750CD168">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1D0F744">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2FD51D3">
            <w:pPr>
              <w:widowControl/>
              <w:spacing w:line="240" w:lineRule="exact"/>
              <w:jc w:val="left"/>
              <w:rPr>
                <w:szCs w:val="21"/>
              </w:rPr>
            </w:pPr>
            <w:r>
              <w:rPr>
                <w:rFonts w:ascii="仿宋_GB2312" w:hAnsi="新宋体" w:eastAsia="仿宋_GB2312" w:cs="仿宋_GB2312"/>
                <w:kern w:val="0"/>
                <w:szCs w:val="21"/>
              </w:rPr>
              <w:t>评价要点：</w:t>
            </w:r>
          </w:p>
          <w:p w14:paraId="69072A95">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2C0D5C1A">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266EB238">
            <w:pPr>
              <w:widowControl/>
              <w:spacing w:line="240" w:lineRule="exact"/>
              <w:jc w:val="left"/>
              <w:rPr>
                <w:szCs w:val="21"/>
              </w:rPr>
            </w:pPr>
            <w:r>
              <w:rPr>
                <w:rFonts w:ascii="仿宋_GB2312" w:hAnsi="新宋体" w:eastAsia="仿宋_GB2312" w:cs="仿宋_GB2312"/>
                <w:kern w:val="0"/>
                <w:szCs w:val="21"/>
              </w:rPr>
              <w:t>全部符合（2）；</w:t>
            </w:r>
          </w:p>
          <w:p w14:paraId="1DFE3E2F">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859E81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723B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06C37A3">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591D1A91">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743E75ED">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7C0463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3077B68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2B1FE25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30B911B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0BD739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4D319B1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379FF5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1B4FD7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BEF192E">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75908B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46539697">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21F6963C">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DB27DD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3757C25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1D6D78A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50037C5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6773064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3DE65D1E">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5072E8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DD585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4C2082FB">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6E35D4B3">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71FC6E53">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606AF941">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2D0A9E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08D9CC3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63FCA8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1FAD2F2C">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39843BE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7AE22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D602B77">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A78DF8F">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6619D4F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3E42063E">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FF3C33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7EE335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E2374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5CC613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1C11AD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6C899D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76EE20B">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A3134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B327D1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E28687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1E2C0F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0AEE76B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DE1B528">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3E21609">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BDAB6B0">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48926FC1">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0570F0A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399F711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14E0CC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C97B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E7D7A4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6EA72E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F9AF362">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26CFF58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6048445">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5EB35005">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76569464">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458ED586">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7EADA50A">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5A63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2F3C2D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A731CA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33FB4D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6D490C2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0C53F3C4">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98B34FC">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7880291E">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D06C5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046F8E7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183F2CB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BD03B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7748B0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1BA2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46E4AB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FC1799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04C8BE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5280AA1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359FE25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C601FC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3244188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2B926CD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02F3C58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6A27E43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016E3A3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05CE2E8">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80DB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5695E3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DDE31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EDD638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5F22487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6AF1A0C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4B086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106BF3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E53E0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11CB7A7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41A941B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302763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3BCB479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DAAC9E0">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56BFC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46DFC47">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852B2D2">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39D26CA3">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52D27C9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6E595E9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6D84B385">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4D00857">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7042B4F9">
            <w:pPr>
              <w:widowControl/>
              <w:spacing w:line="240" w:lineRule="exact"/>
              <w:jc w:val="left"/>
              <w:rPr>
                <w:szCs w:val="21"/>
              </w:rPr>
            </w:pPr>
            <w:r>
              <w:rPr>
                <w:rFonts w:ascii="仿宋_GB2312" w:hAnsi="新宋体" w:eastAsia="仿宋_GB2312" w:cs="仿宋_GB2312"/>
                <w:kern w:val="0"/>
                <w:szCs w:val="21"/>
              </w:rPr>
              <w:t>评价要点：</w:t>
            </w:r>
          </w:p>
          <w:p w14:paraId="7186B121">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9108366">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3E596FA3">
            <w:pPr>
              <w:widowControl/>
              <w:spacing w:line="240" w:lineRule="exact"/>
              <w:jc w:val="left"/>
              <w:rPr>
                <w:szCs w:val="21"/>
              </w:rPr>
            </w:pPr>
            <w:r>
              <w:rPr>
                <w:rFonts w:ascii="仿宋_GB2312" w:hAnsi="新宋体" w:eastAsia="仿宋_GB2312" w:cs="仿宋_GB2312"/>
                <w:kern w:val="0"/>
                <w:szCs w:val="21"/>
              </w:rPr>
              <w:t>3.项目的重大开支经过评估论证；</w:t>
            </w:r>
          </w:p>
          <w:p w14:paraId="0D0468BF">
            <w:pPr>
              <w:widowControl/>
              <w:spacing w:line="240" w:lineRule="exact"/>
              <w:jc w:val="left"/>
              <w:rPr>
                <w:szCs w:val="21"/>
              </w:rPr>
            </w:pPr>
            <w:r>
              <w:rPr>
                <w:rFonts w:ascii="仿宋_GB2312" w:hAnsi="新宋体" w:eastAsia="仿宋_GB2312" w:cs="仿宋_GB2312"/>
                <w:kern w:val="0"/>
                <w:szCs w:val="21"/>
              </w:rPr>
              <w:t>4.符合部门预算批复的用途；</w:t>
            </w:r>
          </w:p>
          <w:p w14:paraId="3DDB6735">
            <w:pPr>
              <w:widowControl/>
              <w:spacing w:line="240" w:lineRule="exact"/>
              <w:jc w:val="left"/>
              <w:rPr>
                <w:szCs w:val="21"/>
              </w:rPr>
            </w:pPr>
            <w:r>
              <w:rPr>
                <w:rFonts w:ascii="仿宋_GB2312" w:hAnsi="新宋体" w:eastAsia="仿宋_GB2312" w:cs="仿宋_GB2312"/>
                <w:kern w:val="0"/>
                <w:szCs w:val="21"/>
              </w:rPr>
              <w:t>5.不存在截留情况；</w:t>
            </w:r>
          </w:p>
          <w:p w14:paraId="23A1F63E">
            <w:pPr>
              <w:widowControl/>
              <w:spacing w:line="240" w:lineRule="exact"/>
              <w:jc w:val="left"/>
              <w:rPr>
                <w:szCs w:val="21"/>
              </w:rPr>
            </w:pPr>
            <w:r>
              <w:rPr>
                <w:rFonts w:ascii="仿宋_GB2312" w:hAnsi="新宋体" w:eastAsia="仿宋_GB2312" w:cs="仿宋_GB2312"/>
                <w:kern w:val="0"/>
                <w:szCs w:val="21"/>
              </w:rPr>
              <w:t>6.不存在挤占情况；</w:t>
            </w:r>
          </w:p>
          <w:p w14:paraId="0375FF1E">
            <w:pPr>
              <w:widowControl/>
              <w:spacing w:line="240" w:lineRule="exact"/>
              <w:jc w:val="left"/>
              <w:rPr>
                <w:szCs w:val="21"/>
              </w:rPr>
            </w:pPr>
            <w:r>
              <w:rPr>
                <w:rFonts w:ascii="仿宋_GB2312" w:hAnsi="新宋体" w:eastAsia="仿宋_GB2312" w:cs="仿宋_GB2312"/>
                <w:kern w:val="0"/>
                <w:szCs w:val="21"/>
              </w:rPr>
              <w:t>7.不存在挪用情况；</w:t>
            </w:r>
          </w:p>
          <w:p w14:paraId="68DE8367">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3027A045">
            <w:pPr>
              <w:widowControl/>
              <w:spacing w:line="240" w:lineRule="exact"/>
              <w:jc w:val="left"/>
              <w:rPr>
                <w:szCs w:val="21"/>
              </w:rPr>
            </w:pPr>
            <w:r>
              <w:rPr>
                <w:rFonts w:ascii="仿宋_GB2312" w:hAnsi="新宋体" w:eastAsia="仿宋_GB2312" w:cs="仿宋_GB2312"/>
                <w:kern w:val="0"/>
                <w:szCs w:val="21"/>
              </w:rPr>
              <w:t>全部符合（8）；</w:t>
            </w:r>
          </w:p>
          <w:p w14:paraId="5B3DADAC">
            <w:pPr>
              <w:widowControl/>
              <w:spacing w:line="240" w:lineRule="exact"/>
              <w:jc w:val="left"/>
              <w:rPr>
                <w:szCs w:val="21"/>
              </w:rPr>
            </w:pPr>
            <w:r>
              <w:rPr>
                <w:rFonts w:ascii="仿宋_GB2312" w:hAnsi="新宋体" w:eastAsia="仿宋_GB2312" w:cs="仿宋_GB2312"/>
                <w:kern w:val="0"/>
                <w:szCs w:val="21"/>
              </w:rPr>
              <w:t>符合其中七项（6）；</w:t>
            </w:r>
          </w:p>
          <w:p w14:paraId="493C4066">
            <w:pPr>
              <w:widowControl/>
              <w:spacing w:line="240" w:lineRule="exact"/>
              <w:jc w:val="left"/>
              <w:rPr>
                <w:szCs w:val="21"/>
              </w:rPr>
            </w:pPr>
            <w:r>
              <w:rPr>
                <w:rFonts w:ascii="仿宋_GB2312" w:hAnsi="新宋体" w:eastAsia="仿宋_GB2312" w:cs="仿宋_GB2312"/>
                <w:kern w:val="0"/>
                <w:szCs w:val="21"/>
              </w:rPr>
              <w:t>符合其中六项（4）；</w:t>
            </w:r>
          </w:p>
          <w:p w14:paraId="38ED4A3F">
            <w:pPr>
              <w:widowControl/>
              <w:spacing w:line="240" w:lineRule="exact"/>
              <w:jc w:val="left"/>
              <w:rPr>
                <w:szCs w:val="21"/>
              </w:rPr>
            </w:pPr>
            <w:r>
              <w:rPr>
                <w:rFonts w:ascii="仿宋_GB2312" w:hAnsi="新宋体" w:eastAsia="仿宋_GB2312" w:cs="仿宋_GB2312"/>
                <w:kern w:val="0"/>
                <w:szCs w:val="21"/>
              </w:rPr>
              <w:t>符合其中五项（2）；</w:t>
            </w:r>
          </w:p>
          <w:p w14:paraId="7ADA0E62">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8FFB9DA">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609EDD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01947C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543DC2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61E329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0CE4283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4E571880">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EC25E3D">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EF2D2E0">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3319354B">
            <w:pPr>
              <w:widowControl/>
              <w:spacing w:line="240" w:lineRule="exact"/>
              <w:jc w:val="left"/>
              <w:rPr>
                <w:szCs w:val="21"/>
              </w:rPr>
            </w:pPr>
            <w:r>
              <w:rPr>
                <w:rFonts w:ascii="仿宋_GB2312" w:hAnsi="新宋体" w:eastAsia="仿宋_GB2312" w:cs="仿宋_GB2312"/>
                <w:kern w:val="0"/>
                <w:szCs w:val="21"/>
              </w:rPr>
              <w:t>评价要点：</w:t>
            </w:r>
          </w:p>
          <w:p w14:paraId="3ED67231">
            <w:pPr>
              <w:widowControl/>
              <w:spacing w:line="240" w:lineRule="exact"/>
              <w:jc w:val="left"/>
              <w:rPr>
                <w:szCs w:val="21"/>
              </w:rPr>
            </w:pPr>
            <w:r>
              <w:rPr>
                <w:rFonts w:ascii="仿宋_GB2312" w:hAnsi="新宋体" w:eastAsia="仿宋_GB2312" w:cs="仿宋_GB2312"/>
                <w:kern w:val="0"/>
                <w:szCs w:val="21"/>
              </w:rPr>
              <w:t>1.公开预决算信息；</w:t>
            </w:r>
          </w:p>
          <w:p w14:paraId="62F7DCFF">
            <w:pPr>
              <w:widowControl/>
              <w:spacing w:line="240" w:lineRule="exact"/>
              <w:jc w:val="left"/>
              <w:rPr>
                <w:szCs w:val="21"/>
              </w:rPr>
            </w:pPr>
            <w:r>
              <w:rPr>
                <w:rFonts w:ascii="仿宋_GB2312" w:hAnsi="新宋体" w:eastAsia="仿宋_GB2312" w:cs="仿宋_GB2312"/>
                <w:kern w:val="0"/>
                <w:szCs w:val="21"/>
              </w:rPr>
              <w:t>2.按规定内容公开预决算信息；</w:t>
            </w:r>
          </w:p>
          <w:p w14:paraId="772B769D">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7610D26D">
            <w:pPr>
              <w:widowControl/>
              <w:spacing w:line="240" w:lineRule="exact"/>
              <w:jc w:val="left"/>
              <w:rPr>
                <w:szCs w:val="21"/>
              </w:rPr>
            </w:pPr>
            <w:r>
              <w:rPr>
                <w:rFonts w:ascii="仿宋_GB2312" w:hAnsi="新宋体" w:eastAsia="仿宋_GB2312" w:cs="仿宋_GB2312"/>
                <w:kern w:val="0"/>
                <w:szCs w:val="21"/>
              </w:rPr>
              <w:t>全部符合（3）；</w:t>
            </w:r>
          </w:p>
          <w:p w14:paraId="1925A722">
            <w:pPr>
              <w:widowControl/>
              <w:spacing w:line="240" w:lineRule="exact"/>
              <w:jc w:val="left"/>
              <w:rPr>
                <w:szCs w:val="21"/>
              </w:rPr>
            </w:pPr>
            <w:r>
              <w:rPr>
                <w:rFonts w:ascii="仿宋_GB2312" w:hAnsi="新宋体" w:eastAsia="仿宋_GB2312" w:cs="仿宋_GB2312"/>
                <w:kern w:val="0"/>
                <w:szCs w:val="21"/>
              </w:rPr>
              <w:t>符合其中两项（2）</w:t>
            </w:r>
          </w:p>
          <w:p w14:paraId="79E140BE">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0052408">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2E71A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F6ED8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DD5743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B1FE46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24EB75BF">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0EA82F5E">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199198">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334D8631">
            <w:pPr>
              <w:widowControl/>
              <w:spacing w:line="240" w:lineRule="exact"/>
              <w:jc w:val="left"/>
              <w:rPr>
                <w:szCs w:val="21"/>
              </w:rPr>
            </w:pPr>
            <w:r>
              <w:rPr>
                <w:rFonts w:ascii="仿宋_GB2312" w:hAnsi="新宋体" w:eastAsia="仿宋_GB2312" w:cs="仿宋_GB2312"/>
                <w:kern w:val="0"/>
                <w:szCs w:val="21"/>
              </w:rPr>
              <w:t>评价要点：</w:t>
            </w:r>
          </w:p>
          <w:p w14:paraId="4151C7BB">
            <w:pPr>
              <w:widowControl/>
              <w:spacing w:line="240" w:lineRule="exact"/>
              <w:jc w:val="left"/>
              <w:rPr>
                <w:szCs w:val="21"/>
              </w:rPr>
            </w:pPr>
            <w:r>
              <w:rPr>
                <w:rFonts w:ascii="仿宋_GB2312" w:hAnsi="新宋体" w:eastAsia="仿宋_GB2312" w:cs="仿宋_GB2312"/>
                <w:kern w:val="0"/>
                <w:szCs w:val="21"/>
              </w:rPr>
              <w:t>1.基本财务管理制度健全；</w:t>
            </w:r>
          </w:p>
          <w:p w14:paraId="7CE76965">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9132E35">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30E9ED62">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0993C17">
            <w:pPr>
              <w:widowControl/>
              <w:spacing w:line="240" w:lineRule="exact"/>
              <w:jc w:val="left"/>
              <w:rPr>
                <w:szCs w:val="21"/>
              </w:rPr>
            </w:pPr>
            <w:r>
              <w:rPr>
                <w:rFonts w:ascii="仿宋_GB2312" w:hAnsi="新宋体" w:eastAsia="仿宋_GB2312" w:cs="仿宋_GB2312"/>
                <w:kern w:val="0"/>
                <w:szCs w:val="21"/>
              </w:rPr>
              <w:t>符合全部四项（4）；</w:t>
            </w:r>
          </w:p>
          <w:p w14:paraId="488EE87A">
            <w:pPr>
              <w:widowControl/>
              <w:spacing w:line="240" w:lineRule="exact"/>
              <w:jc w:val="left"/>
              <w:rPr>
                <w:szCs w:val="21"/>
              </w:rPr>
            </w:pPr>
            <w:r>
              <w:rPr>
                <w:rFonts w:ascii="仿宋_GB2312" w:hAnsi="新宋体" w:eastAsia="仿宋_GB2312" w:cs="仿宋_GB2312"/>
                <w:kern w:val="0"/>
                <w:szCs w:val="21"/>
              </w:rPr>
              <w:t>符合其中三项（2）；</w:t>
            </w:r>
          </w:p>
          <w:p w14:paraId="5B29BE91">
            <w:pPr>
              <w:widowControl/>
              <w:spacing w:line="240" w:lineRule="exact"/>
              <w:jc w:val="left"/>
              <w:rPr>
                <w:szCs w:val="21"/>
              </w:rPr>
            </w:pPr>
            <w:r>
              <w:rPr>
                <w:rFonts w:ascii="仿宋_GB2312" w:hAnsi="新宋体" w:eastAsia="仿宋_GB2312" w:cs="仿宋_GB2312"/>
                <w:kern w:val="0"/>
                <w:szCs w:val="21"/>
              </w:rPr>
              <w:t>符合其中两项（1）；</w:t>
            </w:r>
          </w:p>
          <w:p w14:paraId="0E76AB90">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D786652">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4E7B50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4D993CE">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9CE2734">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7A02E06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7C1F245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24A8A31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24E1866">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6DC398DB">
            <w:pPr>
              <w:widowControl/>
              <w:spacing w:line="240" w:lineRule="exact"/>
              <w:jc w:val="left"/>
              <w:rPr>
                <w:szCs w:val="21"/>
              </w:rPr>
            </w:pPr>
            <w:r>
              <w:rPr>
                <w:rFonts w:ascii="仿宋_GB2312" w:hAnsi="新宋体" w:eastAsia="仿宋_GB2312" w:cs="仿宋_GB2312"/>
                <w:kern w:val="0"/>
                <w:szCs w:val="21"/>
              </w:rPr>
              <w:t>评价要点：</w:t>
            </w:r>
          </w:p>
          <w:p w14:paraId="6D665526">
            <w:pPr>
              <w:widowControl/>
              <w:spacing w:line="240" w:lineRule="exact"/>
              <w:jc w:val="left"/>
              <w:rPr>
                <w:szCs w:val="21"/>
              </w:rPr>
            </w:pPr>
            <w:r>
              <w:rPr>
                <w:rFonts w:ascii="仿宋_GB2312" w:hAnsi="新宋体" w:eastAsia="仿宋_GB2312" w:cs="仿宋_GB2312"/>
                <w:kern w:val="0"/>
                <w:szCs w:val="21"/>
              </w:rPr>
              <w:t>1.资产保存完整；</w:t>
            </w:r>
          </w:p>
          <w:p w14:paraId="5155ED6E">
            <w:pPr>
              <w:widowControl/>
              <w:spacing w:line="240" w:lineRule="exact"/>
              <w:jc w:val="left"/>
              <w:rPr>
                <w:szCs w:val="21"/>
              </w:rPr>
            </w:pPr>
            <w:r>
              <w:rPr>
                <w:rFonts w:ascii="仿宋_GB2312" w:hAnsi="新宋体" w:eastAsia="仿宋_GB2312" w:cs="仿宋_GB2312"/>
                <w:kern w:val="0"/>
                <w:szCs w:val="21"/>
              </w:rPr>
              <w:t>2.资产账务管理是否合规，</w:t>
            </w:r>
            <w:bookmarkStart w:id="1" w:name="_GoBack"/>
            <w:bookmarkEnd w:id="1"/>
            <w:r>
              <w:rPr>
                <w:rFonts w:hint="eastAsia" w:ascii="仿宋_GB2312" w:hAnsi="新宋体" w:eastAsia="仿宋_GB2312" w:cs="仿宋_GB2312"/>
                <w:kern w:val="0"/>
                <w:szCs w:val="21"/>
                <w:lang w:eastAsia="zh-CN"/>
              </w:rPr>
              <w:t>账实</w:t>
            </w:r>
            <w:r>
              <w:rPr>
                <w:rFonts w:ascii="仿宋_GB2312" w:hAnsi="新宋体" w:eastAsia="仿宋_GB2312" w:cs="仿宋_GB2312"/>
                <w:kern w:val="0"/>
                <w:szCs w:val="21"/>
              </w:rPr>
              <w:t>相符；</w:t>
            </w:r>
          </w:p>
          <w:p w14:paraId="0F229295">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17C9D23A">
            <w:pPr>
              <w:widowControl/>
              <w:spacing w:line="240" w:lineRule="exact"/>
              <w:jc w:val="left"/>
              <w:rPr>
                <w:szCs w:val="21"/>
              </w:rPr>
            </w:pPr>
            <w:r>
              <w:rPr>
                <w:rFonts w:ascii="仿宋_GB2312" w:hAnsi="新宋体" w:eastAsia="仿宋_GB2312" w:cs="仿宋_GB2312"/>
                <w:kern w:val="0"/>
                <w:szCs w:val="21"/>
              </w:rPr>
              <w:t>符合全部三项（3）；</w:t>
            </w:r>
          </w:p>
          <w:p w14:paraId="0D605298">
            <w:pPr>
              <w:widowControl/>
              <w:spacing w:line="240" w:lineRule="exact"/>
              <w:jc w:val="left"/>
              <w:rPr>
                <w:szCs w:val="21"/>
              </w:rPr>
            </w:pPr>
            <w:r>
              <w:rPr>
                <w:rFonts w:ascii="仿宋_GB2312" w:hAnsi="新宋体" w:eastAsia="仿宋_GB2312" w:cs="仿宋_GB2312"/>
                <w:kern w:val="0"/>
                <w:szCs w:val="21"/>
              </w:rPr>
              <w:t>符合其中两项（2）；</w:t>
            </w:r>
          </w:p>
          <w:p w14:paraId="254CF051">
            <w:pPr>
              <w:widowControl/>
              <w:spacing w:line="240" w:lineRule="exact"/>
              <w:jc w:val="left"/>
              <w:rPr>
                <w:szCs w:val="21"/>
              </w:rPr>
            </w:pPr>
            <w:r>
              <w:rPr>
                <w:rFonts w:ascii="仿宋_GB2312" w:hAnsi="新宋体" w:eastAsia="仿宋_GB2312" w:cs="仿宋_GB2312"/>
                <w:kern w:val="0"/>
                <w:szCs w:val="21"/>
              </w:rPr>
              <w:t>符合其中一项（1）；</w:t>
            </w:r>
          </w:p>
          <w:p w14:paraId="017A4E2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4367C95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47851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05CEBE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985436D">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5EF2D1E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29C8800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6DE427C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20A484A">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1D3A6C92">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50DFB2A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60BB702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6C0DE3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43B957C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3FA84BD">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3780467">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495BB7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2F33FFE">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AD24F4D">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5D0BE8C7">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6A292D8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5C56291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3D8CB77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994DB43">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6962832B">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0B552843">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1B4098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0244F7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2D2C7D6">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2A5B24A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1542FA74">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C6803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F642468">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04B6D9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745BF92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546711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18DBFD0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6F47175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3948B3C7">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4F5AE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7685311">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071771C7">
            <w:pPr>
              <w:widowControl/>
              <w:spacing w:line="240" w:lineRule="exact"/>
              <w:jc w:val="left"/>
              <w:rPr>
                <w:rFonts w:ascii="仿宋_GB2312" w:hAnsi="新宋体" w:eastAsia="仿宋_GB2312" w:cs="仿宋_GB2312"/>
                <w:kern w:val="0"/>
                <w:szCs w:val="21"/>
              </w:rPr>
            </w:pPr>
          </w:p>
          <w:p w14:paraId="3C08BDB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361CD1F9">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103A7D8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4640CA21">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7935628">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4F28B75E">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60EC100B">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B7D11C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10A56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9DAF51A">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7DDEA11F">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063D4B1">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73B51205">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892EFB4">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19D42095">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258C4353">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D263001">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B1D16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E89F257">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FA77561">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7B4B83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02CB5471">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70546D48">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44BD4766">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3C49748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C252863">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355AC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ED8C2A1">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B16E1BC">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18E1A75">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07AC9FE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1FE2812">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6E7D2827">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7CD4B9DF">
            <w:pPr>
              <w:widowControl/>
              <w:spacing w:line="240" w:lineRule="exact"/>
              <w:jc w:val="left"/>
              <w:rPr>
                <w:rFonts w:hint="eastAsia" w:eastAsiaTheme="minorEastAsia"/>
                <w:szCs w:val="21"/>
                <w:lang w:val="en-US" w:eastAsia="zh-CN"/>
              </w:rPr>
            </w:pPr>
            <w:r>
              <w:rPr>
                <w:rFonts w:hint="eastAsia"/>
                <w:szCs w:val="21"/>
                <w:lang w:val="en-US" w:eastAsia="zh-CN"/>
              </w:rPr>
              <w:t>3</w:t>
            </w:r>
          </w:p>
        </w:tc>
      </w:tr>
    </w:tbl>
    <w:p w14:paraId="2AC28F18">
      <w:pPr>
        <w:widowControl/>
        <w:spacing w:line="480" w:lineRule="exact"/>
        <w:jc w:val="left"/>
        <w:rPr>
          <w:rFonts w:ascii="仿宋" w:hAnsi="仿宋" w:eastAsia="仿宋" w:cs="仿宋"/>
          <w:kern w:val="0"/>
          <w:sz w:val="32"/>
          <w:szCs w:val="32"/>
          <w:shd w:val="clear" w:color="auto" w:fill="FFFFFF"/>
        </w:rPr>
      </w:pPr>
    </w:p>
    <w:p w14:paraId="7A6711D9">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民政局</w:t>
      </w:r>
    </w:p>
    <w:p w14:paraId="0EB68B6B">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3F407316">
      <w:pPr>
        <w:spacing w:line="360" w:lineRule="auto"/>
        <w:ind w:firstLine="663" w:firstLineChars="236"/>
        <w:rPr>
          <w:rFonts w:hint="eastAsia"/>
          <w:b/>
          <w:sz w:val="28"/>
          <w:szCs w:val="28"/>
          <w:lang w:eastAsia="zh-CN"/>
        </w:rPr>
      </w:pPr>
      <w:r>
        <w:rPr>
          <w:rFonts w:hint="eastAsia"/>
          <w:b/>
          <w:sz w:val="28"/>
          <w:szCs w:val="28"/>
          <w:lang w:eastAsia="zh-CN"/>
        </w:rPr>
        <w:t>一、单位职责</w:t>
      </w:r>
    </w:p>
    <w:p w14:paraId="2E07869F">
      <w:pPr>
        <w:spacing w:line="360" w:lineRule="auto"/>
        <w:ind w:firstLine="660" w:firstLineChars="236"/>
        <w:rPr>
          <w:rFonts w:hint="eastAsia"/>
          <w:sz w:val="28"/>
          <w:szCs w:val="28"/>
          <w:highlight w:val="none"/>
          <w:lang w:eastAsia="zh-CN"/>
        </w:rPr>
      </w:pPr>
      <w:r>
        <w:rPr>
          <w:rFonts w:hint="eastAsia"/>
          <w:sz w:val="28"/>
          <w:szCs w:val="28"/>
          <w:highlight w:val="none"/>
          <w:lang w:eastAsia="zh-CN"/>
        </w:rPr>
        <w:t>1、社会救助、救灾管理</w:t>
      </w:r>
    </w:p>
    <w:p w14:paraId="5D48B209">
      <w:pPr>
        <w:spacing w:line="360" w:lineRule="auto"/>
        <w:ind w:firstLine="660" w:firstLineChars="236"/>
        <w:rPr>
          <w:rFonts w:hint="eastAsia"/>
          <w:sz w:val="28"/>
          <w:szCs w:val="28"/>
          <w:highlight w:val="none"/>
          <w:lang w:eastAsia="zh-CN"/>
        </w:rPr>
      </w:pPr>
      <w:r>
        <w:rPr>
          <w:rFonts w:hint="eastAsia"/>
          <w:sz w:val="28"/>
          <w:szCs w:val="28"/>
          <w:highlight w:val="none"/>
          <w:lang w:eastAsia="zh-CN"/>
        </w:rPr>
        <w:t>负责城乡居民最低生活保障、特困供养、。完善城乡社会救助制度，实施分类救助，应保尽保,动态管理。</w:t>
      </w:r>
    </w:p>
    <w:p w14:paraId="7367D19F">
      <w:pPr>
        <w:spacing w:line="360" w:lineRule="auto"/>
        <w:ind w:firstLine="660" w:firstLineChars="236"/>
        <w:rPr>
          <w:rFonts w:hint="eastAsia"/>
          <w:sz w:val="28"/>
          <w:szCs w:val="28"/>
          <w:highlight w:val="none"/>
          <w:lang w:eastAsia="zh-CN"/>
        </w:rPr>
      </w:pPr>
      <w:r>
        <w:rPr>
          <w:rFonts w:hint="eastAsia"/>
          <w:sz w:val="28"/>
          <w:szCs w:val="28"/>
          <w:highlight w:val="none"/>
          <w:lang w:eastAsia="zh-CN"/>
        </w:rPr>
        <w:t>2、社会福利管理</w:t>
      </w:r>
    </w:p>
    <w:p w14:paraId="050B1C10">
      <w:pPr>
        <w:spacing w:line="360" w:lineRule="auto"/>
        <w:ind w:firstLine="660" w:firstLineChars="236"/>
        <w:rPr>
          <w:rFonts w:hint="eastAsia"/>
          <w:sz w:val="28"/>
          <w:szCs w:val="28"/>
          <w:highlight w:val="none"/>
          <w:lang w:eastAsia="zh-CN"/>
        </w:rPr>
      </w:pPr>
      <w:r>
        <w:rPr>
          <w:rFonts w:hint="eastAsia"/>
          <w:sz w:val="28"/>
          <w:szCs w:val="28"/>
          <w:highlight w:val="none"/>
          <w:lang w:eastAsia="zh-CN"/>
        </w:rPr>
        <w:t>对残疾人、孤儿、流浪乞讨人员、未成年人等特殊群体权益保护，发展慈善事业，推进殡葬改革，发行福利彩票，促进老龄事业发展。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w:t>
      </w:r>
    </w:p>
    <w:p w14:paraId="054BB090">
      <w:pPr>
        <w:spacing w:line="360" w:lineRule="auto"/>
        <w:ind w:firstLine="660" w:firstLineChars="236"/>
        <w:rPr>
          <w:rFonts w:hint="eastAsia"/>
          <w:sz w:val="28"/>
          <w:szCs w:val="28"/>
          <w:highlight w:val="none"/>
          <w:lang w:eastAsia="zh-CN"/>
        </w:rPr>
      </w:pPr>
      <w:r>
        <w:rPr>
          <w:rFonts w:hint="eastAsia"/>
          <w:sz w:val="28"/>
          <w:szCs w:val="28"/>
          <w:highlight w:val="none"/>
          <w:lang w:val="en-US" w:eastAsia="zh-CN"/>
        </w:rPr>
        <w:t>3</w:t>
      </w:r>
      <w:r>
        <w:rPr>
          <w:rFonts w:hint="eastAsia"/>
          <w:sz w:val="28"/>
          <w:szCs w:val="28"/>
          <w:highlight w:val="none"/>
          <w:lang w:eastAsia="zh-CN"/>
        </w:rPr>
        <w:t>、社会管理与服务</w:t>
      </w:r>
    </w:p>
    <w:p w14:paraId="2195A34E">
      <w:pPr>
        <w:spacing w:line="360" w:lineRule="auto"/>
        <w:ind w:firstLine="660" w:firstLineChars="236"/>
        <w:rPr>
          <w:rFonts w:hint="eastAsia"/>
          <w:sz w:val="28"/>
          <w:szCs w:val="28"/>
          <w:highlight w:val="none"/>
          <w:lang w:eastAsia="zh-CN"/>
        </w:rPr>
      </w:pPr>
      <w:r>
        <w:rPr>
          <w:rFonts w:hint="eastAsia"/>
          <w:sz w:val="28"/>
          <w:szCs w:val="28"/>
          <w:highlight w:val="none"/>
          <w:lang w:eastAsia="zh-CN"/>
        </w:rPr>
        <w:t>承担对社会组织的登记管理；负责执行落实有关行政区划和地名管理政策；负责全县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14:paraId="504DD9D5">
      <w:pPr>
        <w:spacing w:line="360" w:lineRule="auto"/>
        <w:ind w:firstLine="660" w:firstLineChars="236"/>
        <w:rPr>
          <w:rFonts w:hint="eastAsia"/>
          <w:sz w:val="28"/>
          <w:szCs w:val="28"/>
          <w:highlight w:val="none"/>
          <w:lang w:eastAsia="zh-CN"/>
        </w:rPr>
      </w:pPr>
      <w:r>
        <w:rPr>
          <w:rFonts w:hint="eastAsia"/>
          <w:sz w:val="28"/>
          <w:szCs w:val="28"/>
          <w:highlight w:val="none"/>
          <w:lang w:eastAsia="zh-CN"/>
        </w:rPr>
        <w:t>5、民政政务管理</w:t>
      </w:r>
    </w:p>
    <w:p w14:paraId="711362C0">
      <w:pPr>
        <w:spacing w:line="360" w:lineRule="auto"/>
        <w:ind w:firstLine="660" w:firstLineChars="236"/>
        <w:rPr>
          <w:rFonts w:hint="eastAsia"/>
          <w:sz w:val="28"/>
          <w:szCs w:val="28"/>
          <w:highlight w:val="none"/>
          <w:lang w:eastAsia="zh-CN"/>
        </w:rPr>
      </w:pPr>
      <w:r>
        <w:rPr>
          <w:rFonts w:hint="eastAsia"/>
          <w:sz w:val="28"/>
          <w:szCs w:val="28"/>
          <w:highlight w:val="none"/>
          <w:lang w:eastAsia="zh-CN"/>
        </w:rPr>
        <w:t>推进全县民政事业发展；负责民政事业资金管理、国有资产管理、内部审计、统计管理工作；组织民政系统干部培训教育等工作；开展全县民政系统信息化建设工作；负责本级政务公开、新闻宣传工作；承办群众的来信来访工作。建立和维护县民政系统政务公开平台，推进民政政府信息公开、政务公开，完成在县委、县政府系统信息考核任务；搞好群众来信来访工作，杜绝群体上访事件；民主行风评议保持全县领先地位。</w:t>
      </w:r>
    </w:p>
    <w:p w14:paraId="2A574E4D">
      <w:pPr>
        <w:spacing w:line="360" w:lineRule="auto"/>
        <w:ind w:firstLine="660" w:firstLineChars="236"/>
        <w:rPr>
          <w:rFonts w:hint="eastAsia"/>
          <w:sz w:val="28"/>
          <w:szCs w:val="28"/>
          <w:highlight w:val="none"/>
          <w:lang w:eastAsia="zh-CN"/>
        </w:rPr>
      </w:pPr>
      <w:r>
        <w:rPr>
          <w:rFonts w:hint="eastAsia"/>
          <w:sz w:val="28"/>
          <w:szCs w:val="28"/>
          <w:highlight w:val="none"/>
          <w:lang w:val="en-US" w:eastAsia="zh-CN"/>
        </w:rPr>
        <w:t>6</w:t>
      </w:r>
      <w:r>
        <w:rPr>
          <w:rFonts w:hint="eastAsia"/>
          <w:sz w:val="28"/>
          <w:szCs w:val="28"/>
          <w:highlight w:val="none"/>
          <w:lang w:eastAsia="zh-CN"/>
        </w:rPr>
        <w:t>、残疾人事业</w:t>
      </w:r>
    </w:p>
    <w:p w14:paraId="70279AE5">
      <w:pPr>
        <w:spacing w:line="360" w:lineRule="auto"/>
        <w:ind w:firstLine="660" w:firstLineChars="236"/>
        <w:rPr>
          <w:rFonts w:hint="eastAsia"/>
          <w:sz w:val="28"/>
          <w:szCs w:val="28"/>
        </w:rPr>
      </w:pPr>
      <w:r>
        <w:rPr>
          <w:rFonts w:hint="eastAsia"/>
          <w:sz w:val="28"/>
          <w:szCs w:val="28"/>
          <w:highlight w:val="none"/>
          <w:lang w:eastAsia="zh-CN"/>
        </w:rPr>
        <w:t>负责全县重度残疾人护理补贴、困难残疾人生活补贴资金发放，保证残疾人两项补贴足额、及时发放到位。</w:t>
      </w:r>
    </w:p>
    <w:p w14:paraId="0DE1F971">
      <w:pPr>
        <w:widowControl/>
        <w:shd w:val="clear" w:color="auto" w:fill="FFFFFF"/>
        <w:spacing w:line="360" w:lineRule="auto"/>
        <w:ind w:firstLine="641" w:firstLineChars="228"/>
        <w:jc w:val="left"/>
        <w:rPr>
          <w:rFonts w:hint="eastAsia"/>
          <w:sz w:val="28"/>
          <w:szCs w:val="28"/>
        </w:rPr>
      </w:pPr>
      <w:r>
        <w:rPr>
          <w:rFonts w:hint="eastAsia"/>
          <w:b/>
          <w:sz w:val="28"/>
          <w:szCs w:val="28"/>
          <w:lang w:eastAsia="zh-CN"/>
        </w:rPr>
        <w:t>二</w:t>
      </w:r>
      <w:r>
        <w:rPr>
          <w:rFonts w:hint="eastAsia"/>
          <w:b/>
          <w:sz w:val="28"/>
          <w:szCs w:val="28"/>
        </w:rPr>
        <w:t>、</w:t>
      </w:r>
      <w:r>
        <w:rPr>
          <w:b/>
          <w:sz w:val="28"/>
          <w:szCs w:val="28"/>
        </w:rPr>
        <w:t>项目绩效</w:t>
      </w:r>
      <w:r>
        <w:rPr>
          <w:rFonts w:hint="eastAsia"/>
          <w:b/>
          <w:sz w:val="28"/>
          <w:szCs w:val="28"/>
        </w:rPr>
        <w:t>评价结果</w:t>
      </w:r>
    </w:p>
    <w:p w14:paraId="4B41826C">
      <w:pPr>
        <w:pStyle w:val="17"/>
        <w:widowControl/>
        <w:numPr>
          <w:ilvl w:val="0"/>
          <w:numId w:val="1"/>
        </w:numPr>
        <w:shd w:val="clear" w:color="auto" w:fill="FFFFFF"/>
        <w:tabs>
          <w:tab w:val="left" w:pos="851"/>
          <w:tab w:val="left" w:pos="993"/>
        </w:tabs>
        <w:spacing w:line="360" w:lineRule="auto"/>
        <w:ind w:firstLineChars="0"/>
        <w:jc w:val="left"/>
        <w:rPr>
          <w:rFonts w:hint="eastAsia"/>
          <w:sz w:val="28"/>
          <w:szCs w:val="28"/>
        </w:rPr>
      </w:pPr>
      <w:r>
        <w:rPr>
          <w:sz w:val="28"/>
          <w:szCs w:val="28"/>
        </w:rPr>
        <w:t>项目绩效</w:t>
      </w:r>
      <w:r>
        <w:rPr>
          <w:rFonts w:hint="eastAsia"/>
          <w:sz w:val="28"/>
          <w:szCs w:val="28"/>
        </w:rPr>
        <w:t>评价得分情况：</w:t>
      </w:r>
    </w:p>
    <w:p w14:paraId="3B5ED88B">
      <w:pPr>
        <w:spacing w:line="360" w:lineRule="auto"/>
        <w:ind w:firstLine="560" w:firstLineChars="200"/>
        <w:rPr>
          <w:rFonts w:hint="eastAsia"/>
          <w:sz w:val="28"/>
          <w:szCs w:val="28"/>
        </w:rPr>
      </w:pPr>
      <w:r>
        <w:rPr>
          <w:rFonts w:hint="eastAsia"/>
          <w:sz w:val="28"/>
          <w:szCs w:val="28"/>
        </w:rPr>
        <w:t>按照</w:t>
      </w:r>
      <w:r>
        <w:rPr>
          <w:rFonts w:hint="eastAsia"/>
          <w:sz w:val="28"/>
          <w:szCs w:val="28"/>
          <w:lang w:eastAsia="zh-CN"/>
        </w:rPr>
        <w:t>隆尧县县</w:t>
      </w:r>
      <w:r>
        <w:rPr>
          <w:rFonts w:hint="eastAsia"/>
          <w:sz w:val="28"/>
          <w:szCs w:val="28"/>
        </w:rPr>
        <w:t>级部门(单位)工作活动绩效评价共性指标，绩效评价工作组对项目进行了打分。</w:t>
      </w:r>
    </w:p>
    <w:p w14:paraId="68C0B5A9">
      <w:pPr>
        <w:pStyle w:val="17"/>
        <w:widowControl/>
        <w:shd w:val="clear" w:color="auto" w:fill="FFFFFF"/>
        <w:tabs>
          <w:tab w:val="left" w:pos="851"/>
          <w:tab w:val="left" w:pos="993"/>
        </w:tabs>
        <w:spacing w:line="360" w:lineRule="auto"/>
        <w:ind w:left="420" w:firstLine="0" w:firstLineChars="0"/>
        <w:jc w:val="left"/>
        <w:rPr>
          <w:rFonts w:hint="eastAsia"/>
          <w:sz w:val="28"/>
          <w:szCs w:val="28"/>
        </w:rPr>
      </w:pPr>
      <w:r>
        <w:rPr>
          <w:rFonts w:hint="eastAsia"/>
          <w:sz w:val="28"/>
          <w:szCs w:val="28"/>
        </w:rPr>
        <w:t>1、政策相关性</w:t>
      </w:r>
    </w:p>
    <w:p w14:paraId="55952620">
      <w:pPr>
        <w:pStyle w:val="17"/>
        <w:widowControl/>
        <w:shd w:val="clear" w:color="auto" w:fill="FFFFFF"/>
        <w:tabs>
          <w:tab w:val="left" w:pos="851"/>
          <w:tab w:val="left" w:pos="993"/>
        </w:tabs>
        <w:spacing w:line="360" w:lineRule="auto"/>
        <w:ind w:firstLineChars="0"/>
        <w:jc w:val="left"/>
        <w:rPr>
          <w:sz w:val="28"/>
          <w:szCs w:val="28"/>
        </w:rPr>
      </w:pPr>
      <w:r>
        <w:rPr>
          <w:rFonts w:hint="eastAsia"/>
          <w:sz w:val="28"/>
          <w:szCs w:val="28"/>
        </w:rPr>
        <w:t>工作活动是否符合各级政府战略部署和发展规划，宏观政策、行业政策一致。标准得分3分，评价得分3分。</w:t>
      </w:r>
    </w:p>
    <w:p w14:paraId="3641A190">
      <w:pPr>
        <w:pStyle w:val="17"/>
        <w:widowControl/>
        <w:shd w:val="clear" w:color="auto" w:fill="FFFFFF"/>
        <w:tabs>
          <w:tab w:val="left" w:pos="851"/>
          <w:tab w:val="left" w:pos="993"/>
        </w:tabs>
        <w:spacing w:line="360" w:lineRule="auto"/>
        <w:ind w:firstLineChars="150"/>
        <w:jc w:val="left"/>
        <w:rPr>
          <w:rFonts w:hint="eastAsia"/>
          <w:sz w:val="28"/>
          <w:szCs w:val="28"/>
        </w:rPr>
      </w:pPr>
      <w:r>
        <w:rPr>
          <w:rFonts w:hint="eastAsia"/>
          <w:sz w:val="28"/>
          <w:szCs w:val="28"/>
        </w:rPr>
        <w:t>2、部门职责相关性</w:t>
      </w:r>
    </w:p>
    <w:p w14:paraId="73B79191">
      <w:pPr>
        <w:pStyle w:val="17"/>
        <w:widowControl/>
        <w:shd w:val="clear" w:color="auto" w:fill="FFFFFF"/>
        <w:tabs>
          <w:tab w:val="left" w:pos="851"/>
          <w:tab w:val="left" w:pos="993"/>
        </w:tabs>
        <w:spacing w:line="360" w:lineRule="auto"/>
        <w:ind w:firstLineChars="0"/>
        <w:jc w:val="left"/>
        <w:rPr>
          <w:sz w:val="28"/>
          <w:szCs w:val="28"/>
        </w:rPr>
      </w:pPr>
      <w:r>
        <w:rPr>
          <w:rFonts w:hint="eastAsia"/>
          <w:sz w:val="28"/>
          <w:szCs w:val="28"/>
        </w:rPr>
        <w:t>工作活动与部门职责、工作规划和重点工作相关。标准得分3分，评价得分3分。</w:t>
      </w:r>
    </w:p>
    <w:p w14:paraId="73FA9F2C">
      <w:pPr>
        <w:pStyle w:val="17"/>
        <w:widowControl/>
        <w:shd w:val="clear" w:color="auto" w:fill="FFFFFF"/>
        <w:tabs>
          <w:tab w:val="left" w:pos="851"/>
          <w:tab w:val="left" w:pos="993"/>
        </w:tabs>
        <w:spacing w:line="360" w:lineRule="auto"/>
        <w:ind w:firstLineChars="0"/>
        <w:jc w:val="left"/>
        <w:rPr>
          <w:rFonts w:hint="eastAsia"/>
          <w:sz w:val="28"/>
          <w:szCs w:val="28"/>
        </w:rPr>
      </w:pPr>
      <w:r>
        <w:rPr>
          <w:rFonts w:hint="eastAsia"/>
          <w:sz w:val="28"/>
          <w:szCs w:val="28"/>
        </w:rPr>
        <w:t>3、预算项目相关性</w:t>
      </w:r>
    </w:p>
    <w:p w14:paraId="789D45EC">
      <w:pPr>
        <w:pStyle w:val="17"/>
        <w:widowControl/>
        <w:shd w:val="clear" w:color="auto" w:fill="FFFFFF"/>
        <w:tabs>
          <w:tab w:val="left" w:pos="851"/>
          <w:tab w:val="left" w:pos="993"/>
        </w:tabs>
        <w:spacing w:line="360" w:lineRule="auto"/>
        <w:ind w:firstLine="560"/>
        <w:jc w:val="left"/>
        <w:rPr>
          <w:rFonts w:hint="eastAsia"/>
          <w:sz w:val="28"/>
          <w:szCs w:val="28"/>
        </w:rPr>
      </w:pPr>
      <w:r>
        <w:rPr>
          <w:rFonts w:hint="eastAsia"/>
          <w:sz w:val="28"/>
          <w:szCs w:val="28"/>
        </w:rPr>
        <w:t>工作活动项下确定的预算项目合理，与工作活动密切相关，得1分；工作活动和项目预算安排合理，得2分。标准得分3分，评价得分3分。</w:t>
      </w:r>
    </w:p>
    <w:p w14:paraId="61EF00C8">
      <w:pPr>
        <w:pStyle w:val="17"/>
        <w:widowControl/>
        <w:shd w:val="clear" w:color="auto" w:fill="FFFFFF"/>
        <w:tabs>
          <w:tab w:val="left" w:pos="851"/>
          <w:tab w:val="left" w:pos="993"/>
        </w:tabs>
        <w:spacing w:line="360" w:lineRule="auto"/>
        <w:ind w:left="420" w:firstLine="0" w:firstLineChars="0"/>
        <w:jc w:val="left"/>
        <w:rPr>
          <w:rFonts w:hint="eastAsia"/>
          <w:sz w:val="28"/>
          <w:szCs w:val="28"/>
        </w:rPr>
      </w:pPr>
      <w:r>
        <w:rPr>
          <w:rFonts w:hint="eastAsia"/>
          <w:sz w:val="28"/>
          <w:szCs w:val="28"/>
        </w:rPr>
        <w:t>4、绩效目标设立科学性</w:t>
      </w:r>
    </w:p>
    <w:p w14:paraId="5701A1F6">
      <w:pPr>
        <w:pStyle w:val="17"/>
        <w:widowControl/>
        <w:shd w:val="clear" w:color="auto" w:fill="FFFFFF"/>
        <w:tabs>
          <w:tab w:val="left" w:pos="851"/>
          <w:tab w:val="left" w:pos="993"/>
        </w:tabs>
        <w:spacing w:line="360" w:lineRule="auto"/>
        <w:ind w:firstLine="560"/>
        <w:jc w:val="left"/>
        <w:rPr>
          <w:rFonts w:hint="eastAsia"/>
          <w:sz w:val="28"/>
          <w:szCs w:val="28"/>
        </w:rPr>
      </w:pPr>
      <w:r>
        <w:rPr>
          <w:rFonts w:hint="eastAsia"/>
          <w:sz w:val="28"/>
          <w:szCs w:val="28"/>
        </w:rPr>
        <w:t>工作活动有明确的绩效目标，得1分；绩效目标与部门职责目标、部门年度工作目标一致，得1分；绩效目标能体现工作活动的产出和效果，得1分。标准得分3分，评价得分</w:t>
      </w:r>
      <w:r>
        <w:rPr>
          <w:rFonts w:hint="eastAsia"/>
          <w:sz w:val="28"/>
          <w:szCs w:val="28"/>
          <w:lang w:val="en-US" w:eastAsia="zh-CN"/>
        </w:rPr>
        <w:t>2</w:t>
      </w:r>
      <w:r>
        <w:rPr>
          <w:rFonts w:hint="eastAsia"/>
          <w:sz w:val="28"/>
          <w:szCs w:val="28"/>
        </w:rPr>
        <w:t>分</w:t>
      </w:r>
    </w:p>
    <w:p w14:paraId="03E5FF8F">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5、绩效指标设置科学性</w:t>
      </w:r>
    </w:p>
    <w:p w14:paraId="5C1D04C1">
      <w:pPr>
        <w:pStyle w:val="17"/>
        <w:widowControl/>
        <w:shd w:val="clear" w:color="auto" w:fill="FFFFFF"/>
        <w:tabs>
          <w:tab w:val="left" w:pos="851"/>
          <w:tab w:val="left" w:pos="993"/>
        </w:tabs>
        <w:spacing w:line="360" w:lineRule="auto"/>
        <w:ind w:firstLine="560"/>
        <w:jc w:val="left"/>
        <w:rPr>
          <w:rFonts w:hint="eastAsia"/>
          <w:sz w:val="28"/>
          <w:szCs w:val="28"/>
        </w:rPr>
      </w:pPr>
      <w:r>
        <w:rPr>
          <w:rFonts w:hint="eastAsia"/>
          <w:sz w:val="28"/>
          <w:szCs w:val="28"/>
        </w:rPr>
        <w:t>绩效指标设置能准确反映活动目标完成情况，得2分；细化量化，可衡量，得1分。标准得分3分，评价得分3分</w:t>
      </w:r>
    </w:p>
    <w:p w14:paraId="6AC7D6DB">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6、资金拨付情况</w:t>
      </w:r>
    </w:p>
    <w:p w14:paraId="50E02D7D">
      <w:pPr>
        <w:pStyle w:val="17"/>
        <w:widowControl/>
        <w:shd w:val="clear" w:color="auto" w:fill="FFFFFF"/>
        <w:tabs>
          <w:tab w:val="left" w:pos="851"/>
          <w:tab w:val="left" w:pos="993"/>
        </w:tabs>
        <w:spacing w:line="360" w:lineRule="auto"/>
        <w:ind w:firstLine="560"/>
        <w:jc w:val="left"/>
        <w:rPr>
          <w:rFonts w:hint="eastAsia"/>
          <w:sz w:val="28"/>
          <w:szCs w:val="28"/>
        </w:rPr>
      </w:pPr>
      <w:r>
        <w:rPr>
          <w:rFonts w:hint="eastAsia"/>
          <w:sz w:val="28"/>
          <w:szCs w:val="28"/>
        </w:rPr>
        <w:t>资金足额到位。标准得分4分，评价得分4分。</w:t>
      </w:r>
    </w:p>
    <w:p w14:paraId="5486AE57">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7、资金支出进度</w:t>
      </w:r>
    </w:p>
    <w:p w14:paraId="5475ADD6">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支出进度合理。标准得分4分，评价得分</w:t>
      </w:r>
      <w:r>
        <w:rPr>
          <w:rFonts w:hint="eastAsia"/>
          <w:sz w:val="28"/>
          <w:szCs w:val="28"/>
          <w:lang w:val="en-US" w:eastAsia="zh-CN"/>
        </w:rPr>
        <w:t>4</w:t>
      </w:r>
      <w:r>
        <w:rPr>
          <w:rFonts w:hint="eastAsia"/>
          <w:sz w:val="28"/>
          <w:szCs w:val="28"/>
        </w:rPr>
        <w:t>分</w:t>
      </w:r>
    </w:p>
    <w:p w14:paraId="778AC2F1">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8、资金使用规范性</w:t>
      </w:r>
    </w:p>
    <w:p w14:paraId="043418F6">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资金拨付手续完整，符合预算和国库管理有关规定，得3分；资金使用符合《预算法》等法律、法规、财务管理制度和资金管理办法规定的，得4分。标准得分7分，评价得分</w:t>
      </w:r>
      <w:r>
        <w:rPr>
          <w:rFonts w:hint="eastAsia"/>
          <w:sz w:val="28"/>
          <w:szCs w:val="28"/>
          <w:lang w:val="en-US" w:eastAsia="zh-CN"/>
        </w:rPr>
        <w:t>7</w:t>
      </w:r>
      <w:r>
        <w:rPr>
          <w:rFonts w:hint="eastAsia"/>
          <w:sz w:val="28"/>
          <w:szCs w:val="28"/>
        </w:rPr>
        <w:t>分。</w:t>
      </w:r>
    </w:p>
    <w:p w14:paraId="75BA118D">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9、管理制度健全性</w:t>
      </w:r>
    </w:p>
    <w:p w14:paraId="642D02E4">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部门制定了实施方案、管理制度和措施（包括财务制度），得3分；各项方案和制度措施明确、清晰、具有可操作性，得3分。标准得分6分，评价得分</w:t>
      </w:r>
      <w:r>
        <w:rPr>
          <w:rFonts w:hint="eastAsia"/>
          <w:sz w:val="28"/>
          <w:szCs w:val="28"/>
          <w:lang w:val="en-US" w:eastAsia="zh-CN"/>
        </w:rPr>
        <w:t>6</w:t>
      </w:r>
      <w:r>
        <w:rPr>
          <w:rFonts w:hint="eastAsia"/>
          <w:sz w:val="28"/>
          <w:szCs w:val="28"/>
        </w:rPr>
        <w:t>分。</w:t>
      </w:r>
    </w:p>
    <w:p w14:paraId="54E4F995">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10、过程控制有效性</w:t>
      </w:r>
    </w:p>
    <w:p w14:paraId="14541FF7">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保障工作活动实施、资金安全的各项制度措施得到有效落实，得2分，有风险应对措施，得2分。标准得分4分，评价得分</w:t>
      </w:r>
      <w:r>
        <w:rPr>
          <w:rFonts w:hint="eastAsia"/>
          <w:sz w:val="28"/>
          <w:szCs w:val="28"/>
          <w:lang w:val="en-US" w:eastAsia="zh-CN"/>
        </w:rPr>
        <w:t>4</w:t>
      </w:r>
      <w:r>
        <w:rPr>
          <w:rFonts w:hint="eastAsia"/>
          <w:sz w:val="28"/>
          <w:szCs w:val="28"/>
        </w:rPr>
        <w:t>分。</w:t>
      </w:r>
    </w:p>
    <w:p w14:paraId="59E30592">
      <w:pPr>
        <w:pStyle w:val="17"/>
        <w:widowControl/>
        <w:shd w:val="clear" w:color="auto" w:fill="FFFFFF"/>
        <w:tabs>
          <w:tab w:val="left" w:pos="851"/>
          <w:tab w:val="left" w:pos="993"/>
        </w:tabs>
        <w:spacing w:line="360" w:lineRule="auto"/>
        <w:ind w:firstLine="560"/>
        <w:jc w:val="left"/>
        <w:rPr>
          <w:rFonts w:hint="eastAsia"/>
          <w:sz w:val="28"/>
          <w:szCs w:val="28"/>
          <w:highlight w:val="none"/>
        </w:rPr>
      </w:pPr>
      <w:r>
        <w:rPr>
          <w:rFonts w:hint="eastAsia"/>
          <w:sz w:val="28"/>
          <w:szCs w:val="28"/>
          <w:highlight w:val="none"/>
        </w:rPr>
        <w:t>11、产出数量完成率</w:t>
      </w:r>
    </w:p>
    <w:p w14:paraId="21E56BFB">
      <w:pPr>
        <w:pStyle w:val="17"/>
        <w:widowControl/>
        <w:shd w:val="clear" w:color="auto" w:fill="FFFFFF"/>
        <w:tabs>
          <w:tab w:val="left" w:pos="851"/>
          <w:tab w:val="left" w:pos="993"/>
        </w:tabs>
        <w:spacing w:line="360" w:lineRule="auto"/>
        <w:ind w:firstLine="560"/>
        <w:jc w:val="left"/>
        <w:rPr>
          <w:sz w:val="28"/>
          <w:szCs w:val="28"/>
          <w:highlight w:val="none"/>
        </w:rPr>
      </w:pPr>
      <w:r>
        <w:rPr>
          <w:rFonts w:hint="eastAsia"/>
          <w:sz w:val="28"/>
          <w:szCs w:val="28"/>
          <w:highlight w:val="none"/>
        </w:rPr>
        <w:t>资金已全部发放到位，完成率为100%。标准得分</w:t>
      </w:r>
      <w:r>
        <w:rPr>
          <w:rFonts w:hint="eastAsia"/>
          <w:sz w:val="28"/>
          <w:szCs w:val="28"/>
          <w:highlight w:val="none"/>
          <w:lang w:val="en-US" w:eastAsia="zh-CN"/>
        </w:rPr>
        <w:t>7</w:t>
      </w:r>
      <w:r>
        <w:rPr>
          <w:rFonts w:hint="eastAsia"/>
          <w:sz w:val="28"/>
          <w:szCs w:val="28"/>
          <w:highlight w:val="none"/>
        </w:rPr>
        <w:t>分，评价得分</w:t>
      </w:r>
      <w:r>
        <w:rPr>
          <w:rFonts w:hint="eastAsia"/>
          <w:sz w:val="28"/>
          <w:szCs w:val="28"/>
          <w:highlight w:val="none"/>
          <w:lang w:val="en-US" w:eastAsia="zh-CN"/>
        </w:rPr>
        <w:t>7</w:t>
      </w:r>
      <w:r>
        <w:rPr>
          <w:rFonts w:hint="eastAsia"/>
          <w:sz w:val="28"/>
          <w:szCs w:val="28"/>
          <w:highlight w:val="none"/>
        </w:rPr>
        <w:t>分。</w:t>
      </w:r>
    </w:p>
    <w:p w14:paraId="59D102F7">
      <w:pPr>
        <w:pStyle w:val="17"/>
        <w:widowControl/>
        <w:shd w:val="clear" w:color="auto" w:fill="FFFFFF"/>
        <w:tabs>
          <w:tab w:val="left" w:pos="851"/>
          <w:tab w:val="left" w:pos="993"/>
        </w:tabs>
        <w:spacing w:line="360" w:lineRule="auto"/>
        <w:ind w:firstLine="560"/>
        <w:jc w:val="left"/>
        <w:rPr>
          <w:sz w:val="28"/>
          <w:szCs w:val="28"/>
          <w:highlight w:val="none"/>
        </w:rPr>
      </w:pPr>
      <w:r>
        <w:rPr>
          <w:rFonts w:hint="eastAsia"/>
          <w:sz w:val="28"/>
          <w:szCs w:val="28"/>
          <w:highlight w:val="none"/>
        </w:rPr>
        <w:t>12、产出质量达标率</w:t>
      </w:r>
    </w:p>
    <w:p w14:paraId="35934D86">
      <w:pPr>
        <w:pStyle w:val="17"/>
        <w:widowControl/>
        <w:shd w:val="clear" w:color="auto" w:fill="FFFFFF"/>
        <w:tabs>
          <w:tab w:val="left" w:pos="851"/>
          <w:tab w:val="left" w:pos="993"/>
        </w:tabs>
        <w:spacing w:line="360" w:lineRule="auto"/>
        <w:ind w:firstLine="560"/>
        <w:jc w:val="left"/>
        <w:rPr>
          <w:sz w:val="28"/>
          <w:szCs w:val="28"/>
          <w:highlight w:val="none"/>
        </w:rPr>
      </w:pPr>
      <w:r>
        <w:rPr>
          <w:rFonts w:hint="eastAsia"/>
          <w:sz w:val="28"/>
          <w:szCs w:val="28"/>
          <w:highlight w:val="none"/>
        </w:rPr>
        <w:t>根据工作活动和具体产出指标设定每一项产出数量完成率的分值。完成率为100%的，得该项产出分值的满分；完成率为90%至100%的，得该项产出分值的90%；完成率为80%至90%的，得该项产出分值的80%；完成率为70%至80%的，得该项产出分值的60%：完成率低于70%的，不得分。标准得分</w:t>
      </w:r>
      <w:r>
        <w:rPr>
          <w:rFonts w:hint="eastAsia"/>
          <w:sz w:val="28"/>
          <w:szCs w:val="28"/>
          <w:highlight w:val="none"/>
          <w:lang w:val="en-US" w:eastAsia="zh-CN"/>
        </w:rPr>
        <w:t>7</w:t>
      </w:r>
      <w:r>
        <w:rPr>
          <w:rFonts w:hint="eastAsia"/>
          <w:sz w:val="28"/>
          <w:szCs w:val="28"/>
          <w:highlight w:val="none"/>
        </w:rPr>
        <w:t>分，评价得分</w:t>
      </w:r>
      <w:r>
        <w:rPr>
          <w:rFonts w:hint="eastAsia"/>
          <w:sz w:val="28"/>
          <w:szCs w:val="28"/>
          <w:highlight w:val="none"/>
          <w:lang w:val="en-US" w:eastAsia="zh-CN"/>
        </w:rPr>
        <w:t>7</w:t>
      </w:r>
      <w:r>
        <w:rPr>
          <w:rFonts w:hint="eastAsia"/>
          <w:sz w:val="28"/>
          <w:szCs w:val="28"/>
          <w:highlight w:val="none"/>
        </w:rPr>
        <w:t>分。</w:t>
      </w:r>
    </w:p>
    <w:p w14:paraId="761735B8">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13、工作活动产出完成及时性</w:t>
      </w:r>
    </w:p>
    <w:p w14:paraId="54F6BCB9">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规定时间内完成的，得满分，标准得分6分，评价得分</w:t>
      </w:r>
      <w:r>
        <w:rPr>
          <w:rFonts w:hint="eastAsia"/>
          <w:sz w:val="28"/>
          <w:szCs w:val="28"/>
          <w:lang w:val="en-US" w:eastAsia="zh-CN"/>
        </w:rPr>
        <w:t>5</w:t>
      </w:r>
      <w:r>
        <w:rPr>
          <w:rFonts w:hint="eastAsia"/>
          <w:sz w:val="28"/>
          <w:szCs w:val="28"/>
        </w:rPr>
        <w:t>分。</w:t>
      </w:r>
    </w:p>
    <w:p w14:paraId="7C441D9C">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14、项目完成率</w:t>
      </w:r>
    </w:p>
    <w:p w14:paraId="41B81364">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预算项目全部完成的得满分，标准得分5分，评价得分</w:t>
      </w:r>
      <w:r>
        <w:rPr>
          <w:rFonts w:hint="eastAsia"/>
          <w:sz w:val="28"/>
          <w:szCs w:val="28"/>
          <w:lang w:val="en-US" w:eastAsia="zh-CN"/>
        </w:rPr>
        <w:t>4</w:t>
      </w:r>
      <w:r>
        <w:rPr>
          <w:rFonts w:hint="eastAsia"/>
          <w:sz w:val="28"/>
          <w:szCs w:val="28"/>
        </w:rPr>
        <w:t>分。</w:t>
      </w:r>
    </w:p>
    <w:p w14:paraId="58151805">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15、经济效益</w:t>
      </w:r>
    </w:p>
    <w:p w14:paraId="38191B65">
      <w:pPr>
        <w:pStyle w:val="17"/>
        <w:widowControl/>
        <w:shd w:val="clear" w:color="auto" w:fill="FFFFFF"/>
        <w:tabs>
          <w:tab w:val="left" w:pos="851"/>
          <w:tab w:val="left" w:pos="993"/>
        </w:tabs>
        <w:spacing w:line="360" w:lineRule="auto"/>
        <w:ind w:firstLine="560"/>
        <w:jc w:val="left"/>
        <w:rPr>
          <w:rFonts w:hint="eastAsia"/>
          <w:sz w:val="28"/>
          <w:szCs w:val="28"/>
        </w:rPr>
      </w:pPr>
      <w:r>
        <w:rPr>
          <w:rFonts w:hint="eastAsia"/>
          <w:sz w:val="28"/>
          <w:szCs w:val="28"/>
        </w:rPr>
        <w:t>标准得分9分，评价得分</w:t>
      </w:r>
      <w:r>
        <w:rPr>
          <w:rFonts w:hint="eastAsia"/>
          <w:sz w:val="28"/>
          <w:szCs w:val="28"/>
          <w:lang w:val="en-US" w:eastAsia="zh-CN"/>
        </w:rPr>
        <w:t>9</w:t>
      </w:r>
      <w:r>
        <w:rPr>
          <w:rFonts w:hint="eastAsia"/>
          <w:sz w:val="28"/>
          <w:szCs w:val="28"/>
        </w:rPr>
        <w:t>分。</w:t>
      </w:r>
    </w:p>
    <w:p w14:paraId="64D20D6D">
      <w:pPr>
        <w:pStyle w:val="17"/>
        <w:widowControl/>
        <w:shd w:val="clear" w:color="auto" w:fill="FFFFFF"/>
        <w:tabs>
          <w:tab w:val="left" w:pos="851"/>
          <w:tab w:val="left" w:pos="993"/>
        </w:tabs>
        <w:spacing w:line="360" w:lineRule="auto"/>
        <w:ind w:firstLine="560"/>
        <w:jc w:val="left"/>
        <w:rPr>
          <w:rFonts w:hint="eastAsia"/>
          <w:sz w:val="28"/>
          <w:szCs w:val="28"/>
          <w:highlight w:val="none"/>
        </w:rPr>
      </w:pPr>
      <w:r>
        <w:rPr>
          <w:rFonts w:hint="eastAsia"/>
          <w:sz w:val="28"/>
          <w:szCs w:val="28"/>
          <w:highlight w:val="none"/>
        </w:rPr>
        <w:t>16、社会效益</w:t>
      </w:r>
    </w:p>
    <w:p w14:paraId="42EF906B">
      <w:pPr>
        <w:pStyle w:val="17"/>
        <w:widowControl/>
        <w:shd w:val="clear" w:color="auto" w:fill="FFFFFF"/>
        <w:tabs>
          <w:tab w:val="left" w:pos="851"/>
          <w:tab w:val="left" w:pos="993"/>
        </w:tabs>
        <w:spacing w:line="360" w:lineRule="auto"/>
        <w:ind w:firstLine="560"/>
        <w:jc w:val="left"/>
        <w:rPr>
          <w:rFonts w:hint="eastAsia"/>
          <w:sz w:val="28"/>
          <w:szCs w:val="28"/>
          <w:highlight w:val="none"/>
        </w:rPr>
      </w:pPr>
      <w:bookmarkStart w:id="0" w:name="_Hlk39225457"/>
      <w:r>
        <w:rPr>
          <w:rFonts w:hint="eastAsia"/>
          <w:sz w:val="28"/>
          <w:szCs w:val="28"/>
          <w:highlight w:val="none"/>
        </w:rPr>
        <w:t>标准得分9分，评价得分</w:t>
      </w:r>
      <w:r>
        <w:rPr>
          <w:rFonts w:hint="eastAsia"/>
          <w:sz w:val="28"/>
          <w:szCs w:val="28"/>
          <w:highlight w:val="none"/>
          <w:lang w:val="en-US" w:eastAsia="zh-CN"/>
        </w:rPr>
        <w:t>9</w:t>
      </w:r>
      <w:r>
        <w:rPr>
          <w:rFonts w:hint="eastAsia"/>
          <w:sz w:val="28"/>
          <w:szCs w:val="28"/>
          <w:highlight w:val="none"/>
        </w:rPr>
        <w:t>分。</w:t>
      </w:r>
    </w:p>
    <w:bookmarkEnd w:id="0"/>
    <w:p w14:paraId="58DCFA06">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17、生态效益</w:t>
      </w:r>
    </w:p>
    <w:p w14:paraId="71D1EC26">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highlight w:val="none"/>
        </w:rPr>
        <w:t>标准得分9分，评价得分</w:t>
      </w:r>
      <w:r>
        <w:rPr>
          <w:rFonts w:hint="eastAsia"/>
          <w:sz w:val="28"/>
          <w:szCs w:val="28"/>
          <w:highlight w:val="none"/>
          <w:lang w:val="en-US" w:eastAsia="zh-CN"/>
        </w:rPr>
        <w:t>9</w:t>
      </w:r>
      <w:r>
        <w:rPr>
          <w:rFonts w:hint="eastAsia"/>
          <w:sz w:val="28"/>
          <w:szCs w:val="28"/>
          <w:highlight w:val="none"/>
        </w:rPr>
        <w:t>分。</w:t>
      </w:r>
    </w:p>
    <w:p w14:paraId="62FF7DE7">
      <w:pPr>
        <w:pStyle w:val="17"/>
        <w:widowControl/>
        <w:shd w:val="clear" w:color="auto" w:fill="FFFFFF"/>
        <w:tabs>
          <w:tab w:val="left" w:pos="851"/>
          <w:tab w:val="left" w:pos="993"/>
        </w:tabs>
        <w:spacing w:line="360" w:lineRule="auto"/>
        <w:ind w:firstLine="560"/>
        <w:jc w:val="left"/>
        <w:rPr>
          <w:sz w:val="28"/>
          <w:szCs w:val="28"/>
        </w:rPr>
      </w:pPr>
      <w:r>
        <w:rPr>
          <w:rFonts w:hint="eastAsia"/>
          <w:sz w:val="28"/>
          <w:szCs w:val="28"/>
        </w:rPr>
        <w:t>18、受益群体满意度</w:t>
      </w:r>
    </w:p>
    <w:p w14:paraId="7300B29C">
      <w:pPr>
        <w:pStyle w:val="7"/>
        <w:shd w:val="clear" w:color="auto" w:fill="FFFFFF"/>
        <w:tabs>
          <w:tab w:val="left" w:pos="851"/>
          <w:tab w:val="left" w:pos="993"/>
        </w:tabs>
        <w:spacing w:line="360" w:lineRule="auto"/>
        <w:ind w:firstLine="420" w:firstLineChars="150"/>
        <w:rPr>
          <w:kern w:val="0"/>
          <w:sz w:val="28"/>
          <w:szCs w:val="28"/>
        </w:rPr>
      </w:pPr>
      <w:r>
        <w:rPr>
          <w:rFonts w:hint="eastAsia" w:ascii="Calibri" w:hAnsi="Calibri"/>
          <w:sz w:val="28"/>
          <w:szCs w:val="28"/>
        </w:rPr>
        <w:t>经调查，群众满意度占全部调查对象的比率为</w:t>
      </w:r>
      <w:r>
        <w:rPr>
          <w:rFonts w:hint="eastAsia"/>
          <w:sz w:val="28"/>
          <w:szCs w:val="28"/>
          <w:lang w:val="en-US" w:eastAsia="zh-CN"/>
        </w:rPr>
        <w:t>93</w:t>
      </w:r>
      <w:r>
        <w:rPr>
          <w:rFonts w:hint="eastAsia"/>
          <w:sz w:val="28"/>
          <w:szCs w:val="28"/>
        </w:rPr>
        <w:t>%</w:t>
      </w:r>
      <w:r>
        <w:rPr>
          <w:rFonts w:hint="eastAsia" w:ascii="Calibri" w:hAnsi="Calibri"/>
          <w:sz w:val="28"/>
          <w:szCs w:val="28"/>
        </w:rPr>
        <w:t>，标准得分</w:t>
      </w:r>
      <w:r>
        <w:rPr>
          <w:rFonts w:hint="eastAsia"/>
          <w:sz w:val="28"/>
          <w:szCs w:val="28"/>
        </w:rPr>
        <w:t>8</w:t>
      </w:r>
      <w:r>
        <w:rPr>
          <w:rFonts w:hint="eastAsia" w:ascii="Calibri" w:hAnsi="Calibri"/>
          <w:sz w:val="28"/>
          <w:szCs w:val="28"/>
        </w:rPr>
        <w:t>分，评价得分</w:t>
      </w:r>
      <w:r>
        <w:rPr>
          <w:rFonts w:hint="eastAsia" w:ascii="Calibri" w:hAnsi="Calibri"/>
          <w:sz w:val="28"/>
          <w:szCs w:val="28"/>
          <w:lang w:val="en-US" w:eastAsia="zh-CN"/>
        </w:rPr>
        <w:t>6</w:t>
      </w:r>
      <w:r>
        <w:rPr>
          <w:rFonts w:hint="eastAsia" w:ascii="Calibri" w:hAnsi="Calibri"/>
          <w:sz w:val="28"/>
          <w:szCs w:val="28"/>
        </w:rPr>
        <w:t>分。</w:t>
      </w:r>
    </w:p>
    <w:p w14:paraId="5FB399FD">
      <w:pPr>
        <w:ind w:firstLine="560" w:firstLineChars="200"/>
        <w:rPr>
          <w:rFonts w:ascii="仿宋" w:hAnsi="仿宋" w:eastAsia="仿宋"/>
          <w:sz w:val="32"/>
          <w:szCs w:val="32"/>
        </w:rPr>
      </w:pPr>
      <w:r>
        <w:rPr>
          <w:rFonts w:hint="eastAsia"/>
          <w:sz w:val="28"/>
          <w:szCs w:val="28"/>
          <w:lang w:eastAsia="zh-CN"/>
        </w:rPr>
        <w:t>通过查阅</w:t>
      </w:r>
      <w:r>
        <w:rPr>
          <w:rFonts w:hint="eastAsia"/>
          <w:sz w:val="28"/>
          <w:szCs w:val="28"/>
        </w:rPr>
        <w:t>书面资料和现场实地查看，以及满意度调查问卷，按照</w:t>
      </w:r>
      <w:r>
        <w:rPr>
          <w:rFonts w:hint="eastAsia"/>
          <w:sz w:val="28"/>
          <w:szCs w:val="28"/>
          <w:lang w:eastAsia="zh-CN"/>
        </w:rPr>
        <w:t>隆尧县县</w:t>
      </w:r>
      <w:r>
        <w:rPr>
          <w:rFonts w:hint="eastAsia"/>
          <w:sz w:val="28"/>
          <w:szCs w:val="28"/>
        </w:rPr>
        <w:t>级部门(单位)工作活动绩效评价共性指标，</w:t>
      </w:r>
      <w:r>
        <w:rPr>
          <w:sz w:val="28"/>
          <w:szCs w:val="28"/>
        </w:rPr>
        <w:t>经</w:t>
      </w:r>
      <w:r>
        <w:rPr>
          <w:rFonts w:hint="eastAsia"/>
          <w:sz w:val="28"/>
          <w:szCs w:val="28"/>
        </w:rPr>
        <w:t>评价组</w:t>
      </w:r>
      <w:r>
        <w:rPr>
          <w:sz w:val="28"/>
          <w:szCs w:val="28"/>
        </w:rPr>
        <w:t>综合评价，</w:t>
      </w:r>
      <w:r>
        <w:rPr>
          <w:rFonts w:hint="eastAsia"/>
          <w:sz w:val="28"/>
          <w:szCs w:val="28"/>
        </w:rPr>
        <w:t>20</w:t>
      </w:r>
      <w:r>
        <w:rPr>
          <w:rFonts w:hint="eastAsia"/>
          <w:sz w:val="28"/>
          <w:szCs w:val="28"/>
          <w:lang w:val="en-US" w:eastAsia="zh-CN"/>
        </w:rPr>
        <w:t>20</w:t>
      </w:r>
      <w:r>
        <w:rPr>
          <w:rFonts w:hint="eastAsia"/>
          <w:sz w:val="28"/>
          <w:szCs w:val="28"/>
        </w:rPr>
        <w:t>-20</w:t>
      </w:r>
      <w:r>
        <w:rPr>
          <w:rFonts w:hint="eastAsia"/>
          <w:sz w:val="28"/>
          <w:szCs w:val="28"/>
          <w:lang w:val="en-US" w:eastAsia="zh-CN"/>
        </w:rPr>
        <w:t>21</w:t>
      </w:r>
      <w:r>
        <w:rPr>
          <w:rFonts w:hint="eastAsia"/>
          <w:sz w:val="28"/>
          <w:szCs w:val="28"/>
        </w:rPr>
        <w:t>年</w:t>
      </w:r>
      <w:r>
        <w:rPr>
          <w:rFonts w:hint="eastAsia"/>
          <w:sz w:val="28"/>
          <w:szCs w:val="28"/>
          <w:lang w:eastAsia="zh-CN"/>
        </w:rPr>
        <w:t>县民政局资金绩效目标完成</w:t>
      </w:r>
      <w:r>
        <w:rPr>
          <w:rFonts w:hint="eastAsia"/>
          <w:sz w:val="28"/>
          <w:szCs w:val="28"/>
        </w:rPr>
        <w:t>取得较好的成效，本项目绩效评价总得分为</w:t>
      </w:r>
      <w:r>
        <w:rPr>
          <w:rFonts w:hint="eastAsia"/>
          <w:sz w:val="28"/>
          <w:szCs w:val="28"/>
          <w:highlight w:val="none"/>
        </w:rPr>
        <w:t>9</w:t>
      </w:r>
      <w:r>
        <w:rPr>
          <w:rFonts w:hint="eastAsia"/>
          <w:sz w:val="28"/>
          <w:szCs w:val="28"/>
          <w:highlight w:val="none"/>
          <w:lang w:val="en-US" w:eastAsia="zh-CN"/>
        </w:rPr>
        <w:t>8</w:t>
      </w:r>
      <w:r>
        <w:rPr>
          <w:rFonts w:hint="eastAsia"/>
          <w:sz w:val="28"/>
          <w:szCs w:val="28"/>
        </w:rPr>
        <w:t>分，绩效评价等级为优秀。</w:t>
      </w:r>
    </w:p>
    <w:p w14:paraId="7753E27F">
      <w:pPr>
        <w:spacing w:line="360" w:lineRule="auto"/>
        <w:ind w:left="426"/>
        <w:rPr>
          <w:b/>
          <w:sz w:val="28"/>
          <w:szCs w:val="28"/>
        </w:rPr>
      </w:pPr>
      <w:r>
        <w:rPr>
          <w:rFonts w:hint="eastAsia"/>
          <w:b/>
          <w:sz w:val="28"/>
          <w:szCs w:val="28"/>
        </w:rPr>
        <w:t>六、存在的问题及建议</w:t>
      </w:r>
    </w:p>
    <w:p w14:paraId="11F174D9">
      <w:pPr>
        <w:spacing w:line="360" w:lineRule="auto"/>
        <w:rPr>
          <w:rFonts w:hint="eastAsia" w:ascii="宋体" w:hAnsi="宋体"/>
          <w:sz w:val="28"/>
          <w:szCs w:val="28"/>
        </w:rPr>
      </w:pPr>
      <w:r>
        <w:rPr>
          <w:rFonts w:hint="eastAsia" w:ascii="宋体" w:hAnsi="宋体"/>
          <w:sz w:val="28"/>
          <w:szCs w:val="28"/>
        </w:rPr>
        <w:t xml:space="preserve">   （一）存在的问题</w:t>
      </w:r>
    </w:p>
    <w:p w14:paraId="5D97666C">
      <w:pPr>
        <w:spacing w:line="360" w:lineRule="auto"/>
        <w:ind w:firstLine="564"/>
        <w:rPr>
          <w:rFonts w:hint="eastAsia" w:ascii="宋体" w:hAnsi="宋体"/>
          <w:sz w:val="28"/>
          <w:szCs w:val="28"/>
          <w:lang w:eastAsia="zh-CN"/>
        </w:rPr>
      </w:pPr>
      <w:r>
        <w:rPr>
          <w:rFonts w:hint="eastAsia" w:ascii="宋体" w:hAnsi="宋体"/>
          <w:sz w:val="28"/>
          <w:szCs w:val="28"/>
          <w:lang w:eastAsia="zh-CN"/>
        </w:rPr>
        <w:t>内控制度需进一步提升。</w:t>
      </w:r>
    </w:p>
    <w:p w14:paraId="6600B283">
      <w:pPr>
        <w:spacing w:line="360" w:lineRule="auto"/>
        <w:ind w:firstLine="560" w:firstLineChars="200"/>
        <w:rPr>
          <w:rFonts w:ascii="宋体" w:hAnsi="宋体"/>
          <w:sz w:val="28"/>
          <w:szCs w:val="28"/>
        </w:rPr>
      </w:pPr>
      <w:r>
        <w:rPr>
          <w:rFonts w:hint="eastAsia" w:ascii="宋体" w:hAnsi="宋体"/>
          <w:sz w:val="28"/>
          <w:szCs w:val="28"/>
        </w:rPr>
        <w:t>（二）意见及建议</w:t>
      </w:r>
    </w:p>
    <w:p w14:paraId="2097850F">
      <w:pPr>
        <w:ind w:firstLine="560" w:firstLineChars="200"/>
        <w:rPr>
          <w:rFonts w:hint="eastAsia" w:ascii="宋体" w:hAnsi="宋体"/>
          <w:sz w:val="28"/>
          <w:szCs w:val="28"/>
        </w:rPr>
      </w:pPr>
      <w:r>
        <w:rPr>
          <w:rFonts w:hint="eastAsia" w:ascii="宋体" w:hAnsi="宋体"/>
          <w:sz w:val="28"/>
          <w:szCs w:val="28"/>
        </w:rPr>
        <w:t>加强制度建设，强化内控制度、建立和健全内控制度并执行</w:t>
      </w:r>
      <w:r>
        <w:rPr>
          <w:rFonts w:hint="eastAsia" w:ascii="宋体" w:hAnsi="宋体"/>
          <w:sz w:val="28"/>
          <w:szCs w:val="28"/>
          <w:lang w:eastAsia="zh-CN"/>
        </w:rPr>
        <w:t>。</w:t>
      </w:r>
      <w:r>
        <w:rPr>
          <w:rFonts w:hint="eastAsia" w:ascii="宋体" w:hAnsi="宋体"/>
          <w:sz w:val="28"/>
          <w:szCs w:val="28"/>
        </w:rPr>
        <w:t xml:space="preserve">  </w:t>
      </w:r>
    </w:p>
    <w:p w14:paraId="28DD82AC">
      <w:pPr>
        <w:pStyle w:val="17"/>
        <w:numPr>
          <w:ilvl w:val="0"/>
          <w:numId w:val="0"/>
        </w:numPr>
        <w:rPr>
          <w:rFonts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372A3">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4E70C1C7">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4454B">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35D986A1">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25C0A5C"/>
    <w:multiLevelType w:val="multilevel"/>
    <w:tmpl w:val="425C0A5C"/>
    <w:lvl w:ilvl="0" w:tentative="0">
      <w:start w:val="1"/>
      <w:numFmt w:val="japaneseCounting"/>
      <w:lvlText w:val="（%1）"/>
      <w:lvlJc w:val="left"/>
      <w:pPr>
        <w:ind w:left="1281" w:hanging="855"/>
      </w:pPr>
      <w:rPr>
        <w:rFonts w:hint="default"/>
      </w:r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mI0NTNmNDBiZTRjMzgwNWYzNzgxOTZhYmVkYTM3MGY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7367EFF"/>
    <w:rsid w:val="1C841DE7"/>
    <w:rsid w:val="25A3667A"/>
    <w:rsid w:val="2DD55536"/>
    <w:rsid w:val="3791647A"/>
    <w:rsid w:val="455969D8"/>
    <w:rsid w:val="48725571"/>
    <w:rsid w:val="4BDB04ED"/>
    <w:rsid w:val="526A3656"/>
    <w:rsid w:val="53CD5365"/>
    <w:rsid w:val="5D643D56"/>
    <w:rsid w:val="64283056"/>
    <w:rsid w:val="69BD0A47"/>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6628</Words>
  <Characters>6998</Characters>
  <Lines>40</Lines>
  <Paragraphs>11</Paragraphs>
  <TotalTime>17</TotalTime>
  <ScaleCrop>false</ScaleCrop>
  <LinksUpToDate>false</LinksUpToDate>
  <CharactersWithSpaces>7063</CharactersWithSpaces>
  <Application>WPS Office_12.1.0.18334_F1E327BC-269C-435d-A152-05C5408002CA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任重道远</cp:lastModifiedBy>
  <cp:lastPrinted>2022-06-08T08:14:00Z</cp:lastPrinted>
  <dcterms:modified xsi:type="dcterms:W3CDTF">2025-02-27T09:15:23Z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2052-12.1.0.18334</vt:lpwstr>
  </property>
  <property fmtid="{D5CDD505-2E9C-101B-9397-08002B2CF9AE}" pid="3" name="ICV">
    <vt:lpwstr>E38AD9DC04FC43DC8BCCB32C3C323B9A</vt:lpwstr>
  </property>
</Properties>
</file>