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400" w:lineRule="exact"/>
        <w:jc w:val="left"/>
        <w:rPr>
          <w:rFonts w:ascii="仿宋" w:hAnsi="仿宋" w:eastAsia="仿宋" w:cs="仿宋"/>
          <w:kern w:val="0"/>
          <w:sz w:val="32"/>
          <w:szCs w:val="32"/>
          <w:shd w:val="clear" w:color="auto" w:fill="FFFFFF"/>
        </w:rPr>
      </w:pPr>
      <w:r>
        <w:rPr>
          <w:rFonts w:hint="eastAsia" w:ascii="仿宋" w:hAnsi="仿宋" w:eastAsia="仿宋" w:cs="仿宋"/>
          <w:kern w:val="0"/>
          <w:sz w:val="32"/>
          <w:szCs w:val="32"/>
          <w:shd w:val="clear" w:color="auto" w:fill="FFFFFF"/>
        </w:rPr>
        <w:t xml:space="preserve">  附件4：</w:t>
      </w:r>
    </w:p>
    <w:p>
      <w:pPr>
        <w:spacing w:line="480" w:lineRule="exact"/>
        <w:jc w:val="center"/>
        <w:rPr>
          <w:rFonts w:ascii="宋体" w:hAnsi="宋体"/>
          <w:b/>
          <w:sz w:val="44"/>
          <w:szCs w:val="44"/>
        </w:rPr>
      </w:pPr>
      <w:r>
        <w:rPr>
          <w:rFonts w:hint="eastAsia" w:ascii="宋体" w:hAnsi="宋体"/>
          <w:b/>
          <w:sz w:val="44"/>
          <w:szCs w:val="44"/>
        </w:rPr>
        <w:t>隆尧县</w:t>
      </w:r>
      <w:r>
        <w:rPr>
          <w:rFonts w:hint="eastAsia" w:ascii="宋体" w:hAnsi="宋体"/>
          <w:b/>
          <w:sz w:val="44"/>
          <w:szCs w:val="44"/>
          <w:lang w:eastAsia="zh-CN"/>
        </w:rPr>
        <w:t>东良镇人民政府</w:t>
      </w:r>
      <w:r>
        <w:rPr>
          <w:rFonts w:hint="eastAsia" w:ascii="宋体" w:hAnsi="宋体"/>
          <w:b/>
          <w:sz w:val="44"/>
          <w:szCs w:val="44"/>
        </w:rPr>
        <w:t>2021年</w:t>
      </w:r>
    </w:p>
    <w:p>
      <w:pPr>
        <w:spacing w:line="480" w:lineRule="exact"/>
        <w:jc w:val="center"/>
        <w:rPr>
          <w:rFonts w:ascii="宋体" w:hAnsi="宋体" w:eastAsia="宋体" w:cs="宋体"/>
          <w:b/>
          <w:color w:val="000000"/>
          <w:kern w:val="0"/>
          <w:sz w:val="44"/>
          <w:szCs w:val="44"/>
          <w:shd w:val="clear" w:color="auto" w:fill="FFFFFF"/>
        </w:rPr>
      </w:pPr>
      <w:r>
        <w:rPr>
          <w:rFonts w:hint="eastAsia" w:ascii="宋体" w:hAnsi="宋体"/>
          <w:b/>
          <w:sz w:val="44"/>
          <w:szCs w:val="44"/>
        </w:rPr>
        <w:t>部门整体支出绩效评价</w:t>
      </w:r>
      <w:r>
        <w:rPr>
          <w:rFonts w:hint="eastAsia" w:ascii="宋体" w:hAnsi="宋体" w:eastAsia="宋体" w:cs="宋体"/>
          <w:b/>
          <w:color w:val="000000"/>
          <w:kern w:val="0"/>
          <w:sz w:val="44"/>
          <w:szCs w:val="44"/>
          <w:shd w:val="clear" w:color="auto" w:fill="FFFFFF"/>
        </w:rPr>
        <w:t>指标体系评分表</w:t>
      </w:r>
    </w:p>
    <w:p>
      <w:pPr>
        <w:spacing w:line="480" w:lineRule="exact"/>
        <w:jc w:val="left"/>
        <w:rPr>
          <w:rFonts w:ascii="仿宋" w:hAnsi="仿宋" w:eastAsia="仿宋" w:cs="仿宋"/>
          <w:sz w:val="24"/>
          <w:szCs w:val="24"/>
        </w:rPr>
      </w:pPr>
      <w:r>
        <w:rPr>
          <w:rFonts w:hint="eastAsia" w:ascii="仿宋" w:hAnsi="仿宋" w:eastAsia="仿宋" w:cs="仿宋"/>
          <w:sz w:val="24"/>
          <w:szCs w:val="24"/>
        </w:rPr>
        <w:t xml:space="preserve">单位名称:        (公章)         单位负责人:          </w:t>
      </w:r>
    </w:p>
    <w:tbl>
      <w:tblPr>
        <w:tblStyle w:val="8"/>
        <w:tblW w:w="960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817"/>
        <w:gridCol w:w="851"/>
        <w:gridCol w:w="1559"/>
        <w:gridCol w:w="3260"/>
        <w:gridCol w:w="2552"/>
        <w:gridCol w:w="56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9"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b/>
              </w:rPr>
            </w:pPr>
            <w:r>
              <w:rPr>
                <w:rFonts w:ascii="仿宋_GB2312" w:hAnsi="新宋体" w:eastAsia="仿宋_GB2312" w:cs="仿宋_GB2312"/>
                <w:b/>
                <w:kern w:val="0"/>
                <w:sz w:val="24"/>
                <w:szCs w:val="24"/>
              </w:rPr>
              <w:t>一级指标</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b/>
              </w:rPr>
            </w:pPr>
            <w:r>
              <w:rPr>
                <w:rFonts w:ascii="仿宋_GB2312" w:hAnsi="新宋体" w:eastAsia="仿宋_GB2312" w:cs="仿宋_GB2312"/>
                <w:b/>
                <w:kern w:val="0"/>
                <w:sz w:val="24"/>
                <w:szCs w:val="24"/>
              </w:rPr>
              <w:t>二级指标</w:t>
            </w:r>
          </w:p>
        </w:tc>
        <w:tc>
          <w:tcPr>
            <w:tcW w:w="4819" w:type="dxa"/>
            <w:gridSpan w:val="2"/>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rPr>
              <w:t>三级指标</w:t>
            </w:r>
          </w:p>
        </w:tc>
        <w:tc>
          <w:tcPr>
            <w:tcW w:w="2552" w:type="dxa"/>
            <w:vMerge w:val="restart"/>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rPr>
              <w:t>评分标准</w:t>
            </w:r>
          </w:p>
        </w:tc>
        <w:tc>
          <w:tcPr>
            <w:tcW w:w="567" w:type="dxa"/>
            <w:vMerge w:val="restart"/>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b/>
              </w:rPr>
            </w:pPr>
            <w:r>
              <w:rPr>
                <w:rFonts w:ascii="仿宋_GB2312" w:hAnsi="新宋体" w:eastAsia="仿宋_GB2312" w:cs="仿宋_GB2312"/>
                <w:b/>
                <w:kern w:val="0"/>
                <w:sz w:val="24"/>
                <w:szCs w:val="24"/>
              </w:rPr>
              <w:t>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3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rPr>
              <w:t>指标名称</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rPr>
              <w:t>指标解释说明</w:t>
            </w:r>
          </w:p>
        </w:tc>
        <w:tc>
          <w:tcPr>
            <w:tcW w:w="2552" w:type="dxa"/>
            <w:vMerge w:val="continue"/>
            <w:tcBorders>
              <w:top w:val="single" w:color="000000" w:sz="4" w:space="0"/>
              <w:left w:val="single" w:color="auto" w:sz="4" w:space="0"/>
              <w:bottom w:val="single" w:color="000000" w:sz="4" w:space="0"/>
              <w:right w:val="single" w:color="auto" w:sz="4" w:space="0"/>
            </w:tcBorders>
            <w:vAlign w:val="center"/>
          </w:tcPr>
          <w:p>
            <w:pPr>
              <w:rPr>
                <w:rFonts w:ascii="宋体"/>
                <w:szCs w:val="21"/>
              </w:rPr>
            </w:pPr>
          </w:p>
        </w:tc>
        <w:tc>
          <w:tcPr>
            <w:tcW w:w="567" w:type="dxa"/>
            <w:vMerge w:val="continue"/>
            <w:tcBorders>
              <w:top w:val="single" w:color="000000" w:sz="4" w:space="0"/>
              <w:left w:val="single" w:color="auto" w:sz="4" w:space="0"/>
              <w:bottom w:val="single" w:color="000000" w:sz="4" w:space="0"/>
              <w:right w:val="single" w:color="auto" w:sz="4" w:space="0"/>
            </w:tcBorders>
            <w:vAlign w:val="center"/>
          </w:tcPr>
          <w:p>
            <w:pPr>
              <w:rPr>
                <w:rFonts w:asci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67" w:hRule="atLeast"/>
        </w:trPr>
        <w:tc>
          <w:tcPr>
            <w:tcW w:w="9039" w:type="dxa"/>
            <w:gridSpan w:val="5"/>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center"/>
              <w:rPr>
                <w:rFonts w:ascii="仿宋_GB2312" w:hAnsi="新宋体" w:eastAsia="仿宋_GB2312" w:cs="仿宋_GB2312"/>
                <w:b/>
                <w:kern w:val="0"/>
                <w:sz w:val="24"/>
                <w:szCs w:val="24"/>
              </w:rPr>
            </w:pPr>
            <w:r>
              <w:rPr>
                <w:rFonts w:hint="eastAsia" w:ascii="仿宋_GB2312" w:hAnsi="新宋体" w:eastAsia="仿宋_GB2312" w:cs="仿宋_GB2312"/>
                <w:b/>
                <w:kern w:val="0"/>
                <w:sz w:val="24"/>
                <w:szCs w:val="24"/>
              </w:rPr>
              <w:t>自评总分</w:t>
            </w:r>
          </w:p>
        </w:tc>
        <w:tc>
          <w:tcPr>
            <w:tcW w:w="567"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rFonts w:hint="default" w:eastAsiaTheme="minorEastAsia"/>
                <w:szCs w:val="21"/>
                <w:lang w:val="en-US" w:eastAsia="zh-CN"/>
              </w:rPr>
            </w:pPr>
            <w:r>
              <w:rPr>
                <w:rFonts w:hint="eastAsia"/>
                <w:szCs w:val="21"/>
                <w:lang w:val="en-US" w:eastAsia="zh-CN"/>
              </w:rPr>
              <w:t>96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29"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投入（1</w:t>
            </w:r>
            <w:r>
              <w:rPr>
                <w:rFonts w:hint="eastAsia" w:ascii="仿宋_GB2312" w:hAnsi="新宋体" w:eastAsia="仿宋_GB2312" w:cs="仿宋_GB2312"/>
                <w:kern w:val="0"/>
                <w:szCs w:val="21"/>
              </w:rPr>
              <w:t>0分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绩效</w:t>
            </w:r>
            <w:r>
              <w:rPr>
                <w:rFonts w:ascii="仿宋_GB2312" w:hAnsi="新宋体" w:eastAsia="仿宋_GB2312" w:cs="仿宋_GB2312"/>
                <w:kern w:val="0"/>
                <w:szCs w:val="21"/>
              </w:rPr>
              <w:t>目标设定</w:t>
            </w:r>
            <w:r>
              <w:rPr>
                <w:rFonts w:hint="eastAsia" w:ascii="仿宋_GB2312" w:hAnsi="新宋体" w:eastAsia="仿宋_GB2312" w:cs="仿宋_GB2312"/>
                <w:kern w:val="0"/>
                <w:szCs w:val="21"/>
              </w:rPr>
              <w:t>情</w:t>
            </w:r>
          </w:p>
          <w:p>
            <w:pPr>
              <w:widowControl/>
              <w:spacing w:line="240" w:lineRule="exact"/>
              <w:jc w:val="left"/>
              <w:rPr>
                <w:sz w:val="18"/>
                <w:szCs w:val="18"/>
              </w:rPr>
            </w:pP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职责明确</w:t>
            </w:r>
          </w:p>
          <w:p>
            <w:pPr>
              <w:widowControl/>
              <w:spacing w:line="240" w:lineRule="exact"/>
              <w:jc w:val="left"/>
              <w:rPr>
                <w:szCs w:val="21"/>
              </w:rPr>
            </w:pPr>
            <w:r>
              <w:rPr>
                <w:rFonts w:ascii="仿宋_GB2312" w:hAnsi="新宋体" w:eastAsia="仿宋_GB2312" w:cs="仿宋_GB2312"/>
                <w:kern w:val="0"/>
                <w:szCs w:val="21"/>
              </w:rPr>
              <w:t>（1</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部门的职责设定是否符合“三定”方案中所赋予的职责，用以反映和评价部门工作的目的性与计划性。</w:t>
            </w:r>
          </w:p>
        </w:tc>
        <w:tc>
          <w:tcPr>
            <w:tcW w:w="2552"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符合（1）；</w:t>
            </w:r>
          </w:p>
          <w:p>
            <w:pPr>
              <w:widowControl/>
              <w:spacing w:line="240" w:lineRule="exact"/>
              <w:jc w:val="left"/>
              <w:rPr>
                <w:szCs w:val="21"/>
              </w:rPr>
            </w:pPr>
            <w:r>
              <w:rPr>
                <w:rFonts w:ascii="仿宋_GB2312" w:hAnsi="新宋体" w:eastAsia="仿宋_GB2312" w:cs="仿宋_GB2312"/>
                <w:kern w:val="0"/>
                <w:szCs w:val="21"/>
              </w:rPr>
              <w:t>不符合（0）。</w:t>
            </w:r>
          </w:p>
        </w:tc>
        <w:tc>
          <w:tcPr>
            <w:tcW w:w="567"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535"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活动合规性</w:t>
            </w:r>
          </w:p>
          <w:p>
            <w:pPr>
              <w:widowControl/>
              <w:spacing w:line="240" w:lineRule="exact"/>
              <w:jc w:val="left"/>
              <w:rPr>
                <w:szCs w:val="21"/>
              </w:rPr>
            </w:pPr>
            <w:r>
              <w:rPr>
                <w:rFonts w:ascii="仿宋_GB2312" w:hAnsi="新宋体" w:eastAsia="仿宋_GB2312" w:cs="仿宋_GB2312"/>
                <w:kern w:val="0"/>
                <w:szCs w:val="21"/>
              </w:rPr>
              <w:t>（2</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部门的活动是否在职责范围之内并符合部门中长期规划，用以反映和评价部门活动目标与部门履职、年度工作任务的相符性情况。</w:t>
            </w:r>
          </w:p>
          <w:p>
            <w:pPr>
              <w:widowControl/>
              <w:spacing w:line="240" w:lineRule="exact"/>
              <w:jc w:val="left"/>
              <w:rPr>
                <w:szCs w:val="21"/>
              </w:rPr>
            </w:pPr>
            <w:r>
              <w:rPr>
                <w:rFonts w:ascii="仿宋_GB2312" w:hAnsi="新宋体" w:eastAsia="仿宋_GB2312" w:cs="仿宋_GB2312"/>
                <w:kern w:val="0"/>
                <w:szCs w:val="21"/>
              </w:rPr>
              <w:t>评价要点：</w:t>
            </w:r>
          </w:p>
          <w:p>
            <w:pPr>
              <w:widowControl/>
              <w:spacing w:line="240" w:lineRule="exact"/>
              <w:jc w:val="left"/>
              <w:rPr>
                <w:szCs w:val="21"/>
              </w:rPr>
            </w:pPr>
            <w:r>
              <w:rPr>
                <w:rFonts w:ascii="仿宋_GB2312" w:hAnsi="新宋体" w:eastAsia="仿宋_GB2312" w:cs="仿宋_GB2312"/>
                <w:kern w:val="0"/>
                <w:szCs w:val="21"/>
              </w:rPr>
              <w:t>1.部门活动的设定在部门所确定的职责范围之内；</w:t>
            </w:r>
          </w:p>
          <w:p>
            <w:pPr>
              <w:widowControl/>
              <w:spacing w:line="240" w:lineRule="exact"/>
              <w:jc w:val="left"/>
              <w:rPr>
                <w:szCs w:val="21"/>
              </w:rPr>
            </w:pPr>
            <w:r>
              <w:rPr>
                <w:rFonts w:ascii="仿宋_GB2312" w:hAnsi="新宋体" w:eastAsia="仿宋_GB2312" w:cs="仿宋_GB2312"/>
                <w:kern w:val="0"/>
                <w:szCs w:val="21"/>
              </w:rPr>
              <w:t>2.部门活动符合</w:t>
            </w:r>
            <w:r>
              <w:rPr>
                <w:rFonts w:hint="eastAsia" w:ascii="仿宋_GB2312" w:hAnsi="新宋体" w:eastAsia="仿宋_GB2312" w:cs="仿宋_GB2312"/>
                <w:kern w:val="0"/>
                <w:szCs w:val="21"/>
              </w:rPr>
              <w:t>市</w:t>
            </w:r>
            <w:r>
              <w:rPr>
                <w:rFonts w:ascii="仿宋_GB2312" w:hAnsi="新宋体" w:eastAsia="仿宋_GB2312" w:cs="仿宋_GB2312"/>
                <w:kern w:val="0"/>
                <w:szCs w:val="21"/>
              </w:rPr>
              <w:t>委、</w:t>
            </w:r>
            <w:r>
              <w:rPr>
                <w:rFonts w:hint="eastAsia" w:ascii="仿宋_GB2312" w:hAnsi="新宋体" w:eastAsia="仿宋_GB2312" w:cs="仿宋_GB2312"/>
                <w:kern w:val="0"/>
                <w:szCs w:val="21"/>
              </w:rPr>
              <w:t>市</w:t>
            </w:r>
            <w:r>
              <w:rPr>
                <w:rFonts w:ascii="仿宋_GB2312" w:hAnsi="新宋体" w:eastAsia="仿宋_GB2312" w:cs="仿宋_GB2312"/>
                <w:kern w:val="0"/>
                <w:szCs w:val="21"/>
              </w:rPr>
              <w:t>政府的发展规划及本部门的年度工作安排与发展规划。</w:t>
            </w:r>
          </w:p>
        </w:tc>
        <w:tc>
          <w:tcPr>
            <w:tcW w:w="2552"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全部符合（2）；</w:t>
            </w:r>
          </w:p>
          <w:p>
            <w:pPr>
              <w:widowControl/>
              <w:spacing w:line="240" w:lineRule="exact"/>
              <w:jc w:val="left"/>
              <w:rPr>
                <w:szCs w:val="21"/>
              </w:rPr>
            </w:pPr>
            <w:r>
              <w:rPr>
                <w:rFonts w:ascii="仿宋_GB2312" w:hAnsi="新宋体" w:eastAsia="仿宋_GB2312" w:cs="仿宋_GB2312"/>
                <w:kern w:val="0"/>
                <w:szCs w:val="21"/>
              </w:rPr>
              <w:t>其中一项不符合（0）。</w:t>
            </w:r>
          </w:p>
        </w:tc>
        <w:tc>
          <w:tcPr>
            <w:tcW w:w="567"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0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活动合理性</w:t>
            </w:r>
          </w:p>
          <w:p>
            <w:pPr>
              <w:widowControl/>
              <w:spacing w:line="240" w:lineRule="exact"/>
              <w:jc w:val="left"/>
              <w:rPr>
                <w:szCs w:val="21"/>
              </w:rPr>
            </w:pPr>
            <w:r>
              <w:rPr>
                <w:rFonts w:ascii="仿宋_GB2312" w:hAnsi="新宋体" w:eastAsia="仿宋_GB2312" w:cs="仿宋_GB2312"/>
                <w:kern w:val="0"/>
                <w:szCs w:val="21"/>
              </w:rPr>
              <w:t>（2</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部门所设立的活动是否明确合理、活动的关键性指标设置是否可衡量，用以反映和评价部门活动目标设定的合理性。</w:t>
            </w:r>
          </w:p>
          <w:p>
            <w:pPr>
              <w:widowControl/>
              <w:spacing w:line="240" w:lineRule="exact"/>
              <w:jc w:val="left"/>
              <w:rPr>
                <w:szCs w:val="21"/>
              </w:rPr>
            </w:pPr>
            <w:r>
              <w:rPr>
                <w:rFonts w:ascii="仿宋_GB2312" w:hAnsi="新宋体" w:eastAsia="仿宋_GB2312" w:cs="仿宋_GB2312"/>
                <w:kern w:val="0"/>
                <w:szCs w:val="21"/>
              </w:rPr>
              <w:t>评价要点：</w:t>
            </w:r>
          </w:p>
          <w:p>
            <w:pPr>
              <w:widowControl/>
              <w:spacing w:line="240" w:lineRule="exact"/>
              <w:jc w:val="left"/>
              <w:rPr>
                <w:szCs w:val="21"/>
              </w:rPr>
            </w:pPr>
            <w:r>
              <w:rPr>
                <w:rFonts w:ascii="仿宋_GB2312" w:hAnsi="新宋体" w:eastAsia="仿宋_GB2312" w:cs="仿宋_GB2312"/>
                <w:kern w:val="0"/>
                <w:szCs w:val="21"/>
              </w:rPr>
              <w:t>1.活动目标的设定是可量化的，可通过清晰、可衡量的关键指标值予以体现；</w:t>
            </w:r>
          </w:p>
          <w:p>
            <w:pPr>
              <w:widowControl/>
              <w:spacing w:line="240" w:lineRule="exact"/>
              <w:jc w:val="left"/>
              <w:rPr>
                <w:szCs w:val="21"/>
              </w:rPr>
            </w:pPr>
            <w:r>
              <w:rPr>
                <w:rFonts w:ascii="仿宋_GB2312" w:hAnsi="新宋体" w:eastAsia="仿宋_GB2312" w:cs="仿宋_GB2312"/>
                <w:kern w:val="0"/>
                <w:szCs w:val="21"/>
              </w:rPr>
              <w:t>2.在活动目标设定时，将关键指标明细分解为具体的达成目标与工作任务。</w:t>
            </w:r>
          </w:p>
        </w:tc>
        <w:tc>
          <w:tcPr>
            <w:tcW w:w="2552"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全部符合（2）；</w:t>
            </w:r>
          </w:p>
          <w:p>
            <w:pPr>
              <w:widowControl/>
              <w:spacing w:line="240" w:lineRule="exact"/>
              <w:jc w:val="left"/>
              <w:rPr>
                <w:szCs w:val="21"/>
              </w:rPr>
            </w:pPr>
            <w:r>
              <w:rPr>
                <w:rFonts w:ascii="仿宋_GB2312" w:hAnsi="新宋体" w:eastAsia="仿宋_GB2312" w:cs="仿宋_GB2312"/>
                <w:kern w:val="0"/>
                <w:szCs w:val="21"/>
              </w:rPr>
              <w:t>其中一项不符合（0）。</w:t>
            </w:r>
          </w:p>
        </w:tc>
        <w:tc>
          <w:tcPr>
            <w:tcW w:w="567"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51"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restart"/>
            <w:tcBorders>
              <w:top w:val="single" w:color="000000" w:sz="4" w:space="0"/>
              <w:left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预算配置</w:t>
            </w:r>
            <w:r>
              <w:rPr>
                <w:rFonts w:hint="eastAsia" w:ascii="仿宋_GB2312" w:hAnsi="新宋体" w:eastAsia="仿宋_GB2312" w:cs="仿宋_GB2312"/>
                <w:kern w:val="0"/>
                <w:szCs w:val="21"/>
              </w:rPr>
              <w:t>情况</w:t>
            </w:r>
            <w:r>
              <w:rPr>
                <w:rFonts w:ascii="仿宋_GB2312" w:hAnsi="新宋体" w:eastAsia="仿宋_GB2312" w:cs="仿宋_GB2312"/>
                <w:kern w:val="0"/>
                <w:szCs w:val="21"/>
              </w:rPr>
              <w:t>(</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1559" w:type="dxa"/>
            <w:tcBorders>
              <w:top w:val="single" w:color="auto" w:sz="4" w:space="0"/>
              <w:left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在职人员控制率（</w:t>
            </w:r>
            <w:r>
              <w:rPr>
                <w:rFonts w:hint="eastAsia" w:ascii="仿宋_GB2312" w:hAnsi="新宋体" w:eastAsia="仿宋_GB2312" w:cs="仿宋_GB2312"/>
                <w:kern w:val="0"/>
                <w:szCs w:val="21"/>
              </w:rPr>
              <w:t>1分</w:t>
            </w:r>
            <w:r>
              <w:rPr>
                <w:rFonts w:ascii="仿宋_GB2312" w:hAnsi="新宋体" w:eastAsia="仿宋_GB2312" w:cs="仿宋_GB2312"/>
                <w:kern w:val="0"/>
                <w:szCs w:val="21"/>
              </w:rPr>
              <w:t>）</w:t>
            </w:r>
          </w:p>
        </w:tc>
        <w:tc>
          <w:tcPr>
            <w:tcW w:w="3260"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部门本年度实际在职人员数与编制数的比率，用以反映和评价部门对人员成本的控制程度。</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在职人员控制率=（在职人员数/编制数）×100%。</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在职人员数：部门实际在职人数，以财政部确定的部门决算编制口径为准，由编制部门和人劳部门批复同意的临聘人员除外。</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编制数：机构编制部门核定批复的部门人员编制数。</w:t>
            </w:r>
          </w:p>
        </w:tc>
        <w:tc>
          <w:tcPr>
            <w:tcW w:w="2552"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1.在职人员控制率小于或等于100%的，得满分；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2.在职人员控制率大于或等于115%的，得0分；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3.在职人员控制率在100%-115%之间的，在0分和满分之间计算确定：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得分=[max（在职人员控制率）－某部门在职人员控制率]/[max（在职人员控制率）－min（在职人员控制率）]×该指标分值。</w:t>
            </w:r>
          </w:p>
        </w:tc>
        <w:tc>
          <w:tcPr>
            <w:tcW w:w="567"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817" w:type="dxa"/>
            <w:vMerge w:val="restart"/>
            <w:tcBorders>
              <w:top w:val="single" w:color="000000" w:sz="4" w:space="0"/>
              <w:left w:val="single" w:color="000000" w:sz="4" w:space="0"/>
              <w:right w:val="single" w:color="000000" w:sz="4" w:space="0"/>
            </w:tcBorders>
            <w:vAlign w:val="center"/>
          </w:tcPr>
          <w:p>
            <w:pPr>
              <w:spacing w:line="240" w:lineRule="exact"/>
              <w:rPr>
                <w:rFonts w:ascii="宋体"/>
                <w:szCs w:val="21"/>
              </w:rPr>
            </w:pPr>
          </w:p>
        </w:tc>
        <w:tc>
          <w:tcPr>
            <w:tcW w:w="851" w:type="dxa"/>
            <w:vMerge w:val="continue"/>
            <w:tcBorders>
              <w:left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rPr>
            </w:pPr>
          </w:p>
        </w:tc>
        <w:tc>
          <w:tcPr>
            <w:tcW w:w="1559" w:type="dxa"/>
            <w:tcBorders>
              <w:top w:val="single" w:color="auto" w:sz="4" w:space="0"/>
              <w:left w:val="single" w:color="000000" w:sz="4" w:space="0"/>
              <w:right w:val="single" w:color="auto" w:sz="4" w:space="0"/>
            </w:tcBorders>
            <w:vAlign w:val="center"/>
          </w:tcPr>
          <w:p>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“三公经费”变动率（2分）</w:t>
            </w:r>
          </w:p>
        </w:tc>
        <w:tc>
          <w:tcPr>
            <w:tcW w:w="3260" w:type="dxa"/>
            <w:tcBorders>
              <w:top w:val="single" w:color="auto" w:sz="4" w:space="0"/>
              <w:left w:val="single" w:color="auto" w:sz="4" w:space="0"/>
              <w:right w:val="single" w:color="auto" w:sz="4" w:space="0"/>
            </w:tcBorders>
            <w:vAlign w:val="center"/>
          </w:tcPr>
          <w:p>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部门本年度“三公经费”预算数与上年度“三公经费”预算数的变动比率，用以反映和考核部门对控制重点行政成本的努力程度。“三公经费”变动率=[（本年度“三公经费”总额-上年度“三公经费”总额）/上年度“三公经费”总额]×100%。</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“三公经费”：年度预算安排的因公出国（境）费、公务车辆购置及运行费和公务招待费。</w:t>
            </w:r>
          </w:p>
        </w:tc>
        <w:tc>
          <w:tcPr>
            <w:tcW w:w="2552"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小于或等于</w:t>
            </w:r>
            <w:r>
              <w:rPr>
                <w:rFonts w:hint="eastAsia" w:ascii="仿宋_GB2312" w:hAnsi="新宋体" w:eastAsia="仿宋_GB2312" w:cs="仿宋_GB2312"/>
                <w:kern w:val="0"/>
                <w:szCs w:val="21"/>
              </w:rPr>
              <w:t>-5</w:t>
            </w:r>
            <w:r>
              <w:rPr>
                <w:rFonts w:ascii="仿宋_GB2312" w:hAnsi="新宋体" w:eastAsia="仿宋_GB2312" w:cs="仿宋_GB2312"/>
                <w:kern w:val="0"/>
                <w:szCs w:val="21"/>
              </w:rPr>
              <w:t>%的，得满分；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大于或等于1</w:t>
            </w:r>
            <w:r>
              <w:rPr>
                <w:rFonts w:hint="eastAsia" w:ascii="仿宋_GB2312" w:hAnsi="新宋体" w:eastAsia="仿宋_GB2312" w:cs="仿宋_GB2312"/>
                <w:kern w:val="0"/>
                <w:szCs w:val="21"/>
              </w:rPr>
              <w:t>0</w:t>
            </w:r>
            <w:r>
              <w:rPr>
                <w:rFonts w:ascii="仿宋_GB2312" w:hAnsi="新宋体" w:eastAsia="仿宋_GB2312" w:cs="仿宋_GB2312"/>
                <w:kern w:val="0"/>
                <w:szCs w:val="21"/>
              </w:rPr>
              <w:t>%的，得0分；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3.在职人员控制率在</w:t>
            </w:r>
            <w:r>
              <w:rPr>
                <w:rFonts w:hint="eastAsia" w:ascii="仿宋_GB2312" w:hAnsi="新宋体" w:eastAsia="仿宋_GB2312" w:cs="仿宋_GB2312"/>
                <w:kern w:val="0"/>
                <w:szCs w:val="21"/>
              </w:rPr>
              <w:t>-5</w:t>
            </w:r>
            <w:r>
              <w:rPr>
                <w:rFonts w:ascii="仿宋_GB2312" w:hAnsi="新宋体" w:eastAsia="仿宋_GB2312" w:cs="仿宋_GB2312"/>
                <w:kern w:val="0"/>
                <w:szCs w:val="21"/>
              </w:rPr>
              <w:t>%-</w:t>
            </w:r>
            <w:r>
              <w:rPr>
                <w:rFonts w:hint="eastAsia" w:ascii="仿宋_GB2312" w:hAnsi="新宋体" w:eastAsia="仿宋_GB2312" w:cs="仿宋_GB2312"/>
                <w:kern w:val="0"/>
                <w:szCs w:val="21"/>
              </w:rPr>
              <w:t>10</w:t>
            </w:r>
            <w:r>
              <w:rPr>
                <w:rFonts w:ascii="仿宋_GB2312" w:hAnsi="新宋体" w:eastAsia="仿宋_GB2312" w:cs="仿宋_GB2312"/>
                <w:kern w:val="0"/>
                <w:szCs w:val="21"/>
              </w:rPr>
              <w:t>%之间的，在0分和满分之间计算确定：</w:t>
            </w:r>
          </w:p>
          <w:p>
            <w:pPr>
              <w:widowControl/>
              <w:spacing w:line="240" w:lineRule="exact"/>
              <w:jc w:val="left"/>
              <w:textAlignment w:val="center"/>
              <w:rPr>
                <w:rFonts w:ascii="仿宋" w:hAnsi="仿宋" w:eastAsia="仿宋" w:cs="仿宋"/>
                <w:kern w:val="0"/>
                <w:szCs w:val="21"/>
              </w:rPr>
            </w:pPr>
            <w:r>
              <w:rPr>
                <w:rFonts w:ascii="仿宋_GB2312" w:hAnsi="新宋体" w:eastAsia="仿宋_GB2312" w:cs="仿宋_GB2312"/>
                <w:kern w:val="0"/>
                <w:szCs w:val="21"/>
              </w:rPr>
              <w:t>得分=[max（</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]/[max（</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）－min（</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）]×该指标分值。</w:t>
            </w:r>
          </w:p>
        </w:tc>
        <w:tc>
          <w:tcPr>
            <w:tcW w:w="567"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817" w:type="dxa"/>
            <w:vMerge w:val="continue"/>
            <w:tcBorders>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left w:val="single" w:color="000000" w:sz="4" w:space="0"/>
              <w:bottom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rPr>
            </w:pPr>
          </w:p>
        </w:tc>
        <w:tc>
          <w:tcPr>
            <w:tcW w:w="1559" w:type="dxa"/>
            <w:tcBorders>
              <w:top w:val="single" w:color="auto" w:sz="4" w:space="0"/>
              <w:left w:val="single" w:color="000000" w:sz="4" w:space="0"/>
              <w:right w:val="single" w:color="auto" w:sz="4" w:space="0"/>
            </w:tcBorders>
            <w:vAlign w:val="center"/>
          </w:tcPr>
          <w:p>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重点支出安排率（2分）</w:t>
            </w:r>
          </w:p>
        </w:tc>
        <w:tc>
          <w:tcPr>
            <w:tcW w:w="3260" w:type="dxa"/>
            <w:tcBorders>
              <w:top w:val="single" w:color="auto" w:sz="4" w:space="0"/>
              <w:left w:val="single" w:color="auto" w:sz="4" w:space="0"/>
              <w:right w:val="single" w:color="auto" w:sz="4" w:space="0"/>
            </w:tcBorders>
            <w:vAlign w:val="center"/>
          </w:tcPr>
          <w:p>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部门本年度预算安排的重点项目支出与部门项目总支出的比率，用以反映和考核部门对履行主要职责或完成重点任务的保障程度。重点支出安排率=（重点项目支出/项目总支出）×100%。</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重点项目支出：部门（单位）年度预算安排的，与本部门履职和发展密切相关、具有明显社会和经济影响、党委政府关心或社会比较关注的项目支出总额。</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项目总支出：部门（单位）年度预算安排的项目支出总额。</w:t>
            </w:r>
          </w:p>
        </w:tc>
        <w:tc>
          <w:tcPr>
            <w:tcW w:w="2552"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大于或等于95%的，得满分；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小于或等于85%的，得0分；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在85%-95%之间的，在0分和满分之间计算确定：</w:t>
            </w:r>
          </w:p>
          <w:p>
            <w:pPr>
              <w:widowControl/>
              <w:spacing w:line="240" w:lineRule="exact"/>
              <w:jc w:val="left"/>
              <w:textAlignment w:val="center"/>
              <w:rPr>
                <w:rFonts w:ascii="仿宋" w:hAnsi="仿宋" w:eastAsia="仿宋" w:cs="仿宋"/>
                <w:kern w:val="0"/>
                <w:szCs w:val="21"/>
              </w:rPr>
            </w:pPr>
            <w:r>
              <w:rPr>
                <w:rFonts w:ascii="仿宋_GB2312" w:hAnsi="新宋体" w:eastAsia="仿宋_GB2312" w:cs="仿宋_GB2312"/>
                <w:kern w:val="0"/>
                <w:szCs w:val="21"/>
              </w:rPr>
              <w:t>得分=[某部门</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-min（</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）]/[max（</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）－min（</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）]×该指标分值。</w:t>
            </w:r>
          </w:p>
        </w:tc>
        <w:tc>
          <w:tcPr>
            <w:tcW w:w="567"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过程(</w:t>
            </w:r>
            <w:r>
              <w:rPr>
                <w:rFonts w:hint="eastAsia" w:ascii="仿宋_GB2312" w:hAnsi="新宋体" w:eastAsia="仿宋_GB2312" w:cs="仿宋_GB2312"/>
                <w:kern w:val="0"/>
                <w:szCs w:val="21"/>
              </w:rPr>
              <w:t>45分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预算执行</w:t>
            </w:r>
            <w:r>
              <w:rPr>
                <w:rFonts w:hint="eastAsia" w:ascii="仿宋_GB2312" w:hAnsi="新宋体" w:eastAsia="仿宋_GB2312" w:cs="仿宋_GB2312"/>
                <w:kern w:val="0"/>
                <w:szCs w:val="21"/>
              </w:rPr>
              <w:t>情况</w:t>
            </w:r>
            <w:r>
              <w:rPr>
                <w:rFonts w:ascii="仿宋_GB2312" w:hAnsi="新宋体" w:eastAsia="仿宋_GB2312" w:cs="仿宋_GB2312"/>
                <w:kern w:val="0"/>
                <w:szCs w:val="21"/>
              </w:rPr>
              <w:t>(</w:t>
            </w:r>
            <w:r>
              <w:rPr>
                <w:rFonts w:hint="eastAsia" w:ascii="仿宋_GB2312" w:hAnsi="新宋体" w:eastAsia="仿宋_GB2312" w:cs="仿宋_GB2312"/>
                <w:kern w:val="0"/>
                <w:szCs w:val="21"/>
              </w:rPr>
              <w:t>25分</w:t>
            </w:r>
            <w:r>
              <w:rPr>
                <w:rFonts w:ascii="仿宋_GB2312" w:hAnsi="新宋体" w:eastAsia="仿宋_GB2312" w:cs="仿宋_GB2312"/>
                <w:kern w:val="0"/>
                <w:szCs w:val="21"/>
              </w:rPr>
              <w:t>)</w:t>
            </w: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预算完成率</w:t>
            </w:r>
          </w:p>
          <w:p>
            <w:pPr>
              <w:widowControl/>
              <w:spacing w:line="240" w:lineRule="exact"/>
              <w:jc w:val="left"/>
              <w:rPr>
                <w:szCs w:val="21"/>
              </w:rPr>
            </w:pPr>
            <w:r>
              <w:rPr>
                <w:rFonts w:ascii="仿宋_GB2312" w:hAnsi="新宋体" w:eastAsia="仿宋_GB2312" w:cs="仿宋_GB2312"/>
                <w:kern w:val="0"/>
                <w:szCs w:val="21"/>
              </w:rPr>
              <w:t>（5</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通过对部门本年度预算完成数与预算数的比较，反映和评价部门预算的完成程度。</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预算完成率=（预算完成数/预算数）×100%。</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1.预算完成率大于或等于95%的，得满分；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2.预算完成率小于或等于85%的，得0分；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3.预算完成率在85%-95%之间的，在0分和满分之间计算确定：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得分=[某部门预算完成率-min（预算完成率）]/[max（预算完成率）－min（预算完成率）]×该指标分值。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3"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预算调整率</w:t>
            </w:r>
          </w:p>
          <w:p>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3分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部门本年度预算调整数与预算数的比率，用以反映和评价部门预算的调整程度。</w:t>
            </w:r>
          </w:p>
          <w:p>
            <w:pPr>
              <w:widowControl/>
              <w:spacing w:line="240" w:lineRule="exact"/>
              <w:jc w:val="left"/>
              <w:rPr>
                <w:szCs w:val="21"/>
              </w:rPr>
            </w:pPr>
            <w:r>
              <w:rPr>
                <w:rFonts w:ascii="仿宋_GB2312" w:hAnsi="新宋体" w:eastAsia="仿宋_GB2312" w:cs="仿宋_GB2312"/>
                <w:kern w:val="0"/>
                <w:szCs w:val="21"/>
              </w:rPr>
              <w:t>预算调整率=（预算调整数/预算数）×100%。</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 xml:space="preserve">1.预算调整率等于0的，得满分； </w:t>
            </w:r>
          </w:p>
          <w:p>
            <w:pPr>
              <w:widowControl/>
              <w:spacing w:line="240" w:lineRule="exact"/>
              <w:jc w:val="left"/>
              <w:rPr>
                <w:szCs w:val="21"/>
              </w:rPr>
            </w:pPr>
            <w:r>
              <w:rPr>
                <w:rFonts w:ascii="仿宋_GB2312" w:hAnsi="新宋体" w:eastAsia="仿宋_GB2312" w:cs="仿宋_GB2312"/>
                <w:kern w:val="0"/>
                <w:szCs w:val="21"/>
              </w:rPr>
              <w:t>2.预算调整率大于或等于10%的，得0分；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3.预算调整率在0-10%之间的，在0分和满分之间确定：</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得分=［max（预算调整率）-某部门预算调整率］/［max（预算调整率）-min（预算调整率）］×该指标分值。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92"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支付进度率</w:t>
            </w:r>
          </w:p>
          <w:p>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度支付数与</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度任务数的比率，用以反映和评价部门预算执行的及时和均衡程度。</w:t>
            </w:r>
          </w:p>
          <w:p>
            <w:pPr>
              <w:widowControl/>
              <w:spacing w:line="240" w:lineRule="exact"/>
              <w:jc w:val="left"/>
              <w:rPr>
                <w:szCs w:val="21"/>
              </w:rPr>
            </w:pPr>
            <w:r>
              <w:rPr>
                <w:rFonts w:ascii="仿宋_GB2312" w:hAnsi="新宋体" w:eastAsia="仿宋_GB2312" w:cs="仿宋_GB2312"/>
                <w:kern w:val="0"/>
                <w:szCs w:val="21"/>
              </w:rPr>
              <w:t>支付进度率=（</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度任务数）×100%。</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按</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度的执行情况进行打分</w:t>
            </w:r>
            <w:r>
              <w:rPr>
                <w:rFonts w:hint="eastAsia" w:ascii="仿宋_GB2312" w:hAnsi="新宋体" w:eastAsia="仿宋_GB2312" w:cs="仿宋_GB2312"/>
                <w:kern w:val="0"/>
                <w:szCs w:val="21"/>
              </w:rPr>
              <w:t>。</w:t>
            </w:r>
            <w:r>
              <w:rPr>
                <w:rFonts w:ascii="仿宋_GB2312" w:hAnsi="新宋体" w:eastAsia="仿宋_GB2312" w:cs="仿宋_GB2312"/>
                <w:kern w:val="0"/>
                <w:szCs w:val="21"/>
              </w:rPr>
              <w:t>得分=</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度任务数×该指标分值。</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7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结转</w:t>
            </w: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结余率</w:t>
            </w:r>
          </w:p>
          <w:p>
            <w:pPr>
              <w:widowControl/>
              <w:spacing w:line="240" w:lineRule="exact"/>
              <w:jc w:val="left"/>
              <w:rPr>
                <w:szCs w:val="21"/>
              </w:rPr>
            </w:pPr>
            <w:r>
              <w:rPr>
                <w:rFonts w:ascii="仿宋_GB2312" w:hAnsi="新宋体" w:eastAsia="仿宋_GB2312" w:cs="仿宋_GB2312"/>
                <w:kern w:val="0"/>
                <w:szCs w:val="21"/>
              </w:rPr>
              <w:t>（4</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通过对部门本年度结转结余总额与支出预算数的比较，反映和评价部门对本年度结转结余资金的实际控制程度。</w:t>
            </w:r>
          </w:p>
          <w:p>
            <w:pPr>
              <w:widowControl/>
              <w:spacing w:line="240" w:lineRule="exact"/>
              <w:jc w:val="left"/>
              <w:rPr>
                <w:szCs w:val="21"/>
              </w:rPr>
            </w:pPr>
            <w:r>
              <w:rPr>
                <w:rFonts w:ascii="仿宋_GB2312" w:hAnsi="新宋体" w:eastAsia="仿宋_GB2312" w:cs="仿宋_GB2312"/>
                <w:kern w:val="0"/>
                <w:szCs w:val="21"/>
              </w:rPr>
              <w:t>结转结余率=（结转结余总额/支出预算数）×100%。</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1.结转结余率等于0的，得满分；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2.结转结余率大于或等于50%的，得0分；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3.结转结余率在0-50%之间的，在0和满分之间计算确定：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得分=[max（结转结余率）－某部门结转结余率]/[max（结转结余率）－min（结转结余率）]×该指标分值。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10"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宋体" w:eastAsiaTheme="minorEastAsia"/>
                <w:szCs w:val="21"/>
                <w:lang w:eastAsia="zh-CN"/>
              </w:rPr>
            </w:pPr>
            <w:r>
              <w:rPr>
                <w:rFonts w:hint="eastAsia" w:ascii="宋体"/>
                <w:szCs w:val="21"/>
                <w:lang w:eastAsia="zh-CN"/>
              </w:rPr>
              <w:t>4</w:t>
            </w: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公用经费</w:t>
            </w: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控制率</w:t>
            </w:r>
          </w:p>
          <w:p>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4分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通过对部门本年度实际支出的公用经费总额与预算安排的公用经费总额的比率，反映和评价部门对机构运转成本的实际控制程度。</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公用经费控制率=（实际支出公用经费总额/预算安排公用经费总额）×100%。</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1.公用经费控制率小于或等于100%的，得满分；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2.公用经费控制率大于或等于105%的，得0分；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3.公用经费控制率在100%-105%之间的，在0和满分之间计算确定：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得分=［max（公用经费控制率）-某部门公用经费控制率］/［max（公用经费控制率）-min（公用经费控制率）］×该指标分值。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99"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政府采购</w:t>
            </w: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执行率</w:t>
            </w:r>
          </w:p>
          <w:p>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4分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通过对部门本年度实际政府采购预算项目个数与政府采购预算项目个数的比较，反映和评价部门政府采购预算执行情况。</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政府采购执行率=（实际政府采购预算项目个数/政府采购预算项目个数）×100%。</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政府采购项目中非预算内安排的项目除外。</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1.政府采购执行率等于100%的，得满分；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2.政府采购执行率小于或等于90%的，0分；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3.政府采购执行率在90%-100%之间的，在0和满分之间计算确定：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得分=［某部门政府采购执行率-min（政府采购执行率）］/［max（政府采购执行率）-min（政府采购执行率）］×该指标分值。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预算管理</w:t>
            </w:r>
            <w:r>
              <w:rPr>
                <w:rFonts w:hint="eastAsia" w:ascii="仿宋_GB2312" w:hAnsi="新宋体" w:eastAsia="仿宋_GB2312" w:cs="仿宋_GB2312"/>
                <w:kern w:val="0"/>
                <w:szCs w:val="21"/>
              </w:rPr>
              <w:t>情况</w:t>
            </w:r>
          </w:p>
          <w:p>
            <w:pPr>
              <w:widowControl/>
              <w:spacing w:line="240" w:lineRule="exact"/>
              <w:jc w:val="left"/>
              <w:rPr>
                <w:szCs w:val="21"/>
              </w:rPr>
            </w:pPr>
            <w:r>
              <w:rPr>
                <w:rFonts w:ascii="仿宋_GB2312" w:hAnsi="新宋体" w:eastAsia="仿宋_GB2312" w:cs="仿宋_GB2312"/>
                <w:kern w:val="0"/>
                <w:szCs w:val="21"/>
              </w:rPr>
              <w:t>（15）</w:t>
            </w: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资金使用</w:t>
            </w: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合规性</w:t>
            </w:r>
          </w:p>
          <w:p>
            <w:pPr>
              <w:widowControl/>
              <w:spacing w:line="240" w:lineRule="exact"/>
              <w:jc w:val="left"/>
              <w:rPr>
                <w:szCs w:val="21"/>
              </w:rPr>
            </w:pPr>
            <w:r>
              <w:rPr>
                <w:rFonts w:ascii="仿宋_GB2312" w:hAnsi="新宋体" w:eastAsia="仿宋_GB2312" w:cs="仿宋_GB2312"/>
                <w:kern w:val="0"/>
                <w:szCs w:val="21"/>
              </w:rPr>
              <w:t>（8</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部门使用预算资金是否符合相关的预算财务管理制度的规定，反映和评价部门预算资金的规范运行情况。</w:t>
            </w:r>
          </w:p>
          <w:p>
            <w:pPr>
              <w:widowControl/>
              <w:spacing w:line="240" w:lineRule="exact"/>
              <w:jc w:val="left"/>
              <w:rPr>
                <w:szCs w:val="21"/>
              </w:rPr>
            </w:pPr>
            <w:r>
              <w:rPr>
                <w:rFonts w:ascii="仿宋_GB2312" w:hAnsi="新宋体" w:eastAsia="仿宋_GB2312" w:cs="仿宋_GB2312"/>
                <w:kern w:val="0"/>
                <w:szCs w:val="21"/>
              </w:rPr>
              <w:t>评价要点：</w:t>
            </w:r>
          </w:p>
          <w:p>
            <w:pPr>
              <w:widowControl/>
              <w:spacing w:line="240" w:lineRule="exact"/>
              <w:jc w:val="left"/>
              <w:rPr>
                <w:szCs w:val="21"/>
              </w:rPr>
            </w:pPr>
            <w:r>
              <w:rPr>
                <w:rFonts w:ascii="仿宋_GB2312" w:hAnsi="新宋体" w:eastAsia="仿宋_GB2312" w:cs="仿宋_GB2312"/>
                <w:kern w:val="0"/>
                <w:szCs w:val="21"/>
              </w:rPr>
              <w:t>1.符合国家财经法规和财务管理制度规定以及有关部门资金管理办法的规定；</w:t>
            </w:r>
          </w:p>
          <w:p>
            <w:pPr>
              <w:widowControl/>
              <w:spacing w:line="240" w:lineRule="exact"/>
              <w:jc w:val="left"/>
              <w:rPr>
                <w:szCs w:val="21"/>
              </w:rPr>
            </w:pPr>
            <w:r>
              <w:rPr>
                <w:rFonts w:ascii="仿宋_GB2312" w:hAnsi="新宋体" w:eastAsia="仿宋_GB2312" w:cs="仿宋_GB2312"/>
                <w:kern w:val="0"/>
                <w:szCs w:val="21"/>
              </w:rPr>
              <w:t>2.资金的拨付有完整的审批过程和手续；</w:t>
            </w:r>
          </w:p>
          <w:p>
            <w:pPr>
              <w:widowControl/>
              <w:spacing w:line="240" w:lineRule="exact"/>
              <w:jc w:val="left"/>
              <w:rPr>
                <w:szCs w:val="21"/>
              </w:rPr>
            </w:pPr>
            <w:r>
              <w:rPr>
                <w:rFonts w:ascii="仿宋_GB2312" w:hAnsi="新宋体" w:eastAsia="仿宋_GB2312" w:cs="仿宋_GB2312"/>
                <w:kern w:val="0"/>
                <w:szCs w:val="21"/>
              </w:rPr>
              <w:t>3.项目的重大开支经过评估论证；</w:t>
            </w:r>
          </w:p>
          <w:p>
            <w:pPr>
              <w:widowControl/>
              <w:spacing w:line="240" w:lineRule="exact"/>
              <w:jc w:val="left"/>
              <w:rPr>
                <w:szCs w:val="21"/>
              </w:rPr>
            </w:pPr>
            <w:r>
              <w:rPr>
                <w:rFonts w:ascii="仿宋_GB2312" w:hAnsi="新宋体" w:eastAsia="仿宋_GB2312" w:cs="仿宋_GB2312"/>
                <w:kern w:val="0"/>
                <w:szCs w:val="21"/>
              </w:rPr>
              <w:t>4.符合部门预算批复的用途；</w:t>
            </w:r>
          </w:p>
          <w:p>
            <w:pPr>
              <w:widowControl/>
              <w:spacing w:line="240" w:lineRule="exact"/>
              <w:jc w:val="left"/>
              <w:rPr>
                <w:szCs w:val="21"/>
              </w:rPr>
            </w:pPr>
            <w:r>
              <w:rPr>
                <w:rFonts w:ascii="仿宋_GB2312" w:hAnsi="新宋体" w:eastAsia="仿宋_GB2312" w:cs="仿宋_GB2312"/>
                <w:kern w:val="0"/>
                <w:szCs w:val="21"/>
              </w:rPr>
              <w:t>5.不存在截留情况；</w:t>
            </w:r>
          </w:p>
          <w:p>
            <w:pPr>
              <w:widowControl/>
              <w:spacing w:line="240" w:lineRule="exact"/>
              <w:jc w:val="left"/>
              <w:rPr>
                <w:szCs w:val="21"/>
              </w:rPr>
            </w:pPr>
            <w:r>
              <w:rPr>
                <w:rFonts w:ascii="仿宋_GB2312" w:hAnsi="新宋体" w:eastAsia="仿宋_GB2312" w:cs="仿宋_GB2312"/>
                <w:kern w:val="0"/>
                <w:szCs w:val="21"/>
              </w:rPr>
              <w:t>6.不存在挤占情况；</w:t>
            </w:r>
          </w:p>
          <w:p>
            <w:pPr>
              <w:widowControl/>
              <w:spacing w:line="240" w:lineRule="exact"/>
              <w:jc w:val="left"/>
              <w:rPr>
                <w:szCs w:val="21"/>
              </w:rPr>
            </w:pPr>
            <w:r>
              <w:rPr>
                <w:rFonts w:ascii="仿宋_GB2312" w:hAnsi="新宋体" w:eastAsia="仿宋_GB2312" w:cs="仿宋_GB2312"/>
                <w:kern w:val="0"/>
                <w:szCs w:val="21"/>
              </w:rPr>
              <w:t>7.不存在挪用情况；</w:t>
            </w:r>
          </w:p>
          <w:p>
            <w:pPr>
              <w:widowControl/>
              <w:spacing w:line="240" w:lineRule="exact"/>
              <w:jc w:val="left"/>
              <w:rPr>
                <w:szCs w:val="21"/>
              </w:rPr>
            </w:pPr>
            <w:r>
              <w:rPr>
                <w:rFonts w:ascii="仿宋_GB2312" w:hAnsi="新宋体" w:eastAsia="仿宋_GB2312" w:cs="仿宋_GB2312"/>
                <w:kern w:val="0"/>
                <w:szCs w:val="21"/>
              </w:rPr>
              <w:t>8.不存在虚列支出情况。</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全部符合（8）；</w:t>
            </w:r>
          </w:p>
          <w:p>
            <w:pPr>
              <w:widowControl/>
              <w:spacing w:line="240" w:lineRule="exact"/>
              <w:jc w:val="left"/>
              <w:rPr>
                <w:szCs w:val="21"/>
              </w:rPr>
            </w:pPr>
            <w:r>
              <w:rPr>
                <w:rFonts w:ascii="仿宋_GB2312" w:hAnsi="新宋体" w:eastAsia="仿宋_GB2312" w:cs="仿宋_GB2312"/>
                <w:kern w:val="0"/>
                <w:szCs w:val="21"/>
              </w:rPr>
              <w:t>符合其中七项（6）；</w:t>
            </w:r>
          </w:p>
          <w:p>
            <w:pPr>
              <w:widowControl/>
              <w:spacing w:line="240" w:lineRule="exact"/>
              <w:jc w:val="left"/>
              <w:rPr>
                <w:szCs w:val="21"/>
              </w:rPr>
            </w:pPr>
            <w:r>
              <w:rPr>
                <w:rFonts w:ascii="仿宋_GB2312" w:hAnsi="新宋体" w:eastAsia="仿宋_GB2312" w:cs="仿宋_GB2312"/>
                <w:kern w:val="0"/>
                <w:szCs w:val="21"/>
              </w:rPr>
              <w:t>符合其中六项（4）；</w:t>
            </w:r>
          </w:p>
          <w:p>
            <w:pPr>
              <w:widowControl/>
              <w:spacing w:line="240" w:lineRule="exact"/>
              <w:jc w:val="left"/>
              <w:rPr>
                <w:szCs w:val="21"/>
              </w:rPr>
            </w:pPr>
            <w:r>
              <w:rPr>
                <w:rFonts w:ascii="仿宋_GB2312" w:hAnsi="新宋体" w:eastAsia="仿宋_GB2312" w:cs="仿宋_GB2312"/>
                <w:kern w:val="0"/>
                <w:szCs w:val="21"/>
              </w:rPr>
              <w:t>符合其中五项（2）；</w:t>
            </w:r>
          </w:p>
          <w:p>
            <w:pPr>
              <w:widowControl/>
              <w:spacing w:line="240" w:lineRule="exact"/>
              <w:jc w:val="left"/>
              <w:rPr>
                <w:szCs w:val="21"/>
              </w:rPr>
            </w:pPr>
            <w:r>
              <w:rPr>
                <w:rFonts w:ascii="仿宋_GB2312" w:hAnsi="新宋体" w:eastAsia="仿宋_GB2312" w:cs="仿宋_GB2312"/>
                <w:kern w:val="0"/>
                <w:szCs w:val="21"/>
              </w:rPr>
              <w:t>符合其中四项及以下（0）。</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预决算信息</w:t>
            </w: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公开性</w:t>
            </w:r>
          </w:p>
          <w:p>
            <w:pPr>
              <w:widowControl/>
              <w:spacing w:line="240" w:lineRule="exact"/>
              <w:jc w:val="left"/>
              <w:rPr>
                <w:szCs w:val="21"/>
              </w:rPr>
            </w:pPr>
            <w:r>
              <w:rPr>
                <w:rFonts w:ascii="仿宋_GB2312" w:hAnsi="新宋体" w:eastAsia="仿宋_GB2312" w:cs="仿宋_GB2312"/>
                <w:kern w:val="0"/>
                <w:szCs w:val="21"/>
              </w:rPr>
              <w:t>（3</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部门是否按照政府信息公开有关规定公开相关预决算信息，用以反映和评价部门预决算管理的公开透明情况。</w:t>
            </w:r>
          </w:p>
          <w:p>
            <w:pPr>
              <w:widowControl/>
              <w:spacing w:line="240" w:lineRule="exact"/>
              <w:jc w:val="left"/>
              <w:rPr>
                <w:szCs w:val="21"/>
              </w:rPr>
            </w:pPr>
            <w:r>
              <w:rPr>
                <w:rFonts w:ascii="仿宋_GB2312" w:hAnsi="新宋体" w:eastAsia="仿宋_GB2312" w:cs="仿宋_GB2312"/>
                <w:kern w:val="0"/>
                <w:szCs w:val="21"/>
              </w:rPr>
              <w:t>预决算信息是指与部门预算、执行、决算、监督、绩效等管理相关的信息。</w:t>
            </w:r>
          </w:p>
          <w:p>
            <w:pPr>
              <w:widowControl/>
              <w:spacing w:line="240" w:lineRule="exact"/>
              <w:jc w:val="left"/>
              <w:rPr>
                <w:szCs w:val="21"/>
              </w:rPr>
            </w:pPr>
            <w:r>
              <w:rPr>
                <w:rFonts w:ascii="仿宋_GB2312" w:hAnsi="新宋体" w:eastAsia="仿宋_GB2312" w:cs="仿宋_GB2312"/>
                <w:kern w:val="0"/>
                <w:szCs w:val="21"/>
              </w:rPr>
              <w:t>评价要点：</w:t>
            </w:r>
          </w:p>
          <w:p>
            <w:pPr>
              <w:widowControl/>
              <w:spacing w:line="240" w:lineRule="exact"/>
              <w:jc w:val="left"/>
              <w:rPr>
                <w:szCs w:val="21"/>
              </w:rPr>
            </w:pPr>
            <w:r>
              <w:rPr>
                <w:rFonts w:ascii="仿宋_GB2312" w:hAnsi="新宋体" w:eastAsia="仿宋_GB2312" w:cs="仿宋_GB2312"/>
                <w:kern w:val="0"/>
                <w:szCs w:val="21"/>
              </w:rPr>
              <w:t>1.公开预决算信息；</w:t>
            </w:r>
          </w:p>
          <w:p>
            <w:pPr>
              <w:widowControl/>
              <w:spacing w:line="240" w:lineRule="exact"/>
              <w:jc w:val="left"/>
              <w:rPr>
                <w:szCs w:val="21"/>
              </w:rPr>
            </w:pPr>
            <w:r>
              <w:rPr>
                <w:rFonts w:ascii="仿宋_GB2312" w:hAnsi="新宋体" w:eastAsia="仿宋_GB2312" w:cs="仿宋_GB2312"/>
                <w:kern w:val="0"/>
                <w:szCs w:val="21"/>
              </w:rPr>
              <w:t>2.按规定内容公开预决算信息；</w:t>
            </w:r>
          </w:p>
          <w:p>
            <w:pPr>
              <w:widowControl/>
              <w:spacing w:line="240" w:lineRule="exact"/>
              <w:jc w:val="left"/>
              <w:rPr>
                <w:szCs w:val="21"/>
              </w:rPr>
            </w:pPr>
            <w:r>
              <w:rPr>
                <w:rFonts w:ascii="仿宋_GB2312" w:hAnsi="新宋体" w:eastAsia="仿宋_GB2312" w:cs="仿宋_GB2312"/>
                <w:kern w:val="0"/>
                <w:szCs w:val="21"/>
              </w:rPr>
              <w:t>3.按规定时限公开预决算信息。</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全部符合（3）；</w:t>
            </w:r>
          </w:p>
          <w:p>
            <w:pPr>
              <w:widowControl/>
              <w:spacing w:line="240" w:lineRule="exact"/>
              <w:jc w:val="left"/>
              <w:rPr>
                <w:szCs w:val="21"/>
              </w:rPr>
            </w:pPr>
            <w:r>
              <w:rPr>
                <w:rFonts w:ascii="仿宋_GB2312" w:hAnsi="新宋体" w:eastAsia="仿宋_GB2312" w:cs="仿宋_GB2312"/>
                <w:kern w:val="0"/>
                <w:szCs w:val="21"/>
              </w:rPr>
              <w:t>符合其中两项（2）</w:t>
            </w:r>
          </w:p>
          <w:p>
            <w:pPr>
              <w:widowControl/>
              <w:spacing w:line="240" w:lineRule="exact"/>
              <w:jc w:val="left"/>
              <w:rPr>
                <w:szCs w:val="21"/>
              </w:rPr>
            </w:pPr>
            <w:r>
              <w:rPr>
                <w:rFonts w:ascii="仿宋_GB2312" w:hAnsi="新宋体" w:eastAsia="仿宋_GB2312" w:cs="仿宋_GB2312"/>
                <w:kern w:val="0"/>
                <w:szCs w:val="21"/>
              </w:rPr>
              <w:t>符合其中一项及以下（0）。</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基础信息</w:t>
            </w:r>
          </w:p>
          <w:p>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完善性</w:t>
            </w:r>
          </w:p>
          <w:p>
            <w:pPr>
              <w:widowControl/>
              <w:spacing w:line="240" w:lineRule="exact"/>
              <w:jc w:val="left"/>
              <w:rPr>
                <w:szCs w:val="21"/>
              </w:rPr>
            </w:pPr>
            <w:r>
              <w:rPr>
                <w:rFonts w:ascii="仿宋_GB2312" w:hAnsi="新宋体" w:eastAsia="仿宋_GB2312" w:cs="仿宋_GB2312"/>
                <w:kern w:val="0"/>
                <w:szCs w:val="21"/>
              </w:rPr>
              <w:t>（4</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部门基础信息是否完善，用以反映和评价基础信息对预算管理工作的支撑情况。</w:t>
            </w:r>
          </w:p>
          <w:p>
            <w:pPr>
              <w:widowControl/>
              <w:spacing w:line="240" w:lineRule="exact"/>
              <w:jc w:val="left"/>
              <w:rPr>
                <w:szCs w:val="21"/>
              </w:rPr>
            </w:pPr>
            <w:r>
              <w:rPr>
                <w:rFonts w:ascii="仿宋_GB2312" w:hAnsi="新宋体" w:eastAsia="仿宋_GB2312" w:cs="仿宋_GB2312"/>
                <w:kern w:val="0"/>
                <w:szCs w:val="21"/>
              </w:rPr>
              <w:t>评价要点：</w:t>
            </w:r>
          </w:p>
          <w:p>
            <w:pPr>
              <w:widowControl/>
              <w:spacing w:line="240" w:lineRule="exact"/>
              <w:jc w:val="left"/>
              <w:rPr>
                <w:szCs w:val="21"/>
              </w:rPr>
            </w:pPr>
            <w:r>
              <w:rPr>
                <w:rFonts w:ascii="仿宋_GB2312" w:hAnsi="新宋体" w:eastAsia="仿宋_GB2312" w:cs="仿宋_GB2312"/>
                <w:kern w:val="0"/>
                <w:szCs w:val="21"/>
              </w:rPr>
              <w:t>1.基本财务管理制度健全；</w:t>
            </w:r>
          </w:p>
          <w:p>
            <w:pPr>
              <w:widowControl/>
              <w:spacing w:line="240" w:lineRule="exact"/>
              <w:jc w:val="left"/>
              <w:rPr>
                <w:szCs w:val="21"/>
              </w:rPr>
            </w:pPr>
            <w:r>
              <w:rPr>
                <w:rFonts w:ascii="仿宋_GB2312" w:hAnsi="新宋体" w:eastAsia="仿宋_GB2312" w:cs="仿宋_GB2312"/>
                <w:kern w:val="0"/>
                <w:szCs w:val="21"/>
              </w:rPr>
              <w:t>2.基础数据信息和会计信息资料真实；</w:t>
            </w:r>
          </w:p>
          <w:p>
            <w:pPr>
              <w:widowControl/>
              <w:spacing w:line="240" w:lineRule="exact"/>
              <w:jc w:val="left"/>
              <w:rPr>
                <w:szCs w:val="21"/>
              </w:rPr>
            </w:pPr>
            <w:r>
              <w:rPr>
                <w:rFonts w:ascii="仿宋_GB2312" w:hAnsi="新宋体" w:eastAsia="仿宋_GB2312" w:cs="仿宋_GB2312"/>
                <w:kern w:val="0"/>
                <w:szCs w:val="21"/>
              </w:rPr>
              <w:t>3.基础数据信息和会计信息资料完整；</w:t>
            </w:r>
          </w:p>
          <w:p>
            <w:pPr>
              <w:widowControl/>
              <w:spacing w:line="240" w:lineRule="exact"/>
              <w:jc w:val="left"/>
              <w:rPr>
                <w:szCs w:val="21"/>
              </w:rPr>
            </w:pPr>
            <w:r>
              <w:rPr>
                <w:rFonts w:ascii="仿宋_GB2312" w:hAnsi="新宋体" w:eastAsia="仿宋_GB2312" w:cs="仿宋_GB2312"/>
                <w:kern w:val="0"/>
                <w:szCs w:val="21"/>
              </w:rPr>
              <w:t>4.基础数据信息和会计信息资料准确。</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符合全部四项（4）；</w:t>
            </w:r>
          </w:p>
          <w:p>
            <w:pPr>
              <w:widowControl/>
              <w:spacing w:line="240" w:lineRule="exact"/>
              <w:jc w:val="left"/>
              <w:rPr>
                <w:szCs w:val="21"/>
              </w:rPr>
            </w:pPr>
            <w:r>
              <w:rPr>
                <w:rFonts w:ascii="仿宋_GB2312" w:hAnsi="新宋体" w:eastAsia="仿宋_GB2312" w:cs="仿宋_GB2312"/>
                <w:kern w:val="0"/>
                <w:szCs w:val="21"/>
              </w:rPr>
              <w:t>符合其中三项（2）；</w:t>
            </w:r>
          </w:p>
          <w:p>
            <w:pPr>
              <w:widowControl/>
              <w:spacing w:line="240" w:lineRule="exact"/>
              <w:jc w:val="left"/>
              <w:rPr>
                <w:szCs w:val="21"/>
              </w:rPr>
            </w:pPr>
            <w:r>
              <w:rPr>
                <w:rFonts w:ascii="仿宋_GB2312" w:hAnsi="新宋体" w:eastAsia="仿宋_GB2312" w:cs="仿宋_GB2312"/>
                <w:kern w:val="0"/>
                <w:szCs w:val="21"/>
              </w:rPr>
              <w:t>符合其中两项（1）；</w:t>
            </w:r>
          </w:p>
          <w:p>
            <w:pPr>
              <w:widowControl/>
              <w:spacing w:line="240" w:lineRule="exact"/>
              <w:jc w:val="left"/>
              <w:rPr>
                <w:szCs w:val="21"/>
              </w:rPr>
            </w:pPr>
            <w:r>
              <w:rPr>
                <w:rFonts w:ascii="仿宋_GB2312" w:hAnsi="新宋体" w:eastAsia="仿宋_GB2312" w:cs="仿宋_GB2312"/>
                <w:kern w:val="0"/>
                <w:szCs w:val="21"/>
              </w:rPr>
              <w:t>符合其中一项及以下（0）。</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资产管理</w:t>
            </w:r>
            <w:r>
              <w:rPr>
                <w:rFonts w:hint="eastAsia" w:ascii="仿宋_GB2312" w:hAnsi="新宋体" w:eastAsia="仿宋_GB2312" w:cs="仿宋_GB2312"/>
                <w:kern w:val="0"/>
                <w:szCs w:val="21"/>
              </w:rPr>
              <w:t>情况</w:t>
            </w: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auto"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资产管理</w:t>
            </w: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完整性</w:t>
            </w:r>
          </w:p>
          <w:p>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2分</w:t>
            </w:r>
            <w:r>
              <w:rPr>
                <w:rFonts w:ascii="仿宋_GB2312" w:hAnsi="新宋体" w:eastAsia="仿宋_GB2312" w:cs="仿宋_GB2312"/>
                <w:kern w:val="0"/>
                <w:szCs w:val="21"/>
              </w:rPr>
              <w:t>）</w:t>
            </w:r>
          </w:p>
        </w:tc>
        <w:tc>
          <w:tcPr>
            <w:tcW w:w="3260" w:type="dxa"/>
            <w:tcBorders>
              <w:top w:val="single" w:color="auto"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部门的资产是否保存完整、使用合规、收入及时足额上缴，用以反映和评价部门资产运行情况。</w:t>
            </w:r>
          </w:p>
          <w:p>
            <w:pPr>
              <w:widowControl/>
              <w:spacing w:line="240" w:lineRule="exact"/>
              <w:jc w:val="left"/>
              <w:rPr>
                <w:szCs w:val="21"/>
              </w:rPr>
            </w:pPr>
            <w:r>
              <w:rPr>
                <w:rFonts w:ascii="仿宋_GB2312" w:hAnsi="新宋体" w:eastAsia="仿宋_GB2312" w:cs="仿宋_GB2312"/>
                <w:kern w:val="0"/>
                <w:szCs w:val="21"/>
              </w:rPr>
              <w:t>评价要点：</w:t>
            </w:r>
          </w:p>
          <w:p>
            <w:pPr>
              <w:widowControl/>
              <w:spacing w:line="240" w:lineRule="exact"/>
              <w:jc w:val="left"/>
              <w:rPr>
                <w:szCs w:val="21"/>
              </w:rPr>
            </w:pPr>
            <w:r>
              <w:rPr>
                <w:rFonts w:ascii="仿宋_GB2312" w:hAnsi="新宋体" w:eastAsia="仿宋_GB2312" w:cs="仿宋_GB2312"/>
                <w:kern w:val="0"/>
                <w:szCs w:val="21"/>
              </w:rPr>
              <w:t>1.资产保存完整；</w:t>
            </w:r>
          </w:p>
          <w:p>
            <w:pPr>
              <w:widowControl/>
              <w:spacing w:line="240" w:lineRule="exact"/>
              <w:jc w:val="left"/>
              <w:rPr>
                <w:szCs w:val="21"/>
              </w:rPr>
            </w:pPr>
            <w:r>
              <w:rPr>
                <w:rFonts w:ascii="仿宋_GB2312" w:hAnsi="新宋体" w:eastAsia="仿宋_GB2312" w:cs="仿宋_GB2312"/>
                <w:kern w:val="0"/>
                <w:szCs w:val="21"/>
              </w:rPr>
              <w:t>2.资产账务管理是否合规，</w:t>
            </w:r>
            <w:bookmarkStart w:id="0" w:name="_GoBack"/>
            <w:r>
              <w:rPr>
                <w:rFonts w:hint="eastAsia" w:ascii="仿宋_GB2312" w:hAnsi="新宋体" w:eastAsia="仿宋_GB2312" w:cs="仿宋_GB2312"/>
                <w:kern w:val="0"/>
                <w:szCs w:val="21"/>
                <w:lang w:val="en-US" w:eastAsia="zh-CN"/>
              </w:rPr>
              <w:t>账</w:t>
            </w:r>
            <w:bookmarkEnd w:id="0"/>
            <w:r>
              <w:rPr>
                <w:rFonts w:ascii="仿宋_GB2312" w:hAnsi="新宋体" w:eastAsia="仿宋_GB2312" w:cs="仿宋_GB2312"/>
                <w:kern w:val="0"/>
                <w:szCs w:val="21"/>
              </w:rPr>
              <w:t>实相符；</w:t>
            </w:r>
          </w:p>
          <w:p>
            <w:pPr>
              <w:widowControl/>
              <w:spacing w:line="240" w:lineRule="exact"/>
              <w:jc w:val="left"/>
              <w:rPr>
                <w:szCs w:val="21"/>
              </w:rPr>
            </w:pPr>
            <w:r>
              <w:rPr>
                <w:rFonts w:ascii="仿宋_GB2312" w:hAnsi="新宋体" w:eastAsia="仿宋_GB2312" w:cs="仿宋_GB2312"/>
                <w:kern w:val="0"/>
                <w:szCs w:val="21"/>
              </w:rPr>
              <w:t>3.资产有偿使用及处置收入及时足额上缴。</w:t>
            </w:r>
          </w:p>
        </w:tc>
        <w:tc>
          <w:tcPr>
            <w:tcW w:w="2552" w:type="dxa"/>
            <w:tcBorders>
              <w:top w:val="single" w:color="auto"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符合全部三项（3）；</w:t>
            </w:r>
          </w:p>
          <w:p>
            <w:pPr>
              <w:widowControl/>
              <w:spacing w:line="240" w:lineRule="exact"/>
              <w:jc w:val="left"/>
              <w:rPr>
                <w:szCs w:val="21"/>
              </w:rPr>
            </w:pPr>
            <w:r>
              <w:rPr>
                <w:rFonts w:ascii="仿宋_GB2312" w:hAnsi="新宋体" w:eastAsia="仿宋_GB2312" w:cs="仿宋_GB2312"/>
                <w:kern w:val="0"/>
                <w:szCs w:val="21"/>
              </w:rPr>
              <w:t>符合其中两项（2）；</w:t>
            </w:r>
          </w:p>
          <w:p>
            <w:pPr>
              <w:widowControl/>
              <w:spacing w:line="240" w:lineRule="exact"/>
              <w:jc w:val="left"/>
              <w:rPr>
                <w:szCs w:val="21"/>
              </w:rPr>
            </w:pPr>
            <w:r>
              <w:rPr>
                <w:rFonts w:ascii="仿宋_GB2312" w:hAnsi="新宋体" w:eastAsia="仿宋_GB2312" w:cs="仿宋_GB2312"/>
                <w:kern w:val="0"/>
                <w:szCs w:val="21"/>
              </w:rPr>
              <w:t>符合其中一项（1）；</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符合零项（0）。</w:t>
            </w:r>
          </w:p>
        </w:tc>
        <w:tc>
          <w:tcPr>
            <w:tcW w:w="567"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rFonts w:hint="default" w:eastAsiaTheme="minorEastAsia"/>
                <w:szCs w:val="21"/>
                <w:lang w:val="en-US" w:eastAsia="zh-CN"/>
              </w:rPr>
            </w:pPr>
            <w:r>
              <w:rPr>
                <w:rFonts w:hint="eastAsia"/>
                <w:szCs w:val="21"/>
                <w:lang w:val="en-US" w:eastAsia="zh-CN"/>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89"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auto"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固定资产</w:t>
            </w: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利用率</w:t>
            </w:r>
          </w:p>
          <w:p>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3分</w:t>
            </w:r>
            <w:r>
              <w:rPr>
                <w:rFonts w:ascii="仿宋_GB2312" w:hAnsi="新宋体" w:eastAsia="仿宋_GB2312" w:cs="仿宋_GB2312"/>
                <w:kern w:val="0"/>
                <w:szCs w:val="21"/>
              </w:rPr>
              <w:t>）</w:t>
            </w:r>
          </w:p>
        </w:tc>
        <w:tc>
          <w:tcPr>
            <w:tcW w:w="3260" w:type="dxa"/>
            <w:tcBorders>
              <w:top w:val="single" w:color="auto"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部门实际在用固定资产总额与所有固定资产总额的比率，用以反映和评价部门固定资产使用效率。</w:t>
            </w:r>
          </w:p>
          <w:p>
            <w:pPr>
              <w:widowControl/>
              <w:spacing w:line="240" w:lineRule="exact"/>
              <w:jc w:val="left"/>
              <w:rPr>
                <w:szCs w:val="21"/>
              </w:rPr>
            </w:pPr>
            <w:r>
              <w:rPr>
                <w:rFonts w:ascii="仿宋_GB2312" w:hAnsi="新宋体" w:eastAsia="仿宋_GB2312" w:cs="仿宋_GB2312"/>
                <w:kern w:val="0"/>
                <w:szCs w:val="21"/>
              </w:rPr>
              <w:t>固定资产利用率=（实际在用固定资产总额/所有固定资产总额）×100%。</w:t>
            </w:r>
          </w:p>
        </w:tc>
        <w:tc>
          <w:tcPr>
            <w:tcW w:w="2552" w:type="dxa"/>
            <w:tcBorders>
              <w:top w:val="single" w:color="auto"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1.固定资产利用率大于或等于95%的，得满分；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2.固定资产利用率小于或等于85%的，得0分；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3.固定资产利用率在85%-95%之间的，在0和满分之间计算确定：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得分=［某部门固定资产利用率-min（固定资产利用率）］/［max（固定资产利用率）-min（固定资产利用率）］×该指标分值。</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p>
        </w:tc>
        <w:tc>
          <w:tcPr>
            <w:tcW w:w="567"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产出(2</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职责履行</w:t>
            </w:r>
            <w:r>
              <w:rPr>
                <w:rFonts w:hint="eastAsia" w:ascii="仿宋_GB2312" w:hAnsi="新宋体" w:eastAsia="仿宋_GB2312" w:cs="仿宋_GB2312"/>
                <w:kern w:val="0"/>
                <w:szCs w:val="21"/>
              </w:rPr>
              <w:t>情况</w:t>
            </w:r>
            <w:r>
              <w:rPr>
                <w:rFonts w:ascii="仿宋_GB2312" w:hAnsi="新宋体" w:eastAsia="仿宋_GB2312" w:cs="仿宋_GB2312"/>
                <w:kern w:val="0"/>
                <w:sz w:val="18"/>
                <w:szCs w:val="18"/>
              </w:rPr>
              <w:t>（2</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履职</w:t>
            </w:r>
          </w:p>
          <w:p>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完成</w:t>
            </w:r>
          </w:p>
          <w:p>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情况</w:t>
            </w:r>
          </w:p>
          <w:p>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10分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textAlignment w:val="center"/>
              <w:rPr>
                <w:szCs w:val="21"/>
              </w:rPr>
            </w:pPr>
            <w:r>
              <w:rPr>
                <w:rFonts w:hint="eastAsia" w:ascii="仿宋" w:hAnsi="仿宋" w:eastAsia="仿宋" w:cs="仿宋"/>
                <w:color w:val="000000"/>
                <w:kern w:val="0"/>
                <w:szCs w:val="21"/>
              </w:rPr>
              <w:t>根据年度主要任务分解表的具体任务，逐项评价任务量化指标完成情况、实施效果和责任制建立情况。用以反映和考核部门（单位）履职工作任务目标的完成情况。评价要点：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1.每项任务是否已制定了明确、具体、可量化、可衡量的绩效指标；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2.每项任务绩效指标的完成情况，是全部完成、基本完成、未完成，还是未实施；</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3.每项任务实施效果情况，是优秀、良好、一般，还是无效果；</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4.每项任务是否建立了目标责任制，是否落实到具体部门和人员负责。</w:t>
            </w:r>
          </w:p>
        </w:tc>
        <w:tc>
          <w:tcPr>
            <w:tcW w:w="2552"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textAlignment w:val="center"/>
              <w:rPr>
                <w:szCs w:val="21"/>
              </w:rPr>
            </w:pPr>
            <w:r>
              <w:rPr>
                <w:rFonts w:hint="eastAsia" w:ascii="仿宋" w:hAnsi="仿宋" w:eastAsia="仿宋" w:cs="仿宋"/>
                <w:color w:val="000000"/>
                <w:kern w:val="0"/>
                <w:szCs w:val="21"/>
              </w:rPr>
              <w:t>根据不同部门履职的内容和特点，具体测算部门履职工作任务目标的完成情况。</w:t>
            </w:r>
          </w:p>
        </w:tc>
        <w:tc>
          <w:tcPr>
            <w:tcW w:w="567"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rFonts w:hint="default" w:eastAsiaTheme="minorEastAsia"/>
                <w:szCs w:val="21"/>
                <w:lang w:val="en-US" w:eastAsia="zh-CN"/>
              </w:rPr>
            </w:pPr>
            <w:r>
              <w:rPr>
                <w:rFonts w:hint="eastAsia"/>
                <w:szCs w:val="21"/>
                <w:lang w:val="en-US" w:eastAsia="zh-CN"/>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90"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项目</w:t>
            </w:r>
            <w:r>
              <w:rPr>
                <w:rFonts w:hint="eastAsia" w:ascii="仿宋_GB2312" w:hAnsi="新宋体" w:eastAsia="仿宋_GB2312" w:cs="仿宋_GB2312"/>
                <w:kern w:val="0"/>
                <w:szCs w:val="21"/>
              </w:rPr>
              <w:t>完成</w:t>
            </w:r>
          </w:p>
          <w:p>
            <w:pPr>
              <w:widowControl/>
              <w:spacing w:line="240" w:lineRule="exact"/>
              <w:jc w:val="left"/>
              <w:rPr>
                <w:szCs w:val="21"/>
              </w:rPr>
            </w:pPr>
            <w:r>
              <w:rPr>
                <w:rFonts w:ascii="仿宋_GB2312" w:hAnsi="新宋体" w:eastAsia="仿宋_GB2312" w:cs="仿宋_GB2312"/>
                <w:kern w:val="0"/>
                <w:szCs w:val="21"/>
              </w:rPr>
              <w:t>质量达标率（</w:t>
            </w:r>
            <w:r>
              <w:rPr>
                <w:rFonts w:hint="eastAsia" w:ascii="仿宋_GB2312" w:hAnsi="新宋体" w:eastAsia="仿宋_GB2312" w:cs="仿宋_GB2312"/>
                <w:kern w:val="0"/>
                <w:szCs w:val="21"/>
              </w:rPr>
              <w:t>15</w:t>
            </w:r>
            <w:r>
              <w:rPr>
                <w:rFonts w:ascii="仿宋_GB2312" w:hAnsi="新宋体" w:eastAsia="仿宋_GB2312" w:cs="仿宋_GB2312"/>
                <w:kern w:val="0"/>
                <w:szCs w:val="21"/>
              </w:rPr>
              <w:t>）</w:t>
            </w:r>
          </w:p>
        </w:tc>
        <w:tc>
          <w:tcPr>
            <w:tcW w:w="3260" w:type="dxa"/>
            <w:tcBorders>
              <w:top w:val="single" w:color="000000"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部门已完成项目中质量达标项目个数占已完成项目个数的比率,用以反映和评价部门履职质量目标的实现程度。</w:t>
            </w:r>
          </w:p>
          <w:p>
            <w:pPr>
              <w:widowControl/>
              <w:spacing w:line="240" w:lineRule="exact"/>
              <w:jc w:val="left"/>
              <w:rPr>
                <w:szCs w:val="21"/>
              </w:rPr>
            </w:pPr>
            <w:r>
              <w:rPr>
                <w:rFonts w:ascii="仿宋_GB2312" w:hAnsi="新宋体" w:eastAsia="仿宋_GB2312" w:cs="仿宋_GB2312"/>
                <w:kern w:val="0"/>
                <w:szCs w:val="21"/>
              </w:rPr>
              <w:t>项目质量达标率=（已完成项目中质量达标项目个数/已完成项目个数）×100%。</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项目质量达标是指项目决算验收合格。</w:t>
            </w:r>
          </w:p>
        </w:tc>
        <w:tc>
          <w:tcPr>
            <w:tcW w:w="2552" w:type="dxa"/>
            <w:tcBorders>
              <w:top w:val="single" w:color="000000"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1.项目质量达标率等于100%的，得满分；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2.项目质量达标率小于或等于99%的，得0分；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 xml:space="preserve">3.项目质量达标率在99%-100%之间的，在0和满分之间计算确定： </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得分=［某部门项目质量达标率-min（项目质量达标率）］/［max（项目质量达标率）-min（项目质量达标率）］×该指标分值。</w:t>
            </w:r>
          </w:p>
        </w:tc>
        <w:tc>
          <w:tcPr>
            <w:tcW w:w="567"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rFonts w:hint="default" w:eastAsiaTheme="minorEastAsia"/>
                <w:szCs w:val="21"/>
                <w:lang w:val="en-US" w:eastAsia="zh-CN"/>
              </w:rPr>
            </w:pPr>
            <w:r>
              <w:rPr>
                <w:rFonts w:hint="eastAsia"/>
                <w:szCs w:val="21"/>
                <w:lang w:val="en-US" w:eastAsia="zh-CN"/>
              </w:rPr>
              <w:t>15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效果（</w:t>
            </w:r>
            <w:r>
              <w:rPr>
                <w:rFonts w:hint="eastAsia" w:ascii="仿宋_GB2312" w:hAnsi="新宋体" w:eastAsia="仿宋_GB2312" w:cs="仿宋_GB2312"/>
                <w:kern w:val="0"/>
                <w:szCs w:val="21"/>
              </w:rPr>
              <w:t>2</w:t>
            </w:r>
            <w:r>
              <w:rPr>
                <w:rFonts w:ascii="仿宋_GB2312" w:hAnsi="新宋体" w:eastAsia="仿宋_GB2312" w:cs="仿宋_GB2312"/>
                <w:kern w:val="0"/>
                <w:szCs w:val="21"/>
              </w:rPr>
              <w:t>0</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851" w:type="dxa"/>
            <w:vMerge w:val="restart"/>
            <w:tcBorders>
              <w:top w:val="single" w:color="auto" w:sz="4" w:space="0"/>
              <w:left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rPr>
            </w:pPr>
          </w:p>
          <w:p>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履职效益情况</w:t>
            </w:r>
          </w:p>
          <w:p>
            <w:pPr>
              <w:widowControl/>
              <w:spacing w:line="240" w:lineRule="exact"/>
              <w:jc w:val="left"/>
              <w:rPr>
                <w:rFonts w:ascii="仿宋_GB2312" w:hAnsi="新宋体" w:eastAsia="仿宋_GB2312" w:cs="仿宋_GB2312"/>
                <w:kern w:val="0"/>
                <w:sz w:val="18"/>
                <w:szCs w:val="18"/>
              </w:rPr>
            </w:pP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20分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经济效益</w:t>
            </w:r>
          </w:p>
          <w:p>
            <w:pPr>
              <w:widowControl/>
              <w:spacing w:line="240" w:lineRule="exact"/>
              <w:jc w:val="left"/>
              <w:rPr>
                <w:szCs w:val="21"/>
              </w:rPr>
            </w:pPr>
            <w:r>
              <w:rPr>
                <w:rFonts w:ascii="仿宋_GB2312" w:hAnsi="新宋体" w:eastAsia="仿宋_GB2312" w:cs="仿宋_GB2312"/>
                <w:kern w:val="0"/>
                <w:szCs w:val="21"/>
              </w:rPr>
              <w:t>（5</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部门及所属二级单位通过履行职责和预算安排支出项目的实施，对我市带来的经济影响。</w:t>
            </w:r>
          </w:p>
          <w:p>
            <w:pPr>
              <w:widowControl/>
              <w:spacing w:line="240" w:lineRule="exact"/>
              <w:jc w:val="left"/>
              <w:textAlignment w:val="center"/>
              <w:rPr>
                <w:rFonts w:ascii="仿宋" w:hAnsi="仿宋" w:eastAsia="仿宋" w:cs="仿宋"/>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1.通过部门所属企事业单位改革，促进了企事业单位效益增长情况；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2.通过预算支出项目的实施，促进了行业生产能力增长，从而带动行业经济效益增长；</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3.通过预算支出项目的实施，有效提高劳动效率，节约成本费用；</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4.通过预算支出项目的实施，降低了损耗，从而提高了生产效益；</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5.通过预算支出项目的实施，完善了突发情况的监测预警，保障了生产安全，降低了生产损失。</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rFonts w:ascii="仿宋" w:hAnsi="仿宋" w:eastAsia="仿宋" w:cs="仿宋"/>
                <w:szCs w:val="21"/>
              </w:rPr>
            </w:pPr>
            <w:r>
              <w:rPr>
                <w:rFonts w:hint="eastAsia" w:ascii="仿宋" w:hAnsi="仿宋" w:eastAsia="仿宋" w:cs="仿宋"/>
                <w:color w:val="000000"/>
                <w:kern w:val="0"/>
                <w:szCs w:val="21"/>
              </w:rPr>
              <w:t>根据不同部门履职的内容和特点，具体测算部门履职产生的经济效益。</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left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rPr>
            </w:pPr>
          </w:p>
        </w:tc>
        <w:tc>
          <w:tcPr>
            <w:tcW w:w="851" w:type="dxa"/>
            <w:vMerge w:val="continue"/>
            <w:tcBorders>
              <w:left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社会效益</w:t>
            </w:r>
          </w:p>
          <w:p>
            <w:pPr>
              <w:widowControl/>
              <w:spacing w:line="240" w:lineRule="exac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（5分）</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部门及所属二级单位履行职责对社会发展所带来的直接或间接影响。</w:t>
            </w:r>
          </w:p>
          <w:p>
            <w:pPr>
              <w:widowControl/>
              <w:spacing w:line="240" w:lineRule="exact"/>
              <w:textAlignment w:val="center"/>
              <w:rPr>
                <w:rFonts w:ascii="仿宋" w:hAnsi="仿宋" w:eastAsia="仿宋" w:cs="仿宋"/>
                <w:color w:val="000000"/>
                <w:kern w:val="0"/>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1.通过部门所属企事业单位的改革，促进了企事业单位可持续发展，带动就业增长情况；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2.通过预算支出项目的实施，是否明显促进了行业精神文明建设；</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3.通过部门履职是否明显提高城乡居民生活水平，满足了人们日益增长的物质与文化生活需求；</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4.通过预算项目的实施，是否提高了劳动生产率，降低了劳动强度，促进了劳动人民的身心健康；</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5.通过部门履职行业形象是否得到了大大提升了，增强了部门影响力。</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textAlignment w:val="center"/>
              <w:rPr>
                <w:rFonts w:ascii="仿宋" w:hAnsi="仿宋" w:eastAsia="仿宋" w:cs="仿宋"/>
                <w:szCs w:val="21"/>
              </w:rPr>
            </w:pPr>
            <w:r>
              <w:rPr>
                <w:rFonts w:hint="eastAsia" w:ascii="仿宋" w:hAnsi="仿宋" w:eastAsia="仿宋" w:cs="仿宋"/>
                <w:color w:val="000000"/>
                <w:kern w:val="0"/>
                <w:szCs w:val="21"/>
              </w:rPr>
              <w:t>根据不同部门履职的内容和特点，具体测算部门履职产生的社会效益。</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left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rPr>
            </w:pPr>
          </w:p>
        </w:tc>
        <w:tc>
          <w:tcPr>
            <w:tcW w:w="851" w:type="dxa"/>
            <w:vMerge w:val="continue"/>
            <w:tcBorders>
              <w:left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生态效益</w:t>
            </w:r>
          </w:p>
          <w:p>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（5分）</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部门及所属二级单位履行职责对生态环境所带来的直接或间接影响。</w:t>
            </w:r>
          </w:p>
          <w:p>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1.通过预算支出项目的实施，绿色、节能环保新技术的应用和推广，明显带动各环节的节能减排，也具有一定的环境效益；</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2.通过履职有效地控制虚假、伪劣、霉变等劣质产品进入市场，影响了人民生活质量，净化地市场环境；</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3.通过预算支出项目的实施，是否达到减少污染物排放；</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4.通过预算支出项目的实施，周围环境得到了整治，面貌得到了改善。</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szCs w:val="21"/>
              </w:rPr>
            </w:pPr>
            <w:r>
              <w:rPr>
                <w:rFonts w:hint="eastAsia" w:ascii="仿宋" w:hAnsi="仿宋" w:eastAsia="仿宋" w:cs="仿宋"/>
                <w:color w:val="000000"/>
                <w:kern w:val="0"/>
                <w:szCs w:val="21"/>
              </w:rPr>
              <w:t>根据不同部门履职的内容和特点，具体测算部门履职产生的生态效益。</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left w:val="single" w:color="000000" w:sz="4" w:space="0"/>
              <w:right w:val="single" w:color="000000" w:sz="4" w:space="0"/>
            </w:tcBorders>
            <w:vAlign w:val="center"/>
          </w:tcPr>
          <w:p>
            <w:pPr>
              <w:widowControl/>
              <w:spacing w:line="240" w:lineRule="exact"/>
              <w:jc w:val="left"/>
              <w:rPr>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szCs w:val="21"/>
              </w:rPr>
            </w:pPr>
            <w:r>
              <w:rPr>
                <w:rFonts w:hint="eastAsia" w:ascii="仿宋_GB2312" w:hAnsi="新宋体" w:eastAsia="仿宋_GB2312" w:cs="仿宋_GB2312"/>
                <w:kern w:val="0"/>
                <w:szCs w:val="21"/>
              </w:rPr>
              <w:t>服务对象</w:t>
            </w:r>
            <w:r>
              <w:rPr>
                <w:rFonts w:ascii="仿宋_GB2312" w:hAnsi="新宋体" w:eastAsia="仿宋_GB2312" w:cs="仿宋_GB2312"/>
                <w:kern w:val="0"/>
                <w:szCs w:val="21"/>
              </w:rPr>
              <w:t>满意度（5）</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hint="eastAsia" w:ascii="仿宋_GB2312" w:hAnsi="新宋体" w:eastAsia="仿宋_GB2312" w:cs="仿宋_GB2312"/>
                <w:kern w:val="0"/>
                <w:szCs w:val="21"/>
              </w:rPr>
              <w:t>通过对部门（单位）的服务对象对部门履职效果的满意程度调查，反映和考核社会公众或服务对象对部门履职的满意度。</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rPr>
                <w:rFonts w:ascii="仿宋" w:hAnsi="仿宋" w:eastAsia="仿宋" w:cs="宋体"/>
                <w:kern w:val="0"/>
                <w:szCs w:val="21"/>
              </w:rPr>
            </w:pPr>
            <w:r>
              <w:rPr>
                <w:rFonts w:ascii="仿宋" w:hAnsi="仿宋" w:eastAsia="仿宋" w:cs="Arial"/>
                <w:kern w:val="0"/>
                <w:szCs w:val="21"/>
              </w:rPr>
              <w:t>按照满意度调查的优秀、良好、合格、不合格给予该项指标打分：</w:t>
            </w:r>
          </w:p>
          <w:p>
            <w:pPr>
              <w:widowControl/>
              <w:spacing w:line="240" w:lineRule="exact"/>
              <w:rPr>
                <w:szCs w:val="21"/>
              </w:rPr>
            </w:pPr>
            <w:r>
              <w:rPr>
                <w:rFonts w:ascii="仿宋" w:hAnsi="仿宋" w:eastAsia="仿宋" w:cs="Arial"/>
                <w:kern w:val="0"/>
                <w:szCs w:val="21"/>
              </w:rPr>
              <w:t>优秀（</w:t>
            </w:r>
            <w:r>
              <w:rPr>
                <w:rFonts w:hint="eastAsia" w:ascii="仿宋" w:hAnsi="仿宋" w:eastAsia="仿宋" w:cs="Arial"/>
                <w:kern w:val="0"/>
                <w:szCs w:val="21"/>
              </w:rPr>
              <w:t>5</w:t>
            </w:r>
            <w:r>
              <w:rPr>
                <w:rFonts w:ascii="仿宋" w:hAnsi="仿宋" w:eastAsia="仿宋" w:cs="Arial"/>
                <w:kern w:val="0"/>
                <w:szCs w:val="21"/>
              </w:rPr>
              <w:t>）；良好（</w:t>
            </w:r>
            <w:r>
              <w:rPr>
                <w:rFonts w:hint="eastAsia" w:ascii="仿宋" w:hAnsi="仿宋" w:eastAsia="仿宋" w:cs="Arial"/>
                <w:kern w:val="0"/>
                <w:szCs w:val="21"/>
              </w:rPr>
              <w:t>3</w:t>
            </w:r>
            <w:r>
              <w:rPr>
                <w:rFonts w:ascii="仿宋" w:hAnsi="仿宋" w:eastAsia="仿宋" w:cs="Arial"/>
                <w:kern w:val="0"/>
                <w:szCs w:val="21"/>
              </w:rPr>
              <w:t>）；合格（</w:t>
            </w:r>
            <w:r>
              <w:rPr>
                <w:rFonts w:hint="eastAsia" w:ascii="仿宋" w:hAnsi="仿宋" w:eastAsia="仿宋" w:cs="Arial"/>
                <w:kern w:val="0"/>
                <w:szCs w:val="21"/>
              </w:rPr>
              <w:t>1</w:t>
            </w:r>
            <w:r>
              <w:rPr>
                <w:rFonts w:ascii="仿宋" w:hAnsi="仿宋" w:eastAsia="仿宋" w:cs="Arial"/>
                <w:kern w:val="0"/>
                <w:szCs w:val="21"/>
              </w:rPr>
              <w:t>）；不合格（</w:t>
            </w:r>
            <w:r>
              <w:rPr>
                <w:rFonts w:hint="eastAsia" w:ascii="仿宋" w:hAnsi="仿宋" w:eastAsia="仿宋" w:cs="Arial"/>
                <w:kern w:val="0"/>
                <w:szCs w:val="21"/>
              </w:rPr>
              <w:t>0</w:t>
            </w:r>
            <w:r>
              <w:rPr>
                <w:rFonts w:ascii="仿宋" w:hAnsi="仿宋" w:eastAsia="仿宋" w:cs="Arial"/>
                <w:kern w:val="0"/>
                <w:szCs w:val="21"/>
              </w:rPr>
              <w:t>）。</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5</w:t>
            </w:r>
          </w:p>
        </w:tc>
      </w:tr>
    </w:tbl>
    <w:p>
      <w:pPr>
        <w:rPr>
          <w:rFonts w:ascii="黑体" w:hAnsi="黑体" w:eastAsia="黑体" w:cs="黑体"/>
          <w:b/>
          <w:bCs/>
          <w:sz w:val="30"/>
          <w:szCs w:val="30"/>
        </w:rPr>
      </w:pPr>
    </w:p>
    <w:p>
      <w:pPr>
        <w:ind w:firstLine="780"/>
        <w:jc w:val="center"/>
        <w:rPr>
          <w:rFonts w:hint="eastAsia" w:cs="黑体" w:asciiTheme="minorEastAsia" w:hAnsiTheme="minorEastAsia" w:eastAsiaTheme="minorEastAsia"/>
          <w:b/>
          <w:bCs/>
          <w:sz w:val="44"/>
          <w:szCs w:val="44"/>
          <w:lang w:eastAsia="zh-CN"/>
        </w:rPr>
      </w:pPr>
      <w:r>
        <w:rPr>
          <w:rFonts w:hint="eastAsia" w:cs="黑体" w:asciiTheme="minorEastAsia" w:hAnsiTheme="minorEastAsia"/>
          <w:b/>
          <w:bCs/>
          <w:sz w:val="44"/>
          <w:szCs w:val="44"/>
        </w:rPr>
        <w:t>隆尧县</w:t>
      </w:r>
      <w:r>
        <w:rPr>
          <w:rFonts w:hint="eastAsia" w:cs="黑体" w:asciiTheme="minorEastAsia" w:hAnsiTheme="minorEastAsia"/>
          <w:b/>
          <w:bCs/>
          <w:sz w:val="44"/>
          <w:szCs w:val="44"/>
          <w:lang w:eastAsia="zh-CN"/>
        </w:rPr>
        <w:t>东良镇人民政府</w:t>
      </w:r>
    </w:p>
    <w:p>
      <w:pPr>
        <w:ind w:firstLine="780"/>
        <w:jc w:val="center"/>
        <w:rPr>
          <w:rFonts w:cs="黑体" w:asciiTheme="minorEastAsia" w:hAnsiTheme="minorEastAsia"/>
          <w:b/>
          <w:bCs/>
          <w:sz w:val="44"/>
          <w:szCs w:val="44"/>
        </w:rPr>
      </w:pPr>
      <w:r>
        <w:rPr>
          <w:rFonts w:hint="eastAsia" w:cs="黑体" w:asciiTheme="minorEastAsia" w:hAnsiTheme="minorEastAsia"/>
          <w:b/>
          <w:bCs/>
          <w:sz w:val="44"/>
          <w:szCs w:val="44"/>
        </w:rPr>
        <w:t>2021年部门整体支出绩效评价报告</w:t>
      </w:r>
    </w:p>
    <w:p>
      <w:pPr>
        <w:ind w:firstLine="640" w:firstLineChars="200"/>
        <w:rPr>
          <w:rFonts w:ascii="黑体" w:hAnsi="黑体" w:eastAsia="黑体" w:cs="仿宋"/>
          <w:sz w:val="32"/>
          <w:szCs w:val="32"/>
        </w:rPr>
      </w:pPr>
      <w:r>
        <w:rPr>
          <w:rFonts w:hint="eastAsia" w:ascii="黑体" w:hAnsi="黑体" w:eastAsia="黑体" w:cs="仿宋"/>
          <w:sz w:val="32"/>
          <w:szCs w:val="32"/>
        </w:rPr>
        <w:t>一、基本概况。</w:t>
      </w:r>
    </w:p>
    <w:p>
      <w:pPr>
        <w:adjustRightInd w:val="0"/>
        <w:ind w:firstLine="640" w:firstLineChars="200"/>
        <w:rPr>
          <w:rFonts w:hint="eastAsia" w:ascii="仿宋" w:hAnsi="仿宋" w:eastAsia="仿宋" w:cs="仿宋"/>
          <w:sz w:val="32"/>
          <w:szCs w:val="32"/>
        </w:rPr>
      </w:pPr>
      <w:r>
        <w:rPr>
          <w:rFonts w:hint="eastAsia" w:ascii="仿宋" w:hAnsi="仿宋" w:eastAsia="仿宋" w:cs="仿宋"/>
          <w:sz w:val="32"/>
          <w:szCs w:val="32"/>
        </w:rPr>
        <w:t>(一)部门主要职责职能和部门组织架构</w:t>
      </w:r>
    </w:p>
    <w:p>
      <w:pPr>
        <w:widowControl/>
        <w:spacing w:line="580" w:lineRule="atLeast"/>
        <w:ind w:firstLine="640"/>
        <w:jc w:val="left"/>
        <w:rPr>
          <w:rFonts w:hint="eastAsia" w:ascii="仿宋_GB2312" w:eastAsia="仿宋_GB2312" w:cs="Times New Roman"/>
          <w:sz w:val="30"/>
          <w:szCs w:val="30"/>
        </w:rPr>
      </w:pPr>
      <w:r>
        <w:rPr>
          <w:rFonts w:hint="eastAsia" w:ascii="仿宋_GB2312" w:eastAsia="仿宋_GB2312" w:cs="Times New Roman"/>
          <w:sz w:val="30"/>
          <w:szCs w:val="30"/>
        </w:rPr>
        <w:t>为切实加强对镇财经工作办公室的管理，提高财政工作效率，按照乡镇财政管理的有关规定，结合我镇实际，特制定财政工作职责如下：</w:t>
      </w:r>
    </w:p>
    <w:p>
      <w:pPr>
        <w:widowControl/>
        <w:spacing w:line="580" w:lineRule="atLeast"/>
        <w:ind w:firstLine="640"/>
        <w:jc w:val="left"/>
        <w:rPr>
          <w:rFonts w:hint="eastAsia" w:ascii="仿宋_GB2312" w:eastAsia="仿宋_GB2312" w:cs="Times New Roman"/>
          <w:sz w:val="30"/>
          <w:szCs w:val="30"/>
        </w:rPr>
      </w:pPr>
      <w:r>
        <w:rPr>
          <w:rFonts w:hint="eastAsia" w:ascii="仿宋_GB2312" w:hAnsi="宋体" w:eastAsia="仿宋_GB2312" w:cs="宋体"/>
          <w:kern w:val="0"/>
          <w:sz w:val="30"/>
          <w:szCs w:val="30"/>
        </w:rPr>
        <w:t>1)</w:t>
      </w:r>
      <w:r>
        <w:rPr>
          <w:rFonts w:hint="eastAsia" w:ascii="仿宋_GB2312" w:eastAsia="仿宋_GB2312" w:cs="宋体"/>
          <w:kern w:val="0"/>
          <w:sz w:val="30"/>
          <w:szCs w:val="30"/>
        </w:rPr>
        <w:t>.</w:t>
      </w:r>
      <w:r>
        <w:rPr>
          <w:rFonts w:hint="eastAsia" w:ascii="仿宋_GB2312" w:hAnsi="宋体" w:eastAsia="仿宋_GB2312" w:cs="宋体"/>
          <w:kern w:val="0"/>
          <w:sz w:val="30"/>
          <w:szCs w:val="30"/>
        </w:rPr>
        <w:t>贯彻执行国家的财政税收方针、政策，严格遵守财政法规和财经制度。</w:t>
      </w:r>
    </w:p>
    <w:p>
      <w:pPr>
        <w:widowControl/>
        <w:spacing w:line="580" w:lineRule="atLeast"/>
        <w:ind w:firstLine="640"/>
        <w:jc w:val="left"/>
        <w:rPr>
          <w:rFonts w:hint="eastAsia" w:ascii="仿宋_GB2312" w:eastAsia="仿宋_GB2312" w:cs="Times New Roman"/>
          <w:sz w:val="30"/>
          <w:szCs w:val="30"/>
        </w:rPr>
      </w:pPr>
      <w:r>
        <w:rPr>
          <w:rFonts w:hint="eastAsia" w:ascii="仿宋_GB2312" w:hAnsi="宋体" w:eastAsia="仿宋_GB2312" w:cs="宋体"/>
          <w:kern w:val="0"/>
          <w:sz w:val="30"/>
          <w:szCs w:val="30"/>
        </w:rPr>
        <w:t>2)</w:t>
      </w:r>
      <w:r>
        <w:rPr>
          <w:rFonts w:hint="eastAsia" w:ascii="仿宋_GB2312" w:eastAsia="仿宋_GB2312" w:cs="宋体"/>
          <w:kern w:val="0"/>
          <w:sz w:val="30"/>
          <w:szCs w:val="30"/>
        </w:rPr>
        <w:t>.</w:t>
      </w:r>
      <w:r>
        <w:rPr>
          <w:rFonts w:hint="eastAsia" w:ascii="仿宋_GB2312" w:hAnsi="宋体" w:eastAsia="仿宋_GB2312" w:cs="宋体"/>
          <w:kern w:val="0"/>
          <w:sz w:val="30"/>
          <w:szCs w:val="30"/>
        </w:rPr>
        <w:t>编制乡镇年度财政预算草案，督促乡镇严格执行预算，编制财政决算。</w:t>
      </w:r>
    </w:p>
    <w:p>
      <w:pPr>
        <w:widowControl/>
        <w:spacing w:line="580" w:lineRule="atLeast"/>
        <w:ind w:firstLine="640"/>
        <w:jc w:val="left"/>
        <w:rPr>
          <w:rFonts w:hint="eastAsia" w:ascii="仿宋_GB2312" w:eastAsia="仿宋_GB2312" w:cs="Times New Roman"/>
          <w:sz w:val="30"/>
          <w:szCs w:val="30"/>
        </w:rPr>
      </w:pPr>
      <w:r>
        <w:rPr>
          <w:rFonts w:hint="eastAsia" w:ascii="仿宋_GB2312" w:hAnsi="宋体" w:eastAsia="仿宋_GB2312" w:cs="宋体"/>
          <w:kern w:val="0"/>
          <w:sz w:val="30"/>
          <w:szCs w:val="30"/>
        </w:rPr>
        <w:t>3)</w:t>
      </w:r>
      <w:r>
        <w:rPr>
          <w:rFonts w:hint="eastAsia" w:ascii="仿宋_GB2312" w:eastAsia="仿宋_GB2312" w:cs="宋体"/>
          <w:kern w:val="0"/>
          <w:sz w:val="30"/>
          <w:szCs w:val="30"/>
        </w:rPr>
        <w:t>.</w:t>
      </w:r>
      <w:r>
        <w:rPr>
          <w:rFonts w:hint="eastAsia" w:ascii="仿宋_GB2312" w:hAnsi="宋体" w:eastAsia="仿宋_GB2312" w:cs="宋体"/>
          <w:kern w:val="0"/>
          <w:sz w:val="30"/>
          <w:szCs w:val="30"/>
        </w:rPr>
        <w:t>负责乡镇财政支出管理，贯彻“厉行节约，量入为出”的原则，进一步优化支出结构，集中财力，保证乡镇工资、正常运转和社会公共支出需要，确保乡镇财政收支平衡。</w:t>
      </w:r>
    </w:p>
    <w:p>
      <w:pPr>
        <w:widowControl/>
        <w:spacing w:line="580" w:lineRule="atLeast"/>
        <w:ind w:firstLine="640"/>
        <w:jc w:val="left"/>
        <w:rPr>
          <w:rFonts w:hint="eastAsia" w:ascii="仿宋_GB2312" w:eastAsia="仿宋_GB2312" w:cs="宋体"/>
          <w:kern w:val="0"/>
          <w:sz w:val="30"/>
          <w:szCs w:val="30"/>
        </w:rPr>
      </w:pPr>
      <w:r>
        <w:rPr>
          <w:rFonts w:hint="eastAsia" w:ascii="仿宋_GB2312" w:hAnsi="宋体" w:eastAsia="仿宋_GB2312" w:cs="宋体"/>
          <w:kern w:val="0"/>
          <w:sz w:val="30"/>
          <w:szCs w:val="30"/>
        </w:rPr>
        <w:t>4)</w:t>
      </w:r>
      <w:r>
        <w:rPr>
          <w:rFonts w:hint="eastAsia" w:ascii="仿宋_GB2312" w:eastAsia="仿宋_GB2312" w:cs="宋体"/>
          <w:kern w:val="0"/>
          <w:sz w:val="30"/>
          <w:szCs w:val="30"/>
        </w:rPr>
        <w:t>.</w:t>
      </w:r>
      <w:r>
        <w:rPr>
          <w:rFonts w:hint="eastAsia" w:ascii="仿宋_GB2312" w:hAnsi="宋体" w:eastAsia="仿宋_GB2312" w:cs="宋体"/>
          <w:kern w:val="0"/>
          <w:sz w:val="30"/>
          <w:szCs w:val="30"/>
        </w:rPr>
        <w:t>负责涉农资金的发放管理。</w:t>
      </w:r>
    </w:p>
    <w:p>
      <w:pPr>
        <w:widowControl/>
        <w:spacing w:line="580" w:lineRule="atLeast"/>
        <w:ind w:firstLine="640"/>
        <w:jc w:val="left"/>
        <w:rPr>
          <w:rFonts w:hint="eastAsia" w:ascii="仿宋_GB2312" w:eastAsia="仿宋_GB2312" w:cs="宋体"/>
          <w:kern w:val="0"/>
          <w:sz w:val="30"/>
          <w:szCs w:val="30"/>
        </w:rPr>
      </w:pPr>
      <w:r>
        <w:rPr>
          <w:rFonts w:hint="eastAsia" w:ascii="仿宋_GB2312" w:hAnsi="宋体" w:eastAsia="仿宋_GB2312" w:cs="宋体"/>
          <w:kern w:val="0"/>
          <w:sz w:val="30"/>
          <w:szCs w:val="30"/>
        </w:rPr>
        <w:t>5)</w:t>
      </w:r>
      <w:r>
        <w:rPr>
          <w:rFonts w:hint="eastAsia" w:ascii="仿宋_GB2312" w:eastAsia="仿宋_GB2312" w:cs="宋体"/>
          <w:kern w:val="0"/>
          <w:sz w:val="30"/>
          <w:szCs w:val="30"/>
        </w:rPr>
        <w:t>.</w:t>
      </w:r>
      <w:r>
        <w:rPr>
          <w:rFonts w:hint="eastAsia" w:ascii="仿宋_GB2312" w:hAnsi="宋体" w:eastAsia="仿宋_GB2312" w:cs="宋体"/>
          <w:kern w:val="0"/>
          <w:sz w:val="30"/>
          <w:szCs w:val="30"/>
        </w:rPr>
        <w:t>负责乡镇政府预算单位会计核算及村级帐务代理工作，切实履行财政监督检查职能。</w:t>
      </w:r>
    </w:p>
    <w:p>
      <w:pPr>
        <w:widowControl/>
        <w:spacing w:line="580" w:lineRule="atLeast"/>
        <w:ind w:firstLine="640"/>
        <w:jc w:val="left"/>
        <w:rPr>
          <w:rFonts w:hint="eastAsia" w:ascii="仿宋_GB2312" w:eastAsia="仿宋_GB2312" w:cs="宋体"/>
          <w:kern w:val="0"/>
          <w:sz w:val="30"/>
          <w:szCs w:val="30"/>
        </w:rPr>
      </w:pPr>
      <w:r>
        <w:rPr>
          <w:rFonts w:hint="eastAsia" w:ascii="仿宋_GB2312" w:hAnsi="宋体" w:eastAsia="仿宋_GB2312" w:cs="宋体"/>
          <w:kern w:val="0"/>
          <w:sz w:val="30"/>
          <w:szCs w:val="30"/>
        </w:rPr>
        <w:t>6)</w:t>
      </w:r>
      <w:r>
        <w:rPr>
          <w:rFonts w:hint="eastAsia" w:ascii="仿宋_GB2312" w:eastAsia="仿宋_GB2312" w:cs="宋体"/>
          <w:kern w:val="0"/>
          <w:sz w:val="30"/>
          <w:szCs w:val="30"/>
        </w:rPr>
        <w:t>.</w:t>
      </w:r>
      <w:r>
        <w:rPr>
          <w:rFonts w:hint="eastAsia" w:ascii="仿宋_GB2312" w:hAnsi="宋体" w:eastAsia="仿宋_GB2312" w:cs="宋体"/>
          <w:kern w:val="0"/>
          <w:sz w:val="30"/>
          <w:szCs w:val="30"/>
        </w:rPr>
        <w:t>负责乡镇国有资产的购置、登记和处置管理，确保乡镇国有资产安全和保值、增值。</w:t>
      </w:r>
    </w:p>
    <w:p>
      <w:pPr>
        <w:widowControl/>
        <w:spacing w:line="580" w:lineRule="atLeast"/>
        <w:ind w:firstLine="640"/>
        <w:jc w:val="left"/>
        <w:rPr>
          <w:rFonts w:hint="eastAsia" w:ascii="仿宋_GB2312" w:eastAsia="仿宋_GB2312" w:cs="宋体"/>
          <w:kern w:val="0"/>
          <w:sz w:val="30"/>
          <w:szCs w:val="30"/>
        </w:rPr>
      </w:pPr>
      <w:r>
        <w:rPr>
          <w:rFonts w:hint="eastAsia" w:ascii="仿宋_GB2312" w:hAnsi="宋体" w:eastAsia="仿宋_GB2312" w:cs="宋体"/>
          <w:kern w:val="0"/>
          <w:sz w:val="30"/>
          <w:szCs w:val="30"/>
        </w:rPr>
        <w:t>7)</w:t>
      </w:r>
      <w:r>
        <w:rPr>
          <w:rFonts w:hint="eastAsia" w:ascii="仿宋_GB2312" w:eastAsia="仿宋_GB2312" w:cs="宋体"/>
          <w:kern w:val="0"/>
          <w:sz w:val="30"/>
          <w:szCs w:val="30"/>
        </w:rPr>
        <w:t>.</w:t>
      </w:r>
      <w:r>
        <w:rPr>
          <w:rFonts w:hint="eastAsia" w:ascii="仿宋_GB2312" w:hAnsi="宋体" w:eastAsia="仿宋_GB2312" w:cs="宋体"/>
          <w:kern w:val="0"/>
          <w:sz w:val="30"/>
          <w:szCs w:val="30"/>
        </w:rPr>
        <w:t xml:space="preserve">负责乡村债务管理，防范财政风险，切实采取措施化解乡村债务和防止发生新的不良债务。 </w:t>
      </w:r>
    </w:p>
    <w:p>
      <w:pPr>
        <w:widowControl/>
        <w:spacing w:line="580" w:lineRule="atLeast"/>
        <w:ind w:firstLine="640"/>
        <w:jc w:val="left"/>
        <w:rPr>
          <w:rFonts w:hint="eastAsia" w:ascii="仿宋_GB2312" w:eastAsia="仿宋_GB2312" w:cs="宋体"/>
          <w:kern w:val="0"/>
          <w:sz w:val="30"/>
          <w:szCs w:val="30"/>
        </w:rPr>
      </w:pPr>
      <w:r>
        <w:rPr>
          <w:rFonts w:hint="eastAsia" w:ascii="仿宋_GB2312" w:hAnsi="宋体" w:eastAsia="仿宋_GB2312" w:cs="宋体"/>
          <w:kern w:val="0"/>
          <w:sz w:val="30"/>
          <w:szCs w:val="30"/>
        </w:rPr>
        <w:t>8)．承办乡镇党委、政府和县财政局交办的其他事项。</w:t>
      </w:r>
    </w:p>
    <w:p>
      <w:pPr>
        <w:ind w:firstLine="600" w:firstLineChars="200"/>
        <w:rPr>
          <w:rFonts w:hint="eastAsia" w:ascii="仿宋_GB2312" w:hAnsi="宋体" w:eastAsia="仿宋_GB2312" w:cs="Times New Roman"/>
          <w:sz w:val="30"/>
          <w:szCs w:val="30"/>
        </w:rPr>
      </w:pPr>
      <w:r>
        <w:rPr>
          <w:rFonts w:hint="eastAsia" w:ascii="仿宋_GB2312" w:hAnsi="宋体" w:eastAsia="仿宋_GB2312" w:cs="Times New Roman"/>
          <w:sz w:val="30"/>
          <w:szCs w:val="30"/>
        </w:rPr>
        <w:t>机构设置：</w:t>
      </w:r>
    </w:p>
    <w:p>
      <w:pPr>
        <w:jc w:val="center"/>
        <w:outlineLvl w:val="0"/>
        <w:rPr>
          <w:rFonts w:hint="eastAsia" w:ascii="仿宋_GB2312" w:hAnsi="宋体" w:eastAsia="仿宋_GB2312" w:cs="Times New Roman"/>
          <w:sz w:val="30"/>
          <w:szCs w:val="30"/>
        </w:rPr>
      </w:pPr>
      <w:r>
        <w:rPr>
          <w:rFonts w:hint="eastAsia" w:ascii="仿宋_GB2312" w:hAnsi="宋体" w:eastAsia="仿宋_GB2312" w:cs="Times New Roman"/>
          <w:sz w:val="30"/>
          <w:szCs w:val="30"/>
        </w:rPr>
        <w:t>部门机构设置情况</w:t>
      </w:r>
    </w:p>
    <w:tbl>
      <w:tblPr>
        <w:tblStyle w:val="8"/>
        <w:tblW w:w="0" w:type="auto"/>
        <w:tblInd w:w="163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2616"/>
        <w:gridCol w:w="1176"/>
        <w:gridCol w:w="1176"/>
        <w:gridCol w:w="165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616" w:type="dxa"/>
            <w:noWrap w:val="0"/>
            <w:vAlign w:val="top"/>
          </w:tcPr>
          <w:p>
            <w:pPr>
              <w:autoSpaceDE w:val="0"/>
              <w:autoSpaceDN w:val="0"/>
              <w:adjustRightInd w:val="0"/>
              <w:jc w:val="left"/>
              <w:rPr>
                <w:rFonts w:hint="eastAsia" w:ascii="仿宋_GB2312" w:hAnsi="宋体" w:eastAsia="仿宋_GB2312"/>
                <w:bCs/>
                <w:kern w:val="0"/>
                <w:sz w:val="30"/>
                <w:szCs w:val="30"/>
              </w:rPr>
            </w:pPr>
            <w:r>
              <w:rPr>
                <w:rFonts w:hint="eastAsia" w:ascii="仿宋_GB2312" w:hAnsi="宋体" w:eastAsia="仿宋_GB2312"/>
                <w:bCs/>
                <w:sz w:val="30"/>
                <w:szCs w:val="30"/>
              </w:rPr>
              <w:t>单位名称</w:t>
            </w:r>
          </w:p>
        </w:tc>
        <w:tc>
          <w:tcPr>
            <w:tcW w:w="1176" w:type="dxa"/>
            <w:noWrap w:val="0"/>
            <w:vAlign w:val="top"/>
          </w:tcPr>
          <w:p>
            <w:pPr>
              <w:autoSpaceDE w:val="0"/>
              <w:autoSpaceDN w:val="0"/>
              <w:adjustRightInd w:val="0"/>
              <w:jc w:val="left"/>
              <w:rPr>
                <w:rFonts w:hint="eastAsia" w:ascii="仿宋_GB2312" w:hAnsi="宋体" w:eastAsia="仿宋_GB2312"/>
                <w:bCs/>
                <w:kern w:val="0"/>
                <w:sz w:val="30"/>
                <w:szCs w:val="30"/>
              </w:rPr>
            </w:pPr>
            <w:r>
              <w:rPr>
                <w:rFonts w:hint="eastAsia" w:ascii="仿宋_GB2312" w:hAnsi="宋体" w:eastAsia="仿宋_GB2312"/>
                <w:bCs/>
                <w:sz w:val="30"/>
                <w:szCs w:val="30"/>
              </w:rPr>
              <w:t>单位性质</w:t>
            </w:r>
          </w:p>
        </w:tc>
        <w:tc>
          <w:tcPr>
            <w:tcW w:w="1176" w:type="dxa"/>
            <w:noWrap w:val="0"/>
            <w:vAlign w:val="top"/>
          </w:tcPr>
          <w:p>
            <w:pPr>
              <w:autoSpaceDE w:val="0"/>
              <w:autoSpaceDN w:val="0"/>
              <w:adjustRightInd w:val="0"/>
              <w:jc w:val="left"/>
              <w:rPr>
                <w:rFonts w:hint="eastAsia" w:ascii="仿宋_GB2312" w:hAnsi="宋体" w:eastAsia="仿宋_GB2312"/>
                <w:bCs/>
                <w:kern w:val="0"/>
                <w:sz w:val="30"/>
                <w:szCs w:val="30"/>
              </w:rPr>
            </w:pPr>
            <w:r>
              <w:rPr>
                <w:rFonts w:hint="eastAsia" w:ascii="仿宋_GB2312" w:hAnsi="宋体" w:eastAsia="仿宋_GB2312"/>
                <w:bCs/>
                <w:sz w:val="30"/>
                <w:szCs w:val="30"/>
              </w:rPr>
              <w:t>单位规格</w:t>
            </w:r>
          </w:p>
        </w:tc>
        <w:tc>
          <w:tcPr>
            <w:tcW w:w="1656" w:type="dxa"/>
            <w:noWrap w:val="0"/>
            <w:vAlign w:val="top"/>
          </w:tcPr>
          <w:p>
            <w:pPr>
              <w:autoSpaceDE w:val="0"/>
              <w:autoSpaceDN w:val="0"/>
              <w:adjustRightInd w:val="0"/>
              <w:jc w:val="left"/>
              <w:rPr>
                <w:rFonts w:hint="eastAsia" w:ascii="仿宋_GB2312" w:hAnsi="宋体" w:eastAsia="仿宋_GB2312"/>
                <w:bCs/>
                <w:kern w:val="0"/>
                <w:sz w:val="30"/>
                <w:szCs w:val="30"/>
              </w:rPr>
            </w:pPr>
            <w:r>
              <w:rPr>
                <w:rFonts w:hint="eastAsia" w:ascii="仿宋_GB2312" w:hAnsi="宋体" w:eastAsia="仿宋_GB2312"/>
                <w:bCs/>
                <w:sz w:val="30"/>
                <w:szCs w:val="30"/>
              </w:rPr>
              <w:t>经费保障形式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616" w:type="dxa"/>
            <w:noWrap w:val="0"/>
            <w:vAlign w:val="top"/>
          </w:tcPr>
          <w:p>
            <w:pPr>
              <w:autoSpaceDE w:val="0"/>
              <w:autoSpaceDN w:val="0"/>
              <w:adjustRightInd w:val="0"/>
              <w:jc w:val="left"/>
              <w:rPr>
                <w:rFonts w:hint="eastAsia" w:ascii="仿宋_GB2312" w:hAnsi="宋体" w:eastAsia="仿宋_GB2312"/>
                <w:bCs/>
                <w:kern w:val="0"/>
                <w:sz w:val="30"/>
                <w:szCs w:val="30"/>
              </w:rPr>
            </w:pPr>
            <w:r>
              <w:rPr>
                <w:rFonts w:hint="eastAsia" w:ascii="仿宋_GB2312" w:hAnsi="宋体" w:eastAsia="仿宋_GB2312"/>
                <w:bCs/>
                <w:kern w:val="0"/>
                <w:sz w:val="30"/>
                <w:szCs w:val="30"/>
                <w:lang w:eastAsia="zh-CN"/>
              </w:rPr>
              <w:t>东良</w:t>
            </w:r>
            <w:r>
              <w:rPr>
                <w:rFonts w:hint="eastAsia" w:ascii="仿宋_GB2312" w:hAnsi="宋体" w:eastAsia="仿宋_GB2312"/>
                <w:bCs/>
                <w:kern w:val="0"/>
                <w:sz w:val="30"/>
                <w:szCs w:val="30"/>
              </w:rPr>
              <w:t>镇人民政府</w:t>
            </w:r>
          </w:p>
        </w:tc>
        <w:tc>
          <w:tcPr>
            <w:tcW w:w="1176" w:type="dxa"/>
            <w:noWrap w:val="0"/>
            <w:vAlign w:val="top"/>
          </w:tcPr>
          <w:p>
            <w:pPr>
              <w:autoSpaceDE w:val="0"/>
              <w:autoSpaceDN w:val="0"/>
              <w:adjustRightInd w:val="0"/>
              <w:jc w:val="left"/>
              <w:rPr>
                <w:rFonts w:hint="eastAsia" w:ascii="仿宋_GB2312" w:hAnsi="宋体" w:eastAsia="仿宋_GB2312"/>
                <w:bCs/>
                <w:kern w:val="0"/>
                <w:sz w:val="30"/>
                <w:szCs w:val="30"/>
              </w:rPr>
            </w:pPr>
            <w:r>
              <w:rPr>
                <w:rFonts w:hint="eastAsia" w:ascii="仿宋_GB2312" w:hAnsi="宋体" w:eastAsia="仿宋_GB2312"/>
                <w:bCs/>
                <w:kern w:val="0"/>
                <w:sz w:val="30"/>
                <w:szCs w:val="30"/>
              </w:rPr>
              <w:t>行政</w:t>
            </w:r>
          </w:p>
        </w:tc>
        <w:tc>
          <w:tcPr>
            <w:tcW w:w="1176" w:type="dxa"/>
            <w:noWrap w:val="0"/>
            <w:vAlign w:val="top"/>
          </w:tcPr>
          <w:p>
            <w:pPr>
              <w:autoSpaceDE w:val="0"/>
              <w:autoSpaceDN w:val="0"/>
              <w:adjustRightInd w:val="0"/>
              <w:jc w:val="left"/>
              <w:rPr>
                <w:rFonts w:hint="eastAsia" w:ascii="仿宋_GB2312" w:hAnsi="宋体" w:eastAsia="仿宋_GB2312"/>
                <w:bCs/>
                <w:kern w:val="0"/>
                <w:sz w:val="30"/>
                <w:szCs w:val="30"/>
              </w:rPr>
            </w:pPr>
            <w:r>
              <w:rPr>
                <w:rFonts w:hint="eastAsia" w:ascii="仿宋_GB2312" w:hAnsi="宋体" w:eastAsia="仿宋_GB2312"/>
                <w:bCs/>
                <w:kern w:val="0"/>
                <w:sz w:val="30"/>
                <w:szCs w:val="30"/>
              </w:rPr>
              <w:t>正科级</w:t>
            </w:r>
          </w:p>
        </w:tc>
        <w:tc>
          <w:tcPr>
            <w:tcW w:w="1656" w:type="dxa"/>
            <w:noWrap w:val="0"/>
            <w:vAlign w:val="top"/>
          </w:tcPr>
          <w:p>
            <w:pPr>
              <w:autoSpaceDE w:val="0"/>
              <w:autoSpaceDN w:val="0"/>
              <w:adjustRightInd w:val="0"/>
              <w:jc w:val="left"/>
              <w:rPr>
                <w:rFonts w:hint="eastAsia" w:ascii="仿宋_GB2312" w:hAnsi="宋体" w:eastAsia="仿宋_GB2312"/>
                <w:bCs/>
                <w:kern w:val="0"/>
                <w:sz w:val="30"/>
                <w:szCs w:val="30"/>
              </w:rPr>
            </w:pPr>
            <w:r>
              <w:rPr>
                <w:rFonts w:hint="eastAsia" w:ascii="仿宋_GB2312" w:hAnsi="宋体" w:eastAsia="仿宋_GB2312"/>
                <w:bCs/>
                <w:kern w:val="0"/>
                <w:sz w:val="30"/>
                <w:szCs w:val="30"/>
              </w:rPr>
              <w:t>财政拨款</w:t>
            </w:r>
          </w:p>
        </w:tc>
      </w:tr>
    </w:tbl>
    <w:p>
      <w:pPr>
        <w:adjustRightInd w:val="0"/>
        <w:ind w:firstLine="640" w:firstLineChars="200"/>
        <w:rPr>
          <w:rFonts w:hint="eastAsia" w:ascii="仿宋" w:hAnsi="仿宋" w:eastAsia="仿宋" w:cs="仿宋"/>
          <w:sz w:val="32"/>
          <w:szCs w:val="32"/>
        </w:rPr>
      </w:pPr>
    </w:p>
    <w:p>
      <w:pPr>
        <w:numPr>
          <w:ilvl w:val="0"/>
          <w:numId w:val="1"/>
        </w:numPr>
        <w:adjustRightInd w:val="0"/>
        <w:ind w:left="480" w:leftChars="0" w:firstLine="0" w:firstLineChars="0"/>
        <w:rPr>
          <w:rFonts w:hint="eastAsia" w:ascii="仿宋" w:hAnsi="仿宋" w:eastAsia="仿宋" w:cs="仿宋"/>
          <w:sz w:val="32"/>
          <w:szCs w:val="32"/>
        </w:rPr>
      </w:pPr>
      <w:r>
        <w:rPr>
          <w:rFonts w:hint="eastAsia" w:ascii="仿宋" w:hAnsi="仿宋" w:eastAsia="仿宋" w:cs="仿宋"/>
          <w:sz w:val="32"/>
          <w:szCs w:val="32"/>
        </w:rPr>
        <w:t>人员及资产情况。</w:t>
      </w:r>
    </w:p>
    <w:p>
      <w:pPr>
        <w:numPr>
          <w:ilvl w:val="0"/>
          <w:numId w:val="0"/>
        </w:numPr>
        <w:adjustRightInd w:val="0"/>
        <w:ind w:left="480" w:leftChars="0"/>
        <w:rPr>
          <w:rFonts w:hint="default" w:ascii="仿宋" w:hAnsi="仿宋" w:eastAsia="仿宋_GB2312" w:cs="仿宋"/>
          <w:sz w:val="32"/>
          <w:szCs w:val="32"/>
          <w:lang w:val="en-US" w:eastAsia="zh-CN"/>
        </w:rPr>
      </w:pPr>
      <w:r>
        <w:rPr>
          <w:rFonts w:hint="eastAsia" w:ascii="仿宋_GB2312" w:hAnsi="仿宋" w:eastAsia="仿宋_GB2312" w:cs="仿宋"/>
          <w:color w:val="000000"/>
          <w:sz w:val="32"/>
          <w:szCs w:val="32"/>
          <w:lang w:eastAsia="zh-CN"/>
        </w:rPr>
        <w:t>东良</w:t>
      </w:r>
      <w:r>
        <w:rPr>
          <w:rFonts w:hint="eastAsia" w:ascii="仿宋_GB2312" w:hAnsi="仿宋" w:eastAsia="仿宋_GB2312" w:cs="仿宋"/>
          <w:color w:val="000000"/>
          <w:sz w:val="32"/>
          <w:szCs w:val="32"/>
        </w:rPr>
        <w:t>镇人民政府202</w:t>
      </w:r>
      <w:r>
        <w:rPr>
          <w:rFonts w:hint="eastAsia" w:ascii="仿宋_GB2312" w:hAnsi="仿宋" w:eastAsia="仿宋_GB2312" w:cs="仿宋"/>
          <w:color w:val="000000"/>
          <w:sz w:val="32"/>
          <w:szCs w:val="32"/>
          <w:lang w:val="en-US" w:eastAsia="zh-CN"/>
        </w:rPr>
        <w:t>1</w:t>
      </w:r>
      <w:r>
        <w:rPr>
          <w:rFonts w:hint="eastAsia" w:ascii="仿宋_GB2312" w:hAnsi="仿宋" w:eastAsia="仿宋_GB2312" w:cs="仿宋"/>
          <w:color w:val="000000"/>
          <w:sz w:val="32"/>
          <w:szCs w:val="32"/>
        </w:rPr>
        <w:t>年末</w:t>
      </w:r>
      <w:r>
        <w:rPr>
          <w:rFonts w:hint="eastAsia" w:ascii="仿宋_GB2312" w:hAnsi="仿宋" w:eastAsia="仿宋_GB2312" w:cs="仿宋"/>
          <w:color w:val="000000"/>
          <w:sz w:val="32"/>
          <w:szCs w:val="32"/>
          <w:lang w:eastAsia="zh-CN"/>
        </w:rPr>
        <w:t>，</w:t>
      </w:r>
      <w:r>
        <w:rPr>
          <w:rFonts w:hint="eastAsia" w:ascii="仿宋_GB2312" w:hAnsi="仿宋" w:eastAsia="仿宋_GB2312" w:cs="仿宋"/>
          <w:color w:val="000000"/>
          <w:sz w:val="32"/>
          <w:szCs w:val="32"/>
          <w:lang w:val="en-US" w:eastAsia="zh-CN"/>
        </w:rPr>
        <w:t>在职人员52人，退休2人。</w:t>
      </w:r>
    </w:p>
    <w:p>
      <w:pPr>
        <w:numPr>
          <w:ilvl w:val="0"/>
          <w:numId w:val="0"/>
        </w:numPr>
        <w:adjustRightInd w:val="0"/>
        <w:ind w:left="480" w:leftChars="0"/>
        <w:rPr>
          <w:rFonts w:hint="eastAsia" w:ascii="仿宋" w:hAnsi="仿宋" w:eastAsia="仿宋" w:cs="仿宋"/>
          <w:sz w:val="32"/>
          <w:szCs w:val="32"/>
        </w:rPr>
      </w:pPr>
      <w:r>
        <w:rPr>
          <w:rFonts w:hint="eastAsia" w:ascii="仿宋" w:hAnsi="仿宋" w:eastAsia="仿宋" w:cs="仿宋"/>
          <w:sz w:val="32"/>
          <w:szCs w:val="32"/>
          <w:lang w:eastAsia="zh-CN"/>
        </w:rPr>
        <w:t>东良镇人民政府截至</w:t>
      </w:r>
      <w:r>
        <w:rPr>
          <w:rFonts w:hint="eastAsia" w:ascii="仿宋" w:hAnsi="仿宋" w:eastAsia="仿宋" w:cs="仿宋"/>
          <w:sz w:val="32"/>
          <w:szCs w:val="32"/>
          <w:lang w:val="en-US" w:eastAsia="zh-CN"/>
        </w:rPr>
        <w:t>2021年末，房屋4202平方米，价值277.47万元，车辆2辆，价值13.48万元，其他设备65.48万元。</w:t>
      </w:r>
    </w:p>
    <w:p>
      <w:pPr>
        <w:numPr>
          <w:ilvl w:val="0"/>
          <w:numId w:val="1"/>
        </w:numPr>
        <w:adjustRightInd w:val="0"/>
        <w:ind w:left="480" w:leftChars="0" w:firstLine="0" w:firstLineChars="0"/>
        <w:rPr>
          <w:rFonts w:hint="eastAsia" w:ascii="仿宋" w:hAnsi="仿宋" w:eastAsia="仿宋" w:cs="仿宋"/>
          <w:sz w:val="32"/>
          <w:szCs w:val="32"/>
        </w:rPr>
      </w:pPr>
      <w:r>
        <w:rPr>
          <w:rFonts w:hint="eastAsia" w:ascii="仿宋" w:hAnsi="仿宋" w:eastAsia="仿宋" w:cs="仿宋"/>
          <w:sz w:val="32"/>
          <w:szCs w:val="32"/>
        </w:rPr>
        <w:t>部门履职总体目标。</w:t>
      </w:r>
    </w:p>
    <w:p>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00" w:firstLineChars="200"/>
        <w:jc w:val="left"/>
        <w:rPr>
          <w:rFonts w:hint="eastAsia" w:ascii="仿宋_GB2312" w:hAnsi="宋体" w:eastAsia="仿宋_GB2312" w:cs="宋体"/>
          <w:color w:val="000000"/>
          <w:kern w:val="0"/>
          <w:sz w:val="30"/>
          <w:szCs w:val="30"/>
        </w:rPr>
      </w:pPr>
      <w:r>
        <w:rPr>
          <w:rFonts w:hint="eastAsia" w:ascii="仿宋_GB2312" w:hAnsi="宋体" w:eastAsia="仿宋_GB2312" w:cs="宋体"/>
          <w:color w:val="000000"/>
          <w:kern w:val="0"/>
          <w:sz w:val="30"/>
          <w:szCs w:val="30"/>
        </w:rPr>
        <w:t>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00" w:firstLineChars="200"/>
        <w:jc w:val="left"/>
        <w:rPr>
          <w:rFonts w:hint="eastAsia" w:ascii="仿宋_GB2312" w:hAnsi="宋体" w:eastAsia="仿宋_GB2312" w:cs="宋体"/>
          <w:color w:val="000000"/>
          <w:kern w:val="0"/>
          <w:sz w:val="30"/>
          <w:szCs w:val="30"/>
        </w:rPr>
      </w:pPr>
      <w:r>
        <w:rPr>
          <w:rFonts w:hint="eastAsia" w:ascii="仿宋_GB2312" w:hAnsi="宋体" w:eastAsia="仿宋_GB2312" w:cs="宋体"/>
          <w:color w:val="000000"/>
          <w:kern w:val="0"/>
          <w:sz w:val="30"/>
          <w:szCs w:val="30"/>
        </w:rPr>
        <w:t>二、讨论和决定本镇经济建设、整治建设、文化建设、社会建设、生态文明建设和党的建设以及村振兴中的重大问题。</w:t>
      </w:r>
    </w:p>
    <w:p>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00" w:firstLineChars="200"/>
        <w:jc w:val="left"/>
        <w:rPr>
          <w:rFonts w:hint="eastAsia" w:ascii="仿宋_GB2312" w:hAnsi="宋体" w:eastAsia="仿宋_GB2312" w:cs="宋体"/>
          <w:color w:val="000000"/>
          <w:kern w:val="0"/>
          <w:sz w:val="30"/>
          <w:szCs w:val="30"/>
        </w:rPr>
      </w:pPr>
      <w:r>
        <w:rPr>
          <w:rFonts w:hint="eastAsia" w:ascii="仿宋_GB2312" w:hAnsi="宋体" w:eastAsia="仿宋_GB2312" w:cs="宋体"/>
          <w:color w:val="000000"/>
          <w:kern w:val="0"/>
          <w:sz w:val="30"/>
          <w:szCs w:val="30"/>
        </w:rPr>
        <w:t>三、组织召开本级人民代表大会，充分行使重大事项决定权、监督权和任免权，做好人大代表工作，联系选民、反映群众意见和要求。</w:t>
      </w:r>
    </w:p>
    <w:p>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00" w:firstLineChars="200"/>
        <w:jc w:val="left"/>
        <w:rPr>
          <w:rFonts w:hint="eastAsia" w:ascii="仿宋_GB2312" w:hAnsi="宋体" w:eastAsia="仿宋_GB2312" w:cs="宋体"/>
          <w:color w:val="000000"/>
          <w:kern w:val="0"/>
          <w:sz w:val="30"/>
          <w:szCs w:val="30"/>
        </w:rPr>
      </w:pPr>
      <w:r>
        <w:rPr>
          <w:rFonts w:hint="eastAsia" w:ascii="仿宋_GB2312" w:hAnsi="宋体" w:eastAsia="仿宋_GB2312" w:cs="宋体"/>
          <w:color w:val="000000"/>
          <w:kern w:val="0"/>
          <w:sz w:val="30"/>
          <w:szCs w:val="30"/>
        </w:rP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00" w:firstLineChars="200"/>
        <w:jc w:val="left"/>
        <w:rPr>
          <w:rFonts w:hint="eastAsia" w:ascii="仿宋_GB2312" w:hAnsi="宋体" w:eastAsia="仿宋_GB2312" w:cs="宋体"/>
          <w:color w:val="000000"/>
          <w:kern w:val="0"/>
          <w:sz w:val="30"/>
          <w:szCs w:val="30"/>
        </w:rPr>
      </w:pPr>
      <w:r>
        <w:rPr>
          <w:rFonts w:hint="eastAsia" w:ascii="仿宋_GB2312" w:hAnsi="宋体" w:eastAsia="仿宋_GB2312" w:cs="宋体"/>
          <w:color w:val="000000"/>
          <w:kern w:val="0"/>
          <w:sz w:val="30"/>
          <w:szCs w:val="30"/>
        </w:rPr>
        <w:t>五、镇党委领导本镇政权机关、群团组织和其他各类组织，加强指导和规范，支持和保证这些机关和组织依照国家法律法规以及各自章程履行职责。坚持党管武装的根本原则和制度，协调各方力量，对本镇人民武装工作实行统一领导。</w:t>
      </w:r>
    </w:p>
    <w:p>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00" w:firstLineChars="200"/>
        <w:jc w:val="left"/>
        <w:rPr>
          <w:rFonts w:hint="eastAsia" w:ascii="仿宋_GB2312" w:hAnsi="宋体" w:eastAsia="仿宋_GB2312" w:cs="宋体"/>
          <w:color w:val="000000"/>
          <w:kern w:val="0"/>
          <w:sz w:val="30"/>
          <w:szCs w:val="30"/>
        </w:rPr>
      </w:pPr>
      <w:r>
        <w:rPr>
          <w:rFonts w:hint="eastAsia" w:ascii="仿宋_GB2312" w:hAnsi="宋体" w:eastAsia="仿宋_GB2312" w:cs="宋体"/>
          <w:color w:val="000000"/>
          <w:kern w:val="0"/>
          <w:sz w:val="30"/>
          <w:szCs w:val="30"/>
        </w:rPr>
        <w:t>六、加强镇党委自身建设和村党组织建设，以及其他隶属本镇党委的党组织建设，抓好发展党员工作，加强党员队伍建设。维护和执行党的纪律，监督党员干部和其他任何工作严格遵守国家法律法规。</w:t>
      </w:r>
    </w:p>
    <w:p>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00" w:firstLineChars="200"/>
        <w:jc w:val="left"/>
        <w:rPr>
          <w:rFonts w:hint="eastAsia" w:ascii="仿宋_GB2312" w:hAnsi="宋体" w:eastAsia="仿宋_GB2312" w:cs="宋体"/>
          <w:color w:val="000000"/>
          <w:kern w:val="0"/>
          <w:sz w:val="30"/>
          <w:szCs w:val="30"/>
        </w:rPr>
      </w:pPr>
      <w:r>
        <w:rPr>
          <w:rFonts w:hint="eastAsia" w:ascii="仿宋_GB2312" w:hAnsi="宋体" w:eastAsia="仿宋_GB2312" w:cs="宋体"/>
          <w:color w:val="000000"/>
          <w:kern w:val="0"/>
          <w:sz w:val="30"/>
          <w:szCs w:val="30"/>
        </w:rPr>
        <w:t>七、按照干部管理权限，负责对干部的教育、培训、选拔、考核和监督工作。协助管理上级有关部门驻本镇单位的干部。做好人才服务工作。</w:t>
      </w:r>
    </w:p>
    <w:p>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00" w:firstLineChars="200"/>
        <w:jc w:val="left"/>
        <w:rPr>
          <w:rFonts w:hint="eastAsia" w:ascii="仿宋_GB2312" w:hAnsi="宋体" w:eastAsia="仿宋_GB2312" w:cs="宋体"/>
          <w:color w:val="000000"/>
          <w:kern w:val="0"/>
          <w:sz w:val="30"/>
          <w:szCs w:val="30"/>
        </w:rPr>
      </w:pPr>
      <w:r>
        <w:rPr>
          <w:rFonts w:hint="eastAsia" w:ascii="仿宋_GB2312" w:hAnsi="宋体" w:eastAsia="仿宋_GB2312" w:cs="宋体"/>
          <w:color w:val="000000"/>
          <w:kern w:val="0"/>
          <w:sz w:val="30"/>
          <w:szCs w:val="30"/>
        </w:rPr>
        <w:t>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00" w:firstLineChars="200"/>
        <w:jc w:val="left"/>
        <w:rPr>
          <w:rFonts w:hint="eastAsia" w:ascii="仿宋_GB2312" w:hAnsi="宋体" w:eastAsia="仿宋_GB2312" w:cs="宋体"/>
          <w:color w:val="000000"/>
          <w:kern w:val="0"/>
          <w:sz w:val="30"/>
          <w:szCs w:val="30"/>
        </w:rPr>
      </w:pPr>
      <w:r>
        <w:rPr>
          <w:rFonts w:hint="eastAsia" w:ascii="仿宋_GB2312" w:hAnsi="宋体" w:eastAsia="仿宋_GB2312" w:cs="宋体"/>
          <w:color w:val="000000"/>
          <w:kern w:val="0"/>
          <w:sz w:val="30"/>
          <w:szCs w:val="30"/>
        </w:rP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的婚姻自由等各项权利。</w:t>
      </w:r>
    </w:p>
    <w:p>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00" w:firstLineChars="200"/>
        <w:jc w:val="left"/>
        <w:rPr>
          <w:rFonts w:hint="eastAsia" w:ascii="仿宋_GB2312" w:hAnsi="宋体" w:eastAsia="仿宋_GB2312" w:cs="宋体"/>
          <w:color w:val="000000"/>
          <w:kern w:val="0"/>
          <w:sz w:val="30"/>
          <w:szCs w:val="30"/>
        </w:rPr>
      </w:pPr>
      <w:r>
        <w:rPr>
          <w:rFonts w:hint="eastAsia" w:ascii="仿宋_GB2312" w:hAnsi="宋体" w:eastAsia="仿宋_GB2312" w:cs="宋体"/>
          <w:color w:val="000000"/>
          <w:kern w:val="0"/>
          <w:sz w:val="30"/>
          <w:szCs w:val="30"/>
        </w:rPr>
        <w:t>十、承办上级党委、人大、政府交办的其他事项。</w:t>
      </w:r>
    </w:p>
    <w:p>
      <w:pPr>
        <w:numPr>
          <w:ilvl w:val="0"/>
          <w:numId w:val="0"/>
        </w:numPr>
        <w:adjustRightInd w:val="0"/>
        <w:ind w:left="480" w:leftChars="0"/>
        <w:rPr>
          <w:rFonts w:hint="eastAsia" w:ascii="仿宋" w:hAnsi="仿宋" w:eastAsia="仿宋" w:cs="仿宋"/>
          <w:sz w:val="32"/>
          <w:szCs w:val="32"/>
        </w:rPr>
      </w:pPr>
      <w:r>
        <w:rPr>
          <w:rFonts w:hint="eastAsia" w:ascii="仿宋_GB2312" w:hAnsi="宋体" w:eastAsia="仿宋_GB2312" w:cs="Times New Roman"/>
          <w:sz w:val="30"/>
          <w:szCs w:val="30"/>
        </w:rPr>
        <w:t>绩效目标分为优、良、中、差，根据完成百分比划分，量化任务指标，可以有效评价每个职责完成情况。</w:t>
      </w:r>
    </w:p>
    <w:p>
      <w:pPr>
        <w:adjustRightInd w:val="0"/>
        <w:rPr>
          <w:rFonts w:hint="eastAsia" w:ascii="仿宋" w:hAnsi="仿宋" w:eastAsia="仿宋" w:cs="仿宋"/>
          <w:sz w:val="32"/>
          <w:szCs w:val="32"/>
        </w:rPr>
      </w:pPr>
      <w:r>
        <w:rPr>
          <w:rFonts w:hint="eastAsia" w:ascii="仿宋" w:hAnsi="仿宋" w:eastAsia="仿宋" w:cs="仿宋"/>
          <w:sz w:val="32"/>
          <w:szCs w:val="32"/>
        </w:rPr>
        <w:t xml:space="preserve">   （四）年度整体绩效目标和工作任务。</w:t>
      </w:r>
    </w:p>
    <w:p>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00" w:firstLineChars="200"/>
        <w:jc w:val="left"/>
        <w:rPr>
          <w:rFonts w:hint="eastAsia" w:ascii="仿宋_GB2312" w:hAnsi="宋体" w:eastAsia="仿宋_GB2312" w:cs="宋体"/>
          <w:color w:val="000000"/>
          <w:kern w:val="0"/>
          <w:sz w:val="30"/>
          <w:szCs w:val="30"/>
        </w:rPr>
      </w:pPr>
      <w:r>
        <w:rPr>
          <w:rFonts w:hint="eastAsia" w:ascii="仿宋_GB2312" w:hAnsi="宋体" w:eastAsia="仿宋_GB2312" w:cs="宋体"/>
          <w:color w:val="000000"/>
          <w:kern w:val="0"/>
          <w:sz w:val="30"/>
          <w:szCs w:val="30"/>
        </w:rPr>
        <w:t>政府工作的总体要求是：坚持以习近平新时代中国特色社会主义思想为指导，全面贯彻党的十九大和十九届二中、三中、四中、五中全会精神，认真落实党中央、国务院和省市决策部署，坚持稳重求近工作总基调，坚持新发展理念，坚持以供给侧结构性改革为主线，坚持以改革开放为动力，推动高质量发展，以“三创四建”活动为抓手，以“六重”工作为引领，支持做好“六稳”工作，落实“六保”任务，坚定不移践行新发展理念，实施积极的财政政策，树牢过“紧日子”思想。我镇围绕“经济强镇，美丽</w:t>
      </w:r>
      <w:r>
        <w:rPr>
          <w:rFonts w:hint="eastAsia" w:ascii="仿宋_GB2312" w:hAnsi="宋体" w:eastAsia="仿宋_GB2312" w:cs="宋体"/>
          <w:color w:val="000000"/>
          <w:kern w:val="0"/>
          <w:sz w:val="30"/>
          <w:szCs w:val="30"/>
          <w:lang w:eastAsia="zh-CN"/>
        </w:rPr>
        <w:t>东良</w:t>
      </w:r>
      <w:r>
        <w:rPr>
          <w:rFonts w:hint="eastAsia" w:ascii="仿宋_GB2312" w:hAnsi="宋体" w:eastAsia="仿宋_GB2312" w:cs="宋体"/>
          <w:color w:val="000000"/>
          <w:kern w:val="0"/>
          <w:sz w:val="30"/>
          <w:szCs w:val="30"/>
        </w:rPr>
        <w:t>”为目标，以招商引资为抓手，以项目建设为核心，坚持经济发展稳中求进、好中求快、社会稳定人人尽责、营造和谐、美丽乡村，确保我镇经济、政治、文化、社会和生态建设统筹推进，努力实现全镇经济社会健康持续发展。</w:t>
      </w:r>
    </w:p>
    <w:p>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00" w:firstLineChars="200"/>
        <w:jc w:val="left"/>
        <w:rPr>
          <w:rFonts w:hint="eastAsia" w:ascii="仿宋_GB2312" w:hAnsi="宋体" w:eastAsia="仿宋_GB2312" w:cs="宋体"/>
          <w:color w:val="000000"/>
          <w:kern w:val="0"/>
          <w:sz w:val="30"/>
          <w:szCs w:val="30"/>
        </w:rPr>
      </w:pPr>
      <w:r>
        <w:rPr>
          <w:rFonts w:hint="eastAsia" w:ascii="仿宋_GB2312" w:hAnsi="宋体" w:eastAsia="仿宋_GB2312" w:cs="宋体"/>
          <w:color w:val="000000"/>
          <w:kern w:val="0"/>
          <w:sz w:val="30"/>
          <w:szCs w:val="30"/>
        </w:rPr>
        <w:t>主要预期目标是：全镇综合经济实力进一步增强，社会事业全面进步，人民生活水平进一步提高，环境质量进一步优化。</w:t>
      </w:r>
    </w:p>
    <w:p>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00" w:firstLineChars="200"/>
        <w:jc w:val="left"/>
        <w:rPr>
          <w:rFonts w:hint="eastAsia" w:ascii="仿宋_GB2312" w:hAnsi="宋体" w:eastAsia="仿宋_GB2312" w:cs="宋体"/>
          <w:color w:val="000000"/>
          <w:kern w:val="0"/>
          <w:sz w:val="30"/>
          <w:szCs w:val="30"/>
        </w:rPr>
      </w:pPr>
      <w:r>
        <w:rPr>
          <w:rFonts w:hint="eastAsia" w:ascii="仿宋_GB2312" w:hAnsi="宋体" w:eastAsia="仿宋_GB2312" w:cs="宋体"/>
          <w:color w:val="000000"/>
          <w:kern w:val="0"/>
          <w:sz w:val="30"/>
          <w:szCs w:val="30"/>
        </w:rPr>
        <w:t>一是农业产业结构调整进一步优化。加大对农业投入，优化产业结构，依托本镇优势，打造农业大镇。小孟村正在积极推动大棚种植项目。农村农业发展提升效果明显，形成了北方农业园区，并积极建设美丽乡村。</w:t>
      </w:r>
    </w:p>
    <w:p>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00" w:firstLineChars="200"/>
        <w:jc w:val="left"/>
        <w:rPr>
          <w:rFonts w:hint="eastAsia" w:ascii="仿宋_GB2312" w:hAnsi="宋体" w:eastAsia="仿宋_GB2312" w:cs="宋体"/>
          <w:color w:val="000000"/>
          <w:kern w:val="0"/>
          <w:sz w:val="30"/>
          <w:szCs w:val="30"/>
        </w:rPr>
      </w:pPr>
      <w:r>
        <w:rPr>
          <w:rFonts w:hint="eastAsia" w:ascii="仿宋_GB2312" w:hAnsi="宋体" w:eastAsia="仿宋_GB2312" w:cs="宋体"/>
          <w:color w:val="000000"/>
          <w:kern w:val="0"/>
          <w:sz w:val="30"/>
          <w:szCs w:val="30"/>
        </w:rPr>
        <w:t>二、项目建设和招商引资。学习外地先进发展经验，去外地进行观摩学习，推出好的项目引进计划，加大优惠力度，使我镇招商引资工作再上新的台阶。</w:t>
      </w:r>
    </w:p>
    <w:p>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00" w:firstLineChars="200"/>
        <w:jc w:val="left"/>
        <w:rPr>
          <w:rFonts w:hint="eastAsia" w:ascii="仿宋_GB2312" w:hAnsi="宋体" w:eastAsia="仿宋_GB2312" w:cs="宋体"/>
          <w:color w:val="000000"/>
          <w:kern w:val="0"/>
          <w:sz w:val="30"/>
          <w:szCs w:val="30"/>
        </w:rPr>
      </w:pPr>
      <w:r>
        <w:rPr>
          <w:rFonts w:hint="eastAsia" w:ascii="仿宋_GB2312" w:hAnsi="宋体" w:eastAsia="仿宋_GB2312" w:cs="宋体"/>
          <w:color w:val="000000"/>
          <w:kern w:val="0"/>
          <w:sz w:val="30"/>
          <w:szCs w:val="30"/>
        </w:rPr>
        <w:t>三、打造美丽乡村。狠抓环境整治保护工作，做好路边街道垃圾清理工作和环境卫生工作。做好全镇禁烧工作，实现全面的街道硬化和绿化，让人们的生活环境更加美丽。</w:t>
      </w:r>
    </w:p>
    <w:p>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00" w:firstLineChars="200"/>
        <w:jc w:val="left"/>
        <w:rPr>
          <w:rFonts w:hint="eastAsia" w:ascii="仿宋" w:hAnsi="仿宋" w:eastAsia="仿宋" w:cs="仿宋"/>
          <w:sz w:val="32"/>
          <w:szCs w:val="32"/>
        </w:rPr>
      </w:pPr>
      <w:r>
        <w:rPr>
          <w:rFonts w:hint="eastAsia" w:ascii="仿宋_GB2312" w:hAnsi="宋体" w:eastAsia="仿宋_GB2312" w:cs="宋体"/>
          <w:color w:val="000000"/>
          <w:kern w:val="0"/>
          <w:sz w:val="30"/>
          <w:szCs w:val="30"/>
        </w:rPr>
        <w:t>四、信访稳定。落实分级负责、属地管理、一案一档要求，建立督办制度，实行专人负责，建立台账，，妥善处理矛盾纠纷、信访隐患和涉及农民利益的突出问题，确保全镇社会和谐稳定。</w:t>
      </w:r>
    </w:p>
    <w:p>
      <w:pPr>
        <w:adjustRightInd w:val="0"/>
        <w:rPr>
          <w:rFonts w:ascii="楷体" w:hAnsi="楷体" w:eastAsia="楷体" w:cs="仿宋"/>
          <w:sz w:val="32"/>
          <w:szCs w:val="32"/>
        </w:rPr>
      </w:pPr>
      <w:r>
        <w:rPr>
          <w:rFonts w:hint="eastAsia" w:ascii="仿宋" w:hAnsi="仿宋" w:eastAsia="仿宋" w:cs="仿宋"/>
          <w:sz w:val="32"/>
          <w:szCs w:val="32"/>
        </w:rPr>
        <w:t xml:space="preserve">   （五）预算资金安排及资金支出</w:t>
      </w:r>
      <w:r>
        <w:rPr>
          <w:rFonts w:hint="eastAsia" w:ascii="楷体" w:hAnsi="楷体" w:eastAsia="楷体" w:cs="仿宋"/>
          <w:sz w:val="32"/>
          <w:szCs w:val="32"/>
        </w:rPr>
        <w:t>情况。</w:t>
      </w:r>
    </w:p>
    <w:p>
      <w:pPr>
        <w:pStyle w:val="17"/>
        <w:numPr>
          <w:ilvl w:val="0"/>
          <w:numId w:val="2"/>
        </w:numPr>
        <w:ind w:firstLineChars="0"/>
        <w:rPr>
          <w:rFonts w:ascii="黑体" w:hAnsi="黑体" w:eastAsia="黑体" w:cs="仿宋"/>
          <w:sz w:val="32"/>
          <w:szCs w:val="32"/>
        </w:rPr>
      </w:pPr>
      <w:r>
        <w:rPr>
          <w:rFonts w:hint="eastAsia" w:ascii="黑体" w:hAnsi="黑体" w:eastAsia="黑体" w:cs="仿宋"/>
          <w:sz w:val="32"/>
          <w:szCs w:val="32"/>
        </w:rPr>
        <w:t>预算绩效管理开展及整体绩效实现情况。</w:t>
      </w:r>
    </w:p>
    <w:p>
      <w:pPr>
        <w:numPr>
          <w:ilvl w:val="0"/>
          <w:numId w:val="3"/>
        </w:numPr>
        <w:adjustRightInd w:val="0"/>
        <w:ind w:firstLine="480" w:firstLineChars="150"/>
        <w:rPr>
          <w:rFonts w:hint="eastAsia" w:ascii="仿宋" w:hAnsi="仿宋" w:eastAsia="仿宋" w:cs="仿宋"/>
          <w:sz w:val="32"/>
          <w:szCs w:val="32"/>
        </w:rPr>
      </w:pPr>
      <w:r>
        <w:rPr>
          <w:rFonts w:hint="eastAsia" w:ascii="仿宋" w:hAnsi="仿宋" w:eastAsia="仿宋" w:cs="仿宋"/>
          <w:sz w:val="32"/>
          <w:szCs w:val="32"/>
        </w:rPr>
        <w:t>部门开展预算绩效管理情况。</w:t>
      </w:r>
    </w:p>
    <w:p>
      <w:pPr>
        <w:spacing w:line="600" w:lineRule="exact"/>
        <w:ind w:firstLine="600" w:firstLineChars="200"/>
        <w:rPr>
          <w:rFonts w:hint="eastAsia" w:ascii="仿宋" w:hAnsi="仿宋" w:eastAsia="仿宋" w:cs="仿宋"/>
          <w:sz w:val="32"/>
          <w:szCs w:val="32"/>
        </w:rPr>
      </w:pPr>
      <w:r>
        <w:rPr>
          <w:rFonts w:hint="eastAsia" w:ascii="仿宋_GB2312" w:hAnsi="宋体" w:eastAsia="仿宋_GB2312" w:cs="宋体"/>
          <w:color w:val="000000"/>
          <w:kern w:val="0"/>
          <w:sz w:val="30"/>
          <w:szCs w:val="30"/>
          <w:lang w:val="en-US" w:eastAsia="zh-CN"/>
        </w:rPr>
        <w:t>我单位积极申请预算资金，做到了资金来源有理有据，支付资金也及时有效。</w:t>
      </w:r>
    </w:p>
    <w:p>
      <w:pPr>
        <w:adjustRightInd w:val="0"/>
        <w:ind w:firstLine="480" w:firstLineChars="150"/>
        <w:rPr>
          <w:rFonts w:hint="eastAsia" w:ascii="仿宋" w:hAnsi="仿宋" w:eastAsia="仿宋" w:cs="仿宋"/>
          <w:sz w:val="32"/>
          <w:szCs w:val="32"/>
          <w:lang w:val="en-US" w:eastAsia="zh-CN"/>
        </w:rPr>
      </w:pPr>
      <w:r>
        <w:rPr>
          <w:rFonts w:hint="eastAsia" w:ascii="仿宋" w:hAnsi="仿宋" w:eastAsia="仿宋" w:cs="仿宋"/>
          <w:sz w:val="32"/>
          <w:szCs w:val="32"/>
        </w:rPr>
        <w:t>（二）工作履行活动完成情况。</w:t>
      </w:r>
      <w:r>
        <w:rPr>
          <w:rFonts w:hint="eastAsia" w:ascii="仿宋" w:hAnsi="仿宋" w:eastAsia="仿宋" w:cs="仿宋"/>
          <w:sz w:val="32"/>
          <w:szCs w:val="32"/>
          <w:lang w:val="en-US" w:eastAsia="zh-CN"/>
        </w:rPr>
        <w:t>已完成</w:t>
      </w:r>
    </w:p>
    <w:p>
      <w:pPr>
        <w:adjustRightInd w:val="0"/>
        <w:ind w:firstLine="480" w:firstLineChars="150"/>
        <w:rPr>
          <w:rFonts w:hint="eastAsia" w:ascii="仿宋" w:hAnsi="仿宋" w:eastAsia="仿宋" w:cs="仿宋"/>
          <w:sz w:val="32"/>
          <w:szCs w:val="32"/>
        </w:rPr>
      </w:pPr>
      <w:r>
        <w:rPr>
          <w:rFonts w:hint="eastAsia" w:ascii="仿宋" w:hAnsi="仿宋" w:eastAsia="仿宋" w:cs="仿宋"/>
          <w:sz w:val="32"/>
          <w:szCs w:val="32"/>
        </w:rPr>
        <w:t>（三）实施履职活动产生的效果或服务对象满意程度。</w:t>
      </w:r>
    </w:p>
    <w:p>
      <w:pPr>
        <w:adjustRightInd w:val="0"/>
        <w:ind w:firstLine="450" w:firstLineChars="150"/>
        <w:rPr>
          <w:rFonts w:hint="default" w:ascii="仿宋" w:hAnsi="仿宋" w:eastAsia="仿宋" w:cs="仿宋"/>
          <w:sz w:val="32"/>
          <w:szCs w:val="32"/>
          <w:lang w:val="en-US" w:eastAsia="zh-CN"/>
        </w:rPr>
      </w:pPr>
      <w:r>
        <w:rPr>
          <w:rFonts w:hint="eastAsia" w:ascii="仿宋_GB2312" w:hAnsi="宋体" w:eastAsia="仿宋_GB2312" w:cs="宋体"/>
          <w:color w:val="000000"/>
          <w:kern w:val="0"/>
          <w:sz w:val="30"/>
          <w:szCs w:val="30"/>
        </w:rPr>
        <w:t>实施履职活动产生的效果</w:t>
      </w:r>
      <w:r>
        <w:rPr>
          <w:rFonts w:hint="eastAsia" w:ascii="仿宋_GB2312" w:hAnsi="宋体" w:eastAsia="仿宋_GB2312" w:cs="宋体"/>
          <w:color w:val="000000"/>
          <w:kern w:val="0"/>
          <w:sz w:val="30"/>
          <w:szCs w:val="30"/>
          <w:lang w:val="en-US" w:eastAsia="zh-CN"/>
        </w:rPr>
        <w:t>好，服务对象满意程度高。</w:t>
      </w:r>
    </w:p>
    <w:p>
      <w:pPr>
        <w:pStyle w:val="17"/>
        <w:numPr>
          <w:ilvl w:val="0"/>
          <w:numId w:val="2"/>
        </w:numPr>
        <w:ind w:firstLineChars="0"/>
        <w:rPr>
          <w:rFonts w:ascii="黑体" w:hAnsi="黑体" w:eastAsia="黑体" w:cs="仿宋"/>
          <w:sz w:val="32"/>
          <w:szCs w:val="32"/>
        </w:rPr>
      </w:pPr>
      <w:r>
        <w:rPr>
          <w:rFonts w:hint="eastAsia" w:ascii="黑体" w:hAnsi="黑体" w:eastAsia="黑体" w:cs="仿宋"/>
          <w:sz w:val="32"/>
          <w:szCs w:val="32"/>
        </w:rPr>
        <w:t>绩效评价的组织实施情况</w:t>
      </w:r>
    </w:p>
    <w:p>
      <w:pPr>
        <w:numPr>
          <w:ilvl w:val="0"/>
          <w:numId w:val="4"/>
        </w:numPr>
        <w:adjustRightInd w:val="0"/>
        <w:ind w:firstLine="480" w:firstLineChars="150"/>
        <w:rPr>
          <w:rFonts w:hint="eastAsia" w:ascii="仿宋" w:hAnsi="仿宋" w:eastAsia="仿宋" w:cs="仿宋"/>
          <w:sz w:val="32"/>
          <w:szCs w:val="32"/>
        </w:rPr>
      </w:pPr>
      <w:r>
        <w:rPr>
          <w:rFonts w:hint="eastAsia" w:ascii="仿宋" w:hAnsi="仿宋" w:eastAsia="仿宋" w:cs="仿宋"/>
          <w:sz w:val="32"/>
          <w:szCs w:val="32"/>
        </w:rPr>
        <w:t>评价对象绩效目标。</w:t>
      </w:r>
    </w:p>
    <w:p>
      <w:pPr>
        <w:numPr>
          <w:ilvl w:val="0"/>
          <w:numId w:val="0"/>
        </w:numPr>
        <w:adjustRightInd w:val="0"/>
        <w:ind w:left="480" w:leftChars="0" w:firstLine="600" w:firstLineChars="200"/>
        <w:rPr>
          <w:rFonts w:hint="eastAsia" w:ascii="仿宋" w:hAnsi="仿宋" w:eastAsia="仿宋" w:cs="仿宋"/>
          <w:sz w:val="32"/>
          <w:szCs w:val="32"/>
        </w:rPr>
      </w:pPr>
      <w:r>
        <w:rPr>
          <w:rFonts w:hint="eastAsia" w:ascii="仿宋_GB2312" w:hAnsi="宋体" w:eastAsia="仿宋_GB2312" w:cs="Times New Roman"/>
          <w:sz w:val="30"/>
          <w:szCs w:val="30"/>
        </w:rPr>
        <w:t>绩效目标分为优、良、中、差，根据完成百分比划分，量化任务指标，可以有效评价每个职责完成情况。</w:t>
      </w:r>
    </w:p>
    <w:p>
      <w:pPr>
        <w:numPr>
          <w:ilvl w:val="0"/>
          <w:numId w:val="4"/>
        </w:numPr>
        <w:adjustRightInd w:val="0"/>
        <w:ind w:left="0" w:leftChars="0" w:firstLine="480" w:firstLineChars="150"/>
        <w:rPr>
          <w:rFonts w:hint="eastAsia" w:ascii="仿宋" w:hAnsi="仿宋" w:eastAsia="仿宋" w:cs="仿宋"/>
          <w:sz w:val="32"/>
          <w:szCs w:val="32"/>
        </w:rPr>
      </w:pPr>
      <w:r>
        <w:rPr>
          <w:rFonts w:hint="eastAsia" w:ascii="仿宋" w:hAnsi="仿宋" w:eastAsia="仿宋" w:cs="仿宋"/>
          <w:sz w:val="32"/>
          <w:szCs w:val="32"/>
        </w:rPr>
        <w:t>绩效指标。</w:t>
      </w:r>
    </w:p>
    <w:p>
      <w:pPr>
        <w:numPr>
          <w:ilvl w:val="0"/>
          <w:numId w:val="0"/>
        </w:numPr>
        <w:adjustRightInd w:val="0"/>
        <w:ind w:firstLine="640" w:firstLineChars="200"/>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绩效指标分为一、二、三级指标，一级指标分为产出指标、效益指标、满意度指标，二级指标分为数量指标、质量指标、时效指标、成本指标、社会效益指标、服务对象满意度指标，三级指标根据实际情况分别制定。</w:t>
      </w:r>
    </w:p>
    <w:p>
      <w:pPr>
        <w:numPr>
          <w:ilvl w:val="0"/>
          <w:numId w:val="4"/>
        </w:numPr>
        <w:adjustRightInd w:val="0"/>
        <w:ind w:left="0" w:leftChars="0" w:firstLine="480" w:firstLineChars="150"/>
        <w:rPr>
          <w:rFonts w:hint="eastAsia" w:ascii="仿宋" w:hAnsi="仿宋" w:eastAsia="仿宋" w:cs="仿宋"/>
          <w:sz w:val="32"/>
          <w:szCs w:val="32"/>
        </w:rPr>
      </w:pPr>
      <w:r>
        <w:rPr>
          <w:rFonts w:hint="eastAsia" w:ascii="仿宋" w:hAnsi="仿宋" w:eastAsia="仿宋" w:cs="仿宋"/>
          <w:sz w:val="32"/>
          <w:szCs w:val="32"/>
        </w:rPr>
        <w:t>评价标准和评价方法。</w:t>
      </w:r>
    </w:p>
    <w:p>
      <w:pPr>
        <w:numPr>
          <w:ilvl w:val="0"/>
          <w:numId w:val="0"/>
        </w:numPr>
        <w:adjustRightInd w:val="0"/>
        <w:ind w:firstLine="640" w:firstLineChars="200"/>
        <w:rPr>
          <w:rFonts w:hint="default" w:ascii="仿宋" w:hAnsi="仿宋" w:eastAsia="仿宋" w:cs="仿宋"/>
          <w:sz w:val="32"/>
          <w:szCs w:val="32"/>
          <w:lang w:val="en-US" w:eastAsia="zh-CN"/>
        </w:rPr>
      </w:pPr>
      <w:r>
        <w:rPr>
          <w:rFonts w:hint="eastAsia" w:ascii="仿宋" w:hAnsi="仿宋" w:eastAsia="仿宋" w:cs="仿宋"/>
          <w:sz w:val="32"/>
          <w:szCs w:val="32"/>
        </w:rPr>
        <w:t>工作活动(项目)绩效评价定级</w:t>
      </w:r>
      <w:r>
        <w:rPr>
          <w:rFonts w:hint="eastAsia" w:ascii="仿宋" w:hAnsi="仿宋" w:eastAsia="仿宋" w:cs="仿宋"/>
          <w:sz w:val="32"/>
          <w:szCs w:val="32"/>
          <w:lang w:val="en-US" w:eastAsia="zh-CN"/>
        </w:rPr>
        <w:t>为优秀、良好、一般有效、无效、无法显示成效 。 并成立了评价领导小组开展绩效自评工作，组长由镇长殷战永担任，组员由人大主席张国江、财政所工作人员李少辉、王红星担任。评价方法采取打分的发放对各个项目进行评价。</w:t>
      </w:r>
    </w:p>
    <w:p>
      <w:pPr>
        <w:pStyle w:val="17"/>
        <w:numPr>
          <w:ilvl w:val="0"/>
          <w:numId w:val="2"/>
        </w:numPr>
        <w:ind w:firstLineChars="0"/>
        <w:rPr>
          <w:rFonts w:ascii="黑体" w:hAnsi="黑体" w:eastAsia="黑体" w:cs="仿宋"/>
          <w:sz w:val="32"/>
          <w:szCs w:val="32"/>
        </w:rPr>
      </w:pPr>
      <w:r>
        <w:rPr>
          <w:rFonts w:hint="eastAsia" w:ascii="黑体" w:hAnsi="黑体" w:eastAsia="黑体" w:cs="仿宋"/>
          <w:sz w:val="32"/>
          <w:szCs w:val="32"/>
        </w:rPr>
        <w:t>各项绩效目标的实现程度及差异性原因分析。</w:t>
      </w:r>
    </w:p>
    <w:p>
      <w:pPr>
        <w:pStyle w:val="17"/>
        <w:numPr>
          <w:ilvl w:val="0"/>
          <w:numId w:val="0"/>
        </w:numPr>
        <w:ind w:left="709" w:leftChars="0"/>
        <w:rPr>
          <w:rFonts w:hint="default"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我镇各项绩效目标基本已全部完成，整体得分为96分，评价定级为优秀，差异性不大。</w:t>
      </w:r>
    </w:p>
    <w:p>
      <w:pPr>
        <w:pStyle w:val="17"/>
        <w:numPr>
          <w:ilvl w:val="0"/>
          <w:numId w:val="2"/>
        </w:numPr>
        <w:ind w:firstLineChars="0"/>
        <w:rPr>
          <w:rFonts w:ascii="黑体" w:hAnsi="黑体" w:eastAsia="黑体" w:cs="仿宋"/>
          <w:sz w:val="32"/>
          <w:szCs w:val="32"/>
        </w:rPr>
      </w:pPr>
      <w:r>
        <w:rPr>
          <w:rFonts w:hint="eastAsia" w:ascii="黑体" w:hAnsi="黑体" w:eastAsia="黑体" w:cs="仿宋"/>
          <w:sz w:val="32"/>
          <w:szCs w:val="32"/>
        </w:rPr>
        <w:t>存在问题</w:t>
      </w:r>
    </w:p>
    <w:p>
      <w:pPr>
        <w:pStyle w:val="17"/>
        <w:numPr>
          <w:ilvl w:val="0"/>
          <w:numId w:val="0"/>
        </w:numPr>
        <w:ind w:left="709" w:leftChars="0"/>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无</w:t>
      </w:r>
    </w:p>
    <w:p>
      <w:pPr>
        <w:pStyle w:val="17"/>
        <w:numPr>
          <w:ilvl w:val="0"/>
          <w:numId w:val="2"/>
        </w:numPr>
        <w:ind w:firstLineChars="0"/>
        <w:rPr>
          <w:rFonts w:ascii="黑体" w:hAnsi="黑体" w:eastAsia="黑体" w:cs="仿宋"/>
          <w:sz w:val="32"/>
          <w:szCs w:val="32"/>
        </w:rPr>
      </w:pPr>
      <w:r>
        <w:rPr>
          <w:rFonts w:hint="eastAsia" w:ascii="黑体" w:hAnsi="黑体" w:eastAsia="黑体" w:cs="仿宋"/>
          <w:sz w:val="32"/>
          <w:szCs w:val="32"/>
        </w:rPr>
        <w:t>采取的纠偏措施及改进绩效管理建议。</w:t>
      </w:r>
    </w:p>
    <w:p>
      <w:pPr>
        <w:pStyle w:val="17"/>
        <w:numPr>
          <w:ilvl w:val="0"/>
          <w:numId w:val="0"/>
        </w:numPr>
        <w:ind w:left="709" w:leftChars="0"/>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无</w:t>
      </w:r>
    </w:p>
    <w:p>
      <w:pPr>
        <w:pStyle w:val="17"/>
        <w:numPr>
          <w:ilvl w:val="0"/>
          <w:numId w:val="0"/>
        </w:numPr>
        <w:ind w:left="709" w:leftChars="0"/>
        <w:rPr>
          <w:rFonts w:ascii="黑体" w:hAnsi="黑体" w:eastAsia="黑体" w:cs="仿宋"/>
          <w:sz w:val="32"/>
          <w:szCs w:val="32"/>
        </w:rPr>
      </w:pPr>
    </w:p>
    <w:sectPr>
      <w:footerReference r:id="rId3" w:type="default"/>
      <w:footerReference r:id="rId4" w:type="even"/>
      <w:pgSz w:w="11906" w:h="16838"/>
      <w:pgMar w:top="1985" w:right="1418" w:bottom="1985" w:left="1418" w:header="851" w:footer="1701" w:gutter="0"/>
      <w:cols w:space="425" w:num="1"/>
      <w:docGrid w:type="lines" w:linePitch="313"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新宋体">
    <w:panose1 w:val="02010609030101010101"/>
    <w:charset w:val="86"/>
    <w:family w:val="modern"/>
    <w:pitch w:val="default"/>
    <w:sig w:usb0="00000203" w:usb1="288F0000" w:usb2="00000006" w:usb3="00000000" w:csb0="00040001"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outside" w:y="1"/>
      <w:rPr>
        <w:rStyle w:val="11"/>
        <w:rFonts w:ascii="宋体" w:hAnsi="宋体" w:eastAsia="宋体"/>
        <w:sz w:val="28"/>
        <w:szCs w:val="28"/>
      </w:rPr>
    </w:pPr>
    <w:r>
      <w:rPr>
        <w:rStyle w:val="11"/>
        <w:rFonts w:hint="eastAsia" w:ascii="宋体" w:hAnsi="宋体" w:eastAsia="宋体"/>
        <w:sz w:val="28"/>
        <w:szCs w:val="28"/>
      </w:rPr>
      <w:t>-</w:t>
    </w:r>
    <w:r>
      <w:rPr>
        <w:rStyle w:val="11"/>
        <w:rFonts w:ascii="宋体" w:hAnsi="宋体" w:eastAsia="宋体"/>
        <w:sz w:val="28"/>
        <w:szCs w:val="28"/>
      </w:rPr>
      <w:fldChar w:fldCharType="begin"/>
    </w:r>
    <w:r>
      <w:rPr>
        <w:rStyle w:val="11"/>
        <w:rFonts w:ascii="宋体" w:hAnsi="宋体" w:eastAsia="宋体"/>
        <w:sz w:val="28"/>
        <w:szCs w:val="28"/>
      </w:rPr>
      <w:instrText xml:space="preserve">PAGE  </w:instrText>
    </w:r>
    <w:r>
      <w:rPr>
        <w:rStyle w:val="11"/>
        <w:rFonts w:ascii="宋体" w:hAnsi="宋体" w:eastAsia="宋体"/>
        <w:sz w:val="28"/>
        <w:szCs w:val="28"/>
      </w:rPr>
      <w:fldChar w:fldCharType="separate"/>
    </w:r>
    <w:r>
      <w:rPr>
        <w:rStyle w:val="11"/>
        <w:rFonts w:ascii="宋体" w:hAnsi="宋体" w:eastAsia="宋体"/>
        <w:sz w:val="28"/>
        <w:szCs w:val="28"/>
      </w:rPr>
      <w:t>7</w:t>
    </w:r>
    <w:r>
      <w:rPr>
        <w:rStyle w:val="11"/>
        <w:rFonts w:ascii="宋体" w:hAnsi="宋体" w:eastAsia="宋体"/>
        <w:sz w:val="28"/>
        <w:szCs w:val="28"/>
      </w:rPr>
      <w:fldChar w:fldCharType="end"/>
    </w:r>
    <w:r>
      <w:rPr>
        <w:rStyle w:val="11"/>
        <w:rFonts w:hint="eastAsia" w:ascii="宋体" w:hAnsi="宋体" w:eastAsia="宋体"/>
        <w:sz w:val="28"/>
        <w:szCs w:val="28"/>
      </w:rPr>
      <w:t>-</w:t>
    </w:r>
  </w:p>
  <w:p>
    <w:pPr>
      <w:pStyle w:val="5"/>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outside" w:y="1"/>
      <w:rPr>
        <w:rStyle w:val="11"/>
      </w:rPr>
    </w:pPr>
    <w:r>
      <w:rPr>
        <w:rStyle w:val="11"/>
      </w:rPr>
      <w:fldChar w:fldCharType="begin"/>
    </w:r>
    <w:r>
      <w:rPr>
        <w:rStyle w:val="11"/>
      </w:rPr>
      <w:instrText xml:space="preserve">PAGE  </w:instrText>
    </w:r>
    <w:r>
      <w:rPr>
        <w:rStyle w:val="11"/>
      </w:rPr>
      <w:fldChar w:fldCharType="end"/>
    </w:r>
  </w:p>
  <w:p>
    <w:pPr>
      <w:pStyle w:val="5"/>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ACB624C"/>
    <w:multiLevelType w:val="singleLevel"/>
    <w:tmpl w:val="9ACB624C"/>
    <w:lvl w:ilvl="0" w:tentative="0">
      <w:start w:val="1"/>
      <w:numFmt w:val="chineseCounting"/>
      <w:suff w:val="nothing"/>
      <w:lvlText w:val="（%1）"/>
      <w:lvlJc w:val="left"/>
      <w:rPr>
        <w:rFonts w:hint="eastAsia"/>
      </w:rPr>
    </w:lvl>
  </w:abstractNum>
  <w:abstractNum w:abstractNumId="1">
    <w:nsid w:val="DE250809"/>
    <w:multiLevelType w:val="singleLevel"/>
    <w:tmpl w:val="DE250809"/>
    <w:lvl w:ilvl="0" w:tentative="0">
      <w:start w:val="1"/>
      <w:numFmt w:val="chineseCounting"/>
      <w:suff w:val="nothing"/>
      <w:lvlText w:val="（%1）"/>
      <w:lvlJc w:val="left"/>
      <w:rPr>
        <w:rFonts w:hint="eastAsia"/>
      </w:rPr>
    </w:lvl>
  </w:abstractNum>
  <w:abstractNum w:abstractNumId="2">
    <w:nsid w:val="4DE332E9"/>
    <w:multiLevelType w:val="multilevel"/>
    <w:tmpl w:val="4DE332E9"/>
    <w:lvl w:ilvl="0" w:tentative="0">
      <w:start w:val="1"/>
      <w:numFmt w:val="japaneseCounting"/>
      <w:lvlText w:val="%1、"/>
      <w:lvlJc w:val="left"/>
      <w:pPr>
        <w:ind w:left="1429" w:hanging="720"/>
      </w:pPr>
      <w:rPr>
        <w:rFonts w:hint="default"/>
        <w:lang w:val="en-US"/>
      </w:rPr>
    </w:lvl>
    <w:lvl w:ilvl="1" w:tentative="0">
      <w:start w:val="1"/>
      <w:numFmt w:val="lowerLetter"/>
      <w:lvlText w:val="%2)"/>
      <w:lvlJc w:val="left"/>
      <w:pPr>
        <w:ind w:left="1419" w:hanging="420"/>
      </w:pPr>
    </w:lvl>
    <w:lvl w:ilvl="2" w:tentative="0">
      <w:start w:val="1"/>
      <w:numFmt w:val="lowerRoman"/>
      <w:lvlText w:val="%3."/>
      <w:lvlJc w:val="right"/>
      <w:pPr>
        <w:ind w:left="1839" w:hanging="420"/>
      </w:pPr>
    </w:lvl>
    <w:lvl w:ilvl="3" w:tentative="0">
      <w:start w:val="1"/>
      <w:numFmt w:val="decimal"/>
      <w:lvlText w:val="%4."/>
      <w:lvlJc w:val="left"/>
      <w:pPr>
        <w:ind w:left="2259" w:hanging="420"/>
      </w:pPr>
    </w:lvl>
    <w:lvl w:ilvl="4" w:tentative="0">
      <w:start w:val="1"/>
      <w:numFmt w:val="lowerLetter"/>
      <w:lvlText w:val="%5)"/>
      <w:lvlJc w:val="left"/>
      <w:pPr>
        <w:ind w:left="2679" w:hanging="420"/>
      </w:pPr>
    </w:lvl>
    <w:lvl w:ilvl="5" w:tentative="0">
      <w:start w:val="1"/>
      <w:numFmt w:val="lowerRoman"/>
      <w:lvlText w:val="%6."/>
      <w:lvlJc w:val="right"/>
      <w:pPr>
        <w:ind w:left="3099" w:hanging="420"/>
      </w:pPr>
    </w:lvl>
    <w:lvl w:ilvl="6" w:tentative="0">
      <w:start w:val="1"/>
      <w:numFmt w:val="decimal"/>
      <w:lvlText w:val="%7."/>
      <w:lvlJc w:val="left"/>
      <w:pPr>
        <w:ind w:left="3519" w:hanging="420"/>
      </w:pPr>
    </w:lvl>
    <w:lvl w:ilvl="7" w:tentative="0">
      <w:start w:val="1"/>
      <w:numFmt w:val="lowerLetter"/>
      <w:lvlText w:val="%8)"/>
      <w:lvlJc w:val="left"/>
      <w:pPr>
        <w:ind w:left="3939" w:hanging="420"/>
      </w:pPr>
    </w:lvl>
    <w:lvl w:ilvl="8" w:tentative="0">
      <w:start w:val="1"/>
      <w:numFmt w:val="lowerRoman"/>
      <w:lvlText w:val="%9."/>
      <w:lvlJc w:val="right"/>
      <w:pPr>
        <w:ind w:left="4359" w:hanging="420"/>
      </w:pPr>
    </w:lvl>
  </w:abstractNum>
  <w:abstractNum w:abstractNumId="3">
    <w:nsid w:val="4E921AA0"/>
    <w:multiLevelType w:val="singleLevel"/>
    <w:tmpl w:val="4E921AA0"/>
    <w:lvl w:ilvl="0" w:tentative="0">
      <w:start w:val="2"/>
      <w:numFmt w:val="chineseCounting"/>
      <w:suff w:val="nothing"/>
      <w:lvlText w:val="（%1）"/>
      <w:lvlJc w:val="left"/>
      <w:pPr>
        <w:ind w:left="480" w:leftChars="0" w:firstLine="0" w:firstLineChars="0"/>
      </w:pPr>
      <w:rPr>
        <w:rFonts w:hint="eastAsia"/>
      </w:rPr>
    </w:lvl>
  </w:abstractNum>
  <w:num w:numId="1">
    <w:abstractNumId w:val="3"/>
  </w:num>
  <w:num w:numId="2">
    <w:abstractNumId w:val="2"/>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doNotDisplayPageBoundaries w:val="1"/>
  <w:bordersDoNotSurroundHeader w:val="1"/>
  <w:bordersDoNotSurroundFooter w:val="1"/>
  <w:documentProtection w:enforcement="0"/>
  <w:defaultTabStop w:val="420"/>
  <w:drawingGridHorizontalSpacing w:val="105"/>
  <w:drawingGridVerticalSpacing w:val="313"/>
  <w:displayHorizontalDrawingGridEvery w:val="0"/>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mY1ZjAzMDUwNTNiZjYzMDMzZDc0MTc5ZWExOWNhOGUifQ=="/>
  </w:docVars>
  <w:rsids>
    <w:rsidRoot w:val="00042933"/>
    <w:rsid w:val="00002F2C"/>
    <w:rsid w:val="000070A8"/>
    <w:rsid w:val="00016CA4"/>
    <w:rsid w:val="000324AE"/>
    <w:rsid w:val="00042933"/>
    <w:rsid w:val="00074438"/>
    <w:rsid w:val="0008033E"/>
    <w:rsid w:val="00083780"/>
    <w:rsid w:val="0008759D"/>
    <w:rsid w:val="00094F2B"/>
    <w:rsid w:val="000B0A83"/>
    <w:rsid w:val="000B6322"/>
    <w:rsid w:val="000C2CC1"/>
    <w:rsid w:val="000E4A5A"/>
    <w:rsid w:val="00103547"/>
    <w:rsid w:val="00136EC7"/>
    <w:rsid w:val="0017068B"/>
    <w:rsid w:val="00185A3C"/>
    <w:rsid w:val="00192D5A"/>
    <w:rsid w:val="001C59B3"/>
    <w:rsid w:val="001D49CC"/>
    <w:rsid w:val="001E0886"/>
    <w:rsid w:val="001F7E31"/>
    <w:rsid w:val="002071BC"/>
    <w:rsid w:val="00225AE6"/>
    <w:rsid w:val="002270EB"/>
    <w:rsid w:val="00235F0F"/>
    <w:rsid w:val="00255783"/>
    <w:rsid w:val="00290BA1"/>
    <w:rsid w:val="002A6AEA"/>
    <w:rsid w:val="002F07DF"/>
    <w:rsid w:val="002F2268"/>
    <w:rsid w:val="003C50C2"/>
    <w:rsid w:val="0041099F"/>
    <w:rsid w:val="00436A1D"/>
    <w:rsid w:val="004379D7"/>
    <w:rsid w:val="004A68B1"/>
    <w:rsid w:val="004B64F3"/>
    <w:rsid w:val="004E3B64"/>
    <w:rsid w:val="005020C5"/>
    <w:rsid w:val="00567FE6"/>
    <w:rsid w:val="0058162A"/>
    <w:rsid w:val="005B2327"/>
    <w:rsid w:val="005B3616"/>
    <w:rsid w:val="005E12FA"/>
    <w:rsid w:val="006279F4"/>
    <w:rsid w:val="00683167"/>
    <w:rsid w:val="006A1CCC"/>
    <w:rsid w:val="006A5056"/>
    <w:rsid w:val="006E64C9"/>
    <w:rsid w:val="007048FF"/>
    <w:rsid w:val="00712100"/>
    <w:rsid w:val="0071700D"/>
    <w:rsid w:val="00742652"/>
    <w:rsid w:val="00752E24"/>
    <w:rsid w:val="00756EFC"/>
    <w:rsid w:val="00772600"/>
    <w:rsid w:val="007D5D41"/>
    <w:rsid w:val="007F01F9"/>
    <w:rsid w:val="00856BA1"/>
    <w:rsid w:val="00867620"/>
    <w:rsid w:val="008709E0"/>
    <w:rsid w:val="008A6A10"/>
    <w:rsid w:val="008A6A31"/>
    <w:rsid w:val="008C54C8"/>
    <w:rsid w:val="00904AF4"/>
    <w:rsid w:val="00905542"/>
    <w:rsid w:val="00917700"/>
    <w:rsid w:val="00921750"/>
    <w:rsid w:val="00956F74"/>
    <w:rsid w:val="009841E5"/>
    <w:rsid w:val="009B0B5F"/>
    <w:rsid w:val="009C04DA"/>
    <w:rsid w:val="009C4C62"/>
    <w:rsid w:val="009E3627"/>
    <w:rsid w:val="009F53E7"/>
    <w:rsid w:val="00A11BF8"/>
    <w:rsid w:val="00A14A33"/>
    <w:rsid w:val="00A6449D"/>
    <w:rsid w:val="00A768DB"/>
    <w:rsid w:val="00AA09C8"/>
    <w:rsid w:val="00AD5F30"/>
    <w:rsid w:val="00B0681D"/>
    <w:rsid w:val="00B56C08"/>
    <w:rsid w:val="00B9023F"/>
    <w:rsid w:val="00BC1FDC"/>
    <w:rsid w:val="00BD0FD8"/>
    <w:rsid w:val="00C44804"/>
    <w:rsid w:val="00C6362A"/>
    <w:rsid w:val="00C81363"/>
    <w:rsid w:val="00CB27A5"/>
    <w:rsid w:val="00CD55ED"/>
    <w:rsid w:val="00CD63C0"/>
    <w:rsid w:val="00CE62A0"/>
    <w:rsid w:val="00D21F0C"/>
    <w:rsid w:val="00D366C1"/>
    <w:rsid w:val="00D36CB5"/>
    <w:rsid w:val="00D877F7"/>
    <w:rsid w:val="00DB2D43"/>
    <w:rsid w:val="00E266F1"/>
    <w:rsid w:val="00E924C0"/>
    <w:rsid w:val="00EB16A8"/>
    <w:rsid w:val="00EC7904"/>
    <w:rsid w:val="00F72E93"/>
    <w:rsid w:val="00F87A11"/>
    <w:rsid w:val="00FB2D24"/>
    <w:rsid w:val="00FB7E01"/>
    <w:rsid w:val="00FE5F4C"/>
    <w:rsid w:val="00FF39F6"/>
    <w:rsid w:val="05374814"/>
    <w:rsid w:val="0BD11B63"/>
    <w:rsid w:val="0C6A07D3"/>
    <w:rsid w:val="0C8F0285"/>
    <w:rsid w:val="0F8F6BFC"/>
    <w:rsid w:val="107166F3"/>
    <w:rsid w:val="1A4340B4"/>
    <w:rsid w:val="1C841DE7"/>
    <w:rsid w:val="22EA5D72"/>
    <w:rsid w:val="23403551"/>
    <w:rsid w:val="25B82157"/>
    <w:rsid w:val="25D72BD3"/>
    <w:rsid w:val="26697889"/>
    <w:rsid w:val="31A54E49"/>
    <w:rsid w:val="3791647A"/>
    <w:rsid w:val="379445C2"/>
    <w:rsid w:val="39776980"/>
    <w:rsid w:val="44676DCB"/>
    <w:rsid w:val="455969D8"/>
    <w:rsid w:val="48725571"/>
    <w:rsid w:val="4B347579"/>
    <w:rsid w:val="4BDB04ED"/>
    <w:rsid w:val="4FF46A2C"/>
    <w:rsid w:val="526A3656"/>
    <w:rsid w:val="53CD5365"/>
    <w:rsid w:val="576A2A02"/>
    <w:rsid w:val="58AD704A"/>
    <w:rsid w:val="5D643D56"/>
    <w:rsid w:val="5F6F1C0E"/>
    <w:rsid w:val="64283056"/>
    <w:rsid w:val="65A459F9"/>
    <w:rsid w:val="69BD0A47"/>
    <w:rsid w:val="6AE0505D"/>
    <w:rsid w:val="704B11CB"/>
    <w:rsid w:val="71A911C9"/>
    <w:rsid w:val="71AC7D0C"/>
    <w:rsid w:val="7793669D"/>
    <w:rsid w:val="79EE0E19"/>
    <w:rsid w:val="7B315461"/>
    <w:rsid w:val="7CCC213E"/>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5"/>
    <w:qFormat/>
    <w:uiPriority w:val="9"/>
    <w:pPr>
      <w:spacing w:before="100" w:beforeAutospacing="1" w:after="100" w:afterAutospacing="1"/>
      <w:jc w:val="left"/>
      <w:outlineLvl w:val="0"/>
    </w:pPr>
    <w:rPr>
      <w:rFonts w:hint="eastAsia" w:ascii="宋体" w:hAnsi="宋体" w:eastAsia="宋体" w:cs="宋体"/>
      <w:b/>
      <w:kern w:val="44"/>
      <w:sz w:val="48"/>
      <w:szCs w:val="48"/>
    </w:rPr>
  </w:style>
  <w:style w:type="character" w:default="1" w:styleId="9">
    <w:name w:val="Default Paragraph Font"/>
    <w:autoRedefine/>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3">
    <w:name w:val="Body Text"/>
    <w:basedOn w:val="1"/>
    <w:qFormat/>
    <w:uiPriority w:val="99"/>
    <w:pPr>
      <w:autoSpaceDE w:val="0"/>
      <w:autoSpaceDN w:val="0"/>
      <w:adjustRightInd w:val="0"/>
      <w:snapToGrid w:val="0"/>
      <w:spacing w:line="588" w:lineRule="atLeast"/>
    </w:pPr>
    <w:rPr>
      <w:rFonts w:ascii="宋体" w:hAnsi="宋体" w:eastAsia="仿宋_GB2312"/>
      <w:spacing w:val="-2"/>
      <w:sz w:val="32"/>
      <w:szCs w:val="24"/>
    </w:rPr>
  </w:style>
  <w:style w:type="paragraph" w:styleId="4">
    <w:name w:val="Plain Text"/>
    <w:basedOn w:val="1"/>
    <w:link w:val="14"/>
    <w:autoRedefine/>
    <w:qFormat/>
    <w:uiPriority w:val="0"/>
    <w:rPr>
      <w:rFonts w:ascii="宋体" w:hAnsi="Courier New" w:eastAsia="宋体" w:cs="Courier New"/>
      <w:szCs w:val="21"/>
    </w:rPr>
  </w:style>
  <w:style w:type="paragraph" w:styleId="5">
    <w:name w:val="footer"/>
    <w:basedOn w:val="1"/>
    <w:link w:val="13"/>
    <w:unhideWhenUsed/>
    <w:qFormat/>
    <w:uiPriority w:val="99"/>
    <w:pPr>
      <w:tabs>
        <w:tab w:val="center" w:pos="4153"/>
        <w:tab w:val="right" w:pos="8306"/>
      </w:tabs>
      <w:snapToGrid w:val="0"/>
      <w:jc w:val="left"/>
    </w:pPr>
    <w:rPr>
      <w:sz w:val="18"/>
      <w:szCs w:val="18"/>
    </w:rPr>
  </w:style>
  <w:style w:type="paragraph" w:styleId="6">
    <w:name w:val="header"/>
    <w:basedOn w:val="1"/>
    <w:link w:val="12"/>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qFormat/>
    <w:uiPriority w:val="99"/>
    <w:pPr>
      <w:widowControl/>
      <w:spacing w:before="100" w:beforeAutospacing="1" w:after="100" w:afterAutospacing="1"/>
      <w:jc w:val="left"/>
    </w:pPr>
    <w:rPr>
      <w:rFonts w:ascii="宋体" w:hAnsi="宋体" w:eastAsia="宋体" w:cs="宋体"/>
      <w:kern w:val="0"/>
      <w:sz w:val="24"/>
      <w:szCs w:val="24"/>
    </w:rPr>
  </w:style>
  <w:style w:type="character" w:styleId="10">
    <w:name w:val="Strong"/>
    <w:basedOn w:val="9"/>
    <w:autoRedefine/>
    <w:qFormat/>
    <w:uiPriority w:val="22"/>
    <w:rPr>
      <w:b/>
      <w:bCs/>
    </w:rPr>
  </w:style>
  <w:style w:type="character" w:styleId="11">
    <w:name w:val="page number"/>
    <w:basedOn w:val="9"/>
    <w:autoRedefine/>
    <w:semiHidden/>
    <w:unhideWhenUsed/>
    <w:qFormat/>
    <w:uiPriority w:val="99"/>
  </w:style>
  <w:style w:type="character" w:customStyle="1" w:styleId="12">
    <w:name w:val="页眉 Char"/>
    <w:basedOn w:val="9"/>
    <w:link w:val="6"/>
    <w:autoRedefine/>
    <w:qFormat/>
    <w:uiPriority w:val="99"/>
    <w:rPr>
      <w:sz w:val="18"/>
      <w:szCs w:val="18"/>
    </w:rPr>
  </w:style>
  <w:style w:type="character" w:customStyle="1" w:styleId="13">
    <w:name w:val="页脚 Char"/>
    <w:basedOn w:val="9"/>
    <w:link w:val="5"/>
    <w:autoRedefine/>
    <w:qFormat/>
    <w:uiPriority w:val="99"/>
    <w:rPr>
      <w:sz w:val="18"/>
      <w:szCs w:val="18"/>
    </w:rPr>
  </w:style>
  <w:style w:type="character" w:customStyle="1" w:styleId="14">
    <w:name w:val="纯文本 Char"/>
    <w:basedOn w:val="9"/>
    <w:link w:val="4"/>
    <w:qFormat/>
    <w:uiPriority w:val="0"/>
    <w:rPr>
      <w:rFonts w:ascii="宋体" w:hAnsi="Courier New" w:eastAsia="宋体" w:cs="Courier New"/>
      <w:szCs w:val="21"/>
    </w:rPr>
  </w:style>
  <w:style w:type="character" w:customStyle="1" w:styleId="15">
    <w:name w:val="标题 1 Char"/>
    <w:basedOn w:val="9"/>
    <w:link w:val="2"/>
    <w:autoRedefine/>
    <w:qFormat/>
    <w:uiPriority w:val="9"/>
    <w:rPr>
      <w:rFonts w:ascii="宋体" w:hAnsi="宋体" w:eastAsia="宋体" w:cs="宋体"/>
      <w:b/>
      <w:kern w:val="44"/>
      <w:sz w:val="48"/>
      <w:szCs w:val="48"/>
    </w:rPr>
  </w:style>
  <w:style w:type="character" w:customStyle="1" w:styleId="16">
    <w:name w:val="font31"/>
    <w:basedOn w:val="9"/>
    <w:autoRedefine/>
    <w:qFormat/>
    <w:uiPriority w:val="0"/>
    <w:rPr>
      <w:rFonts w:hint="eastAsia" w:ascii="宋体" w:hAnsi="宋体" w:eastAsia="宋体" w:cs="宋体"/>
      <w:b/>
      <w:color w:val="000000"/>
      <w:sz w:val="36"/>
      <w:szCs w:val="36"/>
      <w:u w:val="none"/>
    </w:rPr>
  </w:style>
  <w:style w:type="paragraph" w:styleId="17">
    <w:name w:val="List Paragraph"/>
    <w:basedOn w:val="1"/>
    <w:autoRedefine/>
    <w:unhideWhenUsed/>
    <w:qFormat/>
    <w:uiPriority w:val="99"/>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13</Pages>
  <Words>7401</Words>
  <Characters>7764</Characters>
  <Lines>40</Lines>
  <Paragraphs>11</Paragraphs>
  <TotalTime>5</TotalTime>
  <ScaleCrop>false</ScaleCrop>
  <LinksUpToDate>false</LinksUpToDate>
  <CharactersWithSpaces>7835</CharactersWithSpaces>
  <Application>WPS Office_12.1.0.16417_F1E327BC-269C-435d-A152-05C5408002CA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2016-02-22T07:07:00Z</dcterms:created>
  <dc:creator>Administrator</dc:creator>
  <cp:lastModifiedBy>lenovo</cp:lastModifiedBy>
  <cp:lastPrinted>2018-11-29T03:23:00Z</cp:lastPrinted>
  <dcterms:modified xsi:type="dcterms:W3CDTF">2025-02-27T08:14:20Z</dcterms:modified>
  <cp:revision>79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2052-12.1.0.16417</vt:lpwstr>
  </property>
  <property fmtid="{D5CDD505-2E9C-101B-9397-08002B2CF9AE}" pid="3" name="ICV">
    <vt:lpwstr>C98355DBD8224247A598D32B54A957A5_13</vt:lpwstr>
  </property>
</Properties>
</file>