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hint="eastAsia"/>
          <w:b/>
          <w:color w:val="000000"/>
          <w:sz w:val="44"/>
          <w:lang w:val="en-US" w:eastAsia="zh-CN"/>
        </w:rPr>
        <w:t>中国共产主义青年团隆尧县委员会</w:t>
      </w: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单位预算公开表</w:t>
      </w:r>
    </w:p>
    <w:p>
      <w:pPr>
        <w:pStyle w:val="38"/>
        <w:tabs>
          <w:tab w:val="right" w:leader="dot" w:pos="14572"/>
        </w:tabs>
        <w:rPr>
          <w:rFonts w:ascii="方正仿宋_GBK" w:eastAsia="方正仿宋_GBK" w:cs="方正仿宋_GBK" w:hAnsi="方正仿宋_GBK" w:hint="eastAsia"/>
          <w:sz w:val="28"/>
          <w:szCs w:val="28"/>
        </w:rPr>
      </w:pPr>
      <w:r>
        <w:fldChar w:fldCharType="begin"/>
      </w:r>
      <w:r>
        <w:instrText xml:space="preserve">TOC \o "2-2" \h \z \u </w:instrText>
      </w:r>
      <w:r>
        <w:fldChar w:fldCharType="separate"/>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"_Toc89065719"</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单位预算收支总表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_Toc89065719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8"/>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"_Toc89065720"</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单位预算收入总表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_Toc89065720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3</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8"/>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"_Toc89065721"</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单位预算支出总表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_Toc89065721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5</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8"/>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"_Toc89065722"</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单位预算财政拨款收支总表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_Toc89065722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6</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8"/>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"_Toc89065723"</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单位预算一般公共预算财政拨款支出表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_Toc89065723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9</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8"/>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"_Toc89065724"</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单位预算一般公共预算财政拨款基本支出表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_Toc89065724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10</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8"/>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"_Toc89065725"</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单位预算政府性基金预算财政拨款支出表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_Toc89065725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11</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8"/>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"_Toc89065726"</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单位预算国有资本经营预算财政拨款支出表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_Toc89065726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12</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8"/>
        <w:tabs>
          <w:tab w:val="right" w:leader="dot" w:pos="14572"/>
        </w:tabs>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"_Toc89065727"</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单位预算财政拨款“三公”经费支出表</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_Toc89065727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13</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r>
        <w:fldChar w:fldCharType="end"/>
      </w:r>
    </w:p>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9"/>
        <w:tabs>
          <w:tab w:val="right" w:leader="dot" w:pos="14572"/>
        </w:tabs>
        <w:rPr>
          <w:rFonts w:ascii="方正仿宋_GBK" w:eastAsia="方正仿宋_GBK" w:cs="方正仿宋_GBK" w:hAnsi="方正仿宋_GBK" w:hint="eastAsia"/>
          <w:sz w:val="28"/>
          <w:szCs w:val="28"/>
        </w:rPr>
      </w:pPr>
      <w:r>
        <w:fldChar w:fldCharType="begin"/>
      </w:r>
      <w:r>
        <w:instrText xml:space="preserve">TOC \o "3-3" \h \z \u </w:instrText>
      </w:r>
      <w:r>
        <w:fldChar w:fldCharType="separate"/>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"_Toc89065728"</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一、单位职责及机构设置情况</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_Toc89065728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14</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9"/>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"_Toc89065729"</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二、单位预算安排的总体情况</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_Toc89065729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15</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9"/>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"_Toc89065730"</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三、机关运行经费安排情况</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_Toc89065730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15</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9"/>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"_Toc89065731"</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四、财政拨款“三公”经费预算情况及增减变化原因</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_Toc89065731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16</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9"/>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"_Toc89065732"</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五、单位项目预算安排情况及绩效目标</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_Toc89065732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16</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9"/>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"_Toc89065733"</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六、政府采购预算情况</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_Toc89065733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19</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9"/>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"_Toc89065734"</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七、国有资产信息</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_Toc89065734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19</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9"/>
        <w:tabs>
          <w:tab w:val="right" w:leader="dot" w:pos="14572"/>
        </w:tabs>
        <w:rPr>
          <w:rFonts w:ascii="方正仿宋_GBK" w:eastAsia="方正仿宋_GBK" w:cs="方正仿宋_GBK" w:hAnsi="方正仿宋_GBK" w:hint="eastAsia"/>
          <w:sz w:val="28"/>
          <w:szCs w:val="28"/>
        </w:rPr>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"_Toc89065735"</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八、名词解释</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_Toc89065735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20</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p>
    <w:p>
      <w:pPr>
        <w:pStyle w:val="39"/>
        <w:tabs>
          <w:tab w:val="right" w:leader="dot" w:pos="14572"/>
        </w:tabs>
      </w:pP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Hyperlink \l "_Toc89065736"</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九、其他需要说明的事项</w:t>
        <w:tab/>
      </w:r>
      <w:r>
        <w:rPr>
          <w:rFonts w:ascii="方正仿宋_GBK" w:eastAsia="方正仿宋_GBK" w:cs="方正仿宋_GBK" w:hAnsi="方正仿宋_GBK" w:hint="eastAsia"/>
          <w:sz w:val="28"/>
          <w:szCs w:val="28"/>
        </w:rPr>
        <w:fldChar w:fldCharType="begin"/>
      </w:r>
      <w:r>
        <w:rPr>
          <w:rFonts w:ascii="方正仿宋_GBK" w:eastAsia="方正仿宋_GBK" w:cs="方正仿宋_GBK" w:hAnsi="方正仿宋_GBK" w:hint="eastAsia"/>
          <w:sz w:val="28"/>
          <w:szCs w:val="28"/>
        </w:rPr>
        <w:instrText>PageRef _Toc89065736 \h</w:instrText>
      </w:r>
      <w:r>
        <w:rPr>
          <w:rFonts w:ascii="方正仿宋_GBK" w:eastAsia="方正仿宋_GBK" w:cs="方正仿宋_GBK" w:hAnsi="方正仿宋_GBK" w:hint="eastAsia"/>
          <w:sz w:val="28"/>
          <w:szCs w:val="28"/>
        </w:rPr>
        <w:fldChar w:fldCharType="separate"/>
      </w:r>
      <w:r>
        <w:rPr>
          <w:rFonts w:ascii="方正仿宋_GBK" w:eastAsia="方正仿宋_GBK" w:cs="方正仿宋_GBK" w:hAnsi="方正仿宋_GBK" w:hint="eastAsia"/>
          <w:sz w:val="28"/>
          <w:szCs w:val="28"/>
        </w:rPr>
        <w:t>21</w:t>
      </w:r>
      <w:r>
        <w:rPr>
          <w:rFonts w:ascii="方正仿宋_GBK" w:eastAsia="方正仿宋_GBK" w:cs="方正仿宋_GBK" w:hAnsi="方正仿宋_GBK" w:hint="eastAsia"/>
          <w:sz w:val="28"/>
          <w:szCs w:val="28"/>
        </w:rPr>
        <w:fldChar w:fldCharType="end"/>
      </w:r>
      <w:r>
        <w:rPr>
          <w:rFonts w:ascii="方正仿宋_GBK" w:eastAsia="方正仿宋_GBK" w:cs="方正仿宋_GBK" w:hAnsi="方正仿宋_GBK" w:hint="eastAsia"/>
          <w:sz w:val="28"/>
          <w:szCs w:val="28"/>
        </w:rPr>
        <w:fldChar w:fldCharType="end"/>
      </w:r>
      <w:r>
        <w:fldChar w:fldCharType="end"/>
      </w:r>
    </w:p>
    <w:p>
      <w:pPr>
        <w:sectPr>
          <w:pgSz w:w="16840" w:h="11900" w:orient="landscape"/>
          <w:pgMar w:top="1587" w:right="1134" w:bottom="1361" w:left="1134" w:header="720" w:footer="720" w:gutter="0"/>
          <w:pgNumType w:start="1"/>
          <w:docGrid w:linePitch="326" w:charSpace="0"/>
        </w:sectPr>
      </w:pPr>
    </w:p>
    <w:p>
      <w:pPr>
        <w:spacing w:before="0" w:after="0" w:line="240" w:lineRule="auto"/>
        <w:ind w:firstLine="0"/>
        <w:jc w:val="center"/>
        <w:outlineLvl w:val="1"/>
      </w:pPr>
      <w:bookmarkStart w:id="0" w:name="_Toc89065719"/>
      <w:r>
        <w:rPr>
          <w:rFonts w:ascii="方正小标宋_GBK" w:eastAsia="方正小标宋_GBK" w:cs="方正小标宋_GBK" w:hAnsi="方正小标宋_GBK"/>
          <w:color w:val="000000"/>
          <w:sz w:val="36"/>
        </w:rPr>
        <w:t>单位预算收支总表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r>
              <w:t>45.13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2126" w:type="dxa"/>
            <w:vAlign w:val="center"/>
          </w:tcPr>
          <w:p>
            <w:pPr>
              <w:pStyle w:val="19"/>
            </w:pPr>
            <w:r>
              <w:t>36.73</w:t>
            </w:r>
          </w:p>
        </w:tc>
      </w:tr>
      <w:tr>
        <w:trPr>
          <w:trHeight w:val="369"/>
        </w:trPr>
        <w:tc>
          <w:tcPr>
            <w:tcW w:w="850" w:type="dxa"/>
            <w:vAlign w:val="center"/>
          </w:tcPr>
          <w:p>
            <w:pPr>
              <w:pStyle w:val="21"/>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四、财政专户管理资金收入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五、单位资金</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2126" w:type="dxa"/>
            <w:vAlign w:val="center"/>
          </w:tcPr>
          <w:p>
            <w:pPr>
              <w:pStyle w:val="19"/>
            </w:pPr>
            <w:r>
              <w:t>3.56</w:t>
            </w:r>
          </w:p>
        </w:tc>
      </w:tr>
      <w:tr>
        <w:trPr>
          <w:trHeight w:val="369"/>
        </w:trPr>
        <w:tc>
          <w:tcPr>
            <w:tcW w:w="850" w:type="dxa"/>
            <w:vAlign w:val="center"/>
          </w:tcPr>
          <w:p>
            <w:pPr>
              <w:pStyle w:val="21"/>
            </w:pPr>
            <w:r>
              <w:t>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2126" w:type="dxa"/>
            <w:vAlign w:val="center"/>
          </w:tcPr>
          <w:p>
            <w:pPr>
              <w:pStyle w:val="19"/>
            </w:pPr>
            <w:r>
              <w:t>1.86</w:t>
            </w:r>
          </w:p>
        </w:tc>
      </w:tr>
      <w:tr>
        <w:trPr>
          <w:trHeight w:val="369"/>
        </w:trPr>
        <w:tc>
          <w:tcPr>
            <w:tcW w:w="850" w:type="dxa"/>
            <w:vAlign w:val="center"/>
          </w:tcPr>
          <w:p>
            <w:pPr>
              <w:pStyle w:val="21"/>
            </w:pPr>
            <w:r>
              <w:t>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2126" w:type="dxa"/>
            <w:vAlign w:val="center"/>
          </w:tcPr>
          <w:p>
            <w:pPr>
              <w:pStyle w:val="19"/>
            </w:pPr>
            <w:r>
              <w:t>2.98</w:t>
            </w:r>
          </w:p>
        </w:tc>
      </w:tr>
      <w:tr>
        <w:trPr>
          <w:trHeight w:val="369"/>
        </w:trPr>
        <w:tc>
          <w:tcPr>
            <w:tcW w:w="850" w:type="dxa"/>
            <w:vAlign w:val="center"/>
          </w:tcPr>
          <w:p>
            <w:pPr>
              <w:pStyle w:val="21"/>
            </w:pPr>
            <w:r>
              <w:t>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2126" w:type="dxa"/>
            <w:vAlign w:val="center"/>
          </w:tcPr>
          <w:p>
            <w:pPr>
              <w:pStyle w:val="23"/>
            </w:pPr>
            <w:r>
              <w:t>45.13</w:t>
            </w:r>
          </w:p>
        </w:tc>
      </w:tr>
      <w:tr>
        <w:trPr>
          <w:trHeight w:val="369"/>
        </w:trPr>
        <w:tc>
          <w:tcPr>
            <w:tcW w:w="850" w:type="dxa"/>
            <w:vAlign w:val="center"/>
          </w:tcPr>
          <w:p>
            <w:pPr>
              <w:pStyle w:val="21"/>
            </w:pPr>
            <w:r>
              <w:t>33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上年结转结余</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2126" w:type="dxa"/>
            <w:vAlign w:val="center"/>
          </w:tcPr>
          <w:p>
            <w:pPr>
              <w:pStyle w:val="23"/>
            </w:pPr>
            <w:r>
              <w:t>45.13</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89065720"/>
      <w:r>
        <w:rPr>
          <w:rFonts w:ascii="方正小标宋_GBK" w:eastAsia="方正小标宋_GBK" w:cs="方正小标宋_GBK" w:hAnsi="方正小标宋_GBK"/>
          <w:color w:val="000000"/>
          <w:sz w:val="36"/>
        </w:rPr>
        <w:t>单位预算收入总表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072" w:type="dxa"/>
            <w:gridSpan w:val="8"/>
            <w:tcBorders>
              <w:top w:val="single" w:sz="6" w:space="0" w:color="auto"/>
              <w:left w:val="single" w:sz="6" w:space="0" w:color="auto"/>
              <w:bottom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小计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财政拨款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财政专户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事业收入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经营收入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上级补助收入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附属单位上缴收入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8</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9</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1559"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群众团体事务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89065721"/>
      <w:r>
        <w:rPr>
          <w:rFonts w:ascii="方正小标宋_GBK" w:eastAsia="方正小标宋_GBK" w:cs="方正小标宋_GBK" w:hAnsi="方正小标宋_GBK"/>
          <w:color w:val="000000"/>
          <w:sz w:val="36"/>
        </w:rPr>
        <w:t>单位预算支出总表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项目支出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经营支出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40.13</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群众团体事务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89065722"/>
      <w:r>
        <w:rPr>
          <w:rFonts w:ascii="方正小标宋_GBK" w:eastAsia="方正小标宋_GBK" w:cs="方正小标宋_GBK" w:hAnsi="方正小标宋_GBK"/>
          <w:color w:val="000000"/>
          <w:sz w:val="36"/>
        </w:rPr>
        <w:t>单位预算财政拨款收支总表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金额</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一般公共预算财政拨款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45.13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年初财政拨款结转和结余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年末财政拨款结转和结余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89065723"/>
      <w:r>
        <w:rPr>
          <w:rFonts w:ascii="方正小标宋_GBK" w:eastAsia="方正小标宋_GBK" w:cs="方正小标宋_GBK" w:hAnsi="方正小标宋_GBK"/>
          <w:color w:val="000000"/>
          <w:sz w:val="36"/>
        </w:rPr>
        <w:t>单位预算一般公共预算财政拨款支出表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40.13</w:t>
            </w:r>
          </w:p>
        </w:tc>
        <w:tc>
          <w:tcPr>
            <w:tcW w:w="2551" w:type="dxa"/>
            <w:vAlign w:val="center"/>
          </w:tcPr>
          <w:p>
            <w:pPr>
              <w:pStyle w:val="23"/>
            </w:pPr>
            <w:r>
              <w:t>5.00</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2551" w:type="dxa"/>
            <w:vAlign w:val="center"/>
          </w:tcPr>
          <w:p>
            <w:pPr>
              <w:pStyle w:val="19"/>
            </w:pPr>
            <w:r>
              <w:t>5.00</w:t>
            </w: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群众团体事务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2551" w:type="dxa"/>
            <w:vAlign w:val="center"/>
          </w:tcPr>
          <w:p>
            <w:pPr>
              <w:pStyle w:val="19"/>
            </w:pPr>
            <w:r>
              <w:t>5.00</w:t>
            </w: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2012901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2012902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5.00</w:t>
            </w: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89065724"/>
      <w:r>
        <w:rPr>
          <w:rFonts w:ascii="方正小标宋_GBK" w:eastAsia="方正小标宋_GBK" w:cs="方正小标宋_GBK" w:hAnsi="方正小标宋_GBK"/>
          <w:color w:val="000000"/>
          <w:sz w:val="36"/>
        </w:rPr>
        <w:t>单位预算一般公共预算财政拨款基本支出表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40.13</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36.07</w:t>
            </w:r>
          </w:p>
        </w:tc>
        <w:tc>
          <w:tcPr>
            <w:tcW w:w="2551" w:type="dxa"/>
            <w:vAlign w:val="center"/>
          </w:tcPr>
          <w:p>
            <w:pPr>
              <w:pStyle w:val="23"/>
            </w:pPr>
            <w:r>
              <w:t>4.06</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工资福利支出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36.07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36.07</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基本工资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15.60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15.60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津贴补贴</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奖金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5.52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5.52</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职工基本医疗保险缴费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其他社会保障缴费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4.06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4.06</w:t>
            </w: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办公费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0.40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0.40</w:t>
            </w: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印刷费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0.42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0.42</w:t>
            </w: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取暖费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0.12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0.12</w:t>
            </w:r>
          </w:p>
        </w:tc>
      </w:tr>
      <w:tr>
        <w:trPr>
          <w:trHeight w:val="369"/>
        </w:trPr>
        <w:tc>
          <w:tcPr>
            <w:tcW w:w="850" w:type="dxa"/>
            <w:vAlign w:val="center"/>
          </w:tcPr>
          <w:p>
            <w:pPr>
              <w:pStyle w:val="21"/>
            </w:pPr>
            <w:r>
              <w:t>16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差旅费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0.30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0.30</w:t>
            </w:r>
          </w:p>
        </w:tc>
      </w:tr>
      <w:tr>
        <w:trPr>
          <w:trHeight w:val="369"/>
        </w:trPr>
        <w:tc>
          <w:tcPr>
            <w:tcW w:w="850" w:type="dxa"/>
            <w:vAlign w:val="center"/>
          </w:tcPr>
          <w:p>
            <w:pPr>
              <w:pStyle w:val="21"/>
            </w:pPr>
            <w:r>
              <w:t>17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30239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其他交通费用</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2.46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2.46</w:t>
            </w:r>
          </w:p>
        </w:tc>
      </w:tr>
      <w:tr>
        <w:trPr>
          <w:trHeight w:val="369"/>
        </w:trPr>
        <w:tc>
          <w:tcPr>
            <w:tcW w:w="850" w:type="dxa"/>
            <w:vAlign w:val="center"/>
          </w:tcPr>
          <w:p>
            <w:pPr>
              <w:pStyle w:val="21"/>
            </w:pPr>
            <w:r>
              <w:t>18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0.29</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0.29</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89065725"/>
      <w:r>
        <w:rPr>
          <w:rFonts w:ascii="方正小标宋_GBK" w:eastAsia="方正小标宋_GBK" w:cs="方正小标宋_GBK" w:hAnsi="方正小标宋_GBK"/>
          <w:color w:val="000000"/>
          <w:sz w:val="36"/>
        </w:rPr>
        <w:t>单位预算政府性基金预算财政拨款支出表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89065726"/>
      <w:r>
        <w:rPr>
          <w:rFonts w:ascii="方正小标宋_GBK" w:eastAsia="方正小标宋_GBK" w:cs="方正小标宋_GBK" w:hAnsi="方正小标宋_GBK"/>
          <w:color w:val="000000"/>
          <w:sz w:val="36"/>
        </w:rPr>
        <w:t>单位预算国有资本经营预算财政拨款支出表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89065727"/>
      <w:r>
        <w:rPr>
          <w:rFonts w:ascii="方正小标宋_GBK" w:eastAsia="方正小标宋_GBK" w:cs="方正小标宋_GBK" w:hAnsi="方正小标宋_GBK"/>
          <w:color w:val="000000"/>
          <w:sz w:val="36"/>
        </w:rPr>
        <w:t>单位预算财政拨款“三公”经费支出表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auto"/>
              <w:left w:val="single" w:sz="6" w:space="0" w:color="auto"/>
              <w:bottom w:val="single" w:sz="6" w:space="0" w:color="auto"/>
              <w:right w:val="single" w:sz="6" w:space="0" w:color="auto"/>
            </w:tcBorders>
          </w:tcP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一般公共预算              财政拨款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中国共产主义青年团隆尧县委员会2025年部门预算信息公开情况说明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中国共产主义青年团隆尧县委员会2025年单位预算信息公开情况说明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按照《中华人民共和国预算法》、《地方预决算公开操作规程》和《关于进一步推进预算公开工作的实施意见》规定，现将中国共产主义青年团隆尧县委员会2025年单位预算公开如下：</w:t>
      </w:r>
    </w:p>
    <w:p>
      <w:pPr>
        <w:spacing w:before="10" w:after="10" w:line="360" w:lineRule="auto"/>
        <w:ind w:firstLine="640"/>
        <w:jc w:val="left"/>
        <w:outlineLvl w:val="2"/>
      </w:pPr>
      <w:bookmarkStart w:id="9" w:name="_Toc89065728"/>
      <w:r>
        <w:rPr>
          <w:rFonts w:ascii="黑体" w:eastAsia="黑体" w:cs="黑体" w:hAnsi="黑体"/>
          <w:color w:val="000000"/>
          <w:sz w:val="32"/>
        </w:rPr>
        <w:t>一、单位职责及机构设置情况</w:t>
      </w:r>
      <w:bookmarkEnd w:id="9"/>
    </w:p>
    <w:p>
      <w:pPr>
        <w:ind w:firstLine="640"/>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单位职责：</w:t>
      </w:r>
    </w:p>
    <w:p>
      <w:pPr>
        <w:pStyle w:val="37"/>
      </w:pP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37"/>
      </w:pPr>
      <w:r>
        <w:t>（二）参与本县的有关青少年事业的法律、法规的实施和有关地方性法规的制定及实施，协助县委、县政府处理、协调与青少年利益相关的事务；</w:t>
      </w:r>
    </w:p>
    <w:p>
      <w:pPr>
        <w:pStyle w:val="37"/>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37"/>
      </w:pPr>
      <w:r>
        <w:t>（四）承担县委、县政府委托的部分经济工作职能，在经济建设中组织和带领青年发挥生力军和突击队作用；</w:t>
      </w:r>
    </w:p>
    <w:p>
      <w:pPr>
        <w:pStyle w:val="37"/>
      </w:pPr>
      <w:r>
        <w:t>（五）会同有关部门对全县青少年外事工作实行归口管理和提供服务，参与、实行隆尧县的青少年政策并落实有关工作；</w:t>
      </w:r>
    </w:p>
    <w:p>
      <w:pPr>
        <w:pStyle w:val="37"/>
      </w:pPr>
      <w:r>
        <w:t>（六）参与制定有关本县的青少年统战工作的政策，做好青年统战对象的团结教育工作，维护和促进祖国统一和民族团结；</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中国共产主义青年团隆尧县委员会本级</w:t>
            </w:r>
          </w:p>
        </w:tc>
        <w:tc>
          <w:tcPr>
            <w:tcW w:w="1843" w:type="dxa"/>
            <w:tcBorders>
              <w:top w:val="single" w:sz="6" w:space="0" w:color="auto"/>
              <w:left w:val="single" w:sz="6" w:space="0" w:color="auto"/>
              <w:bottom w:val="single" w:sz="6" w:space="0" w:color="auto"/>
              <w:right w:val="single" w:sz="6" w:space="0" w:color="auto"/>
            </w:tcBorders>
            <w:vAlign w:val="center"/>
          </w:tcPr>
          <w:p>
            <w:pPr>
              <w:pStyle w:val="21"/>
            </w:pPr>
            <w:r>
              <w:t>行政</w:t>
            </w:r>
          </w:p>
        </w:tc>
        <w:tc>
          <w:tcPr>
            <w:tcW w:w="2126" w:type="dxa"/>
            <w:tcBorders>
              <w:top w:val="single" w:sz="6" w:space="0" w:color="auto"/>
              <w:left w:val="single" w:sz="6" w:space="0" w:color="auto"/>
              <w:bottom w:val="single" w:sz="6" w:space="0" w:color="auto"/>
              <w:right w:val="single" w:sz="6" w:space="0" w:color="auto"/>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89065729"/>
      <w:r>
        <w:rPr>
          <w:rFonts w:ascii="黑体" w:eastAsia="黑体" w:cs="黑体" w:hAnsi="黑体"/>
          <w:color w:val="000000"/>
          <w:sz w:val="32"/>
        </w:rPr>
        <w:t>二、单位预算安排的总体情况</w:t>
      </w:r>
      <w:bookmarkEnd w:id="10"/>
    </w:p>
    <w:p>
      <w:pPr>
        <w:pStyle w:val="26"/>
      </w:pPr>
      <w:r>
        <w:t>按照预算管理有关规定，目前我县部门预算的编制实行综合预算管理，即全部收入和支出都反映在预算中。中国共产主义青年团隆尧县委员会机关及所属事业单位的收支包含在单位预算中。</w:t>
      </w:r>
    </w:p>
    <w:p>
      <w:pPr>
        <w:pStyle w:val="26"/>
      </w:pPr>
      <w:r>
        <w:t>1、收入说明</w:t>
      </w:r>
    </w:p>
    <w:p>
      <w:pPr>
        <w:pStyle w:val="26"/>
      </w:pPr>
      <w:r>
        <w:t>反映本单位当年全部收入。2025年预算收入45.13万元，其中：一般公共预算收入45.13万元，基金预算收入0万元，国有资本经营预算收入0万元，财政专户核拨收入0万元，单位资金收入0万元，上年结转结余0万元。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年度部门预算中支出预算的总体情况。2025年支出预算45.13万元，其中基本支出40.13万元，包括人员经费36.07万元和日常公用经费4.06万元；项目支出5万元，主要为中长期青年发展规划实施项目和团委工作事务项目。</w:t>
      </w:r>
    </w:p>
    <w:p>
      <w:pPr>
        <w:pStyle w:val="26"/>
      </w:pPr>
      <w:r>
        <w:t>3、比上年增减情况</w:t>
      </w:r>
    </w:p>
    <w:p>
      <w:pPr>
        <w:pStyle w:val="26"/>
      </w:pPr>
      <w:r>
        <w:t>2025年预算收支安排45.13万元，较2024年预算减少3.61万元，其中：基本支出增加1.39万元，主要为增加人员经费支出；项目支出减少5万元，主要为减少1个项目。</w:t>
      </w:r>
    </w:p>
    <w:p>
      <w:pPr>
        <w:spacing w:before="10" w:after="10" w:line="360" w:lineRule="auto"/>
        <w:ind w:firstLine="640"/>
        <w:jc w:val="left"/>
        <w:outlineLvl w:val="2"/>
      </w:pPr>
      <w:bookmarkStart w:id="11" w:name="_Toc89065730"/>
      <w:r>
        <w:rPr>
          <w:rFonts w:ascii="黑体" w:eastAsia="黑体" w:cs="黑体" w:hAnsi="黑体"/>
          <w:color w:val="000000"/>
          <w:sz w:val="32"/>
        </w:rPr>
        <w:t>三、机关运行经费安排情况</w:t>
      </w:r>
      <w:bookmarkEnd w:id="11"/>
    </w:p>
    <w:p>
      <w:pPr>
        <w:pStyle w:val="27"/>
      </w:pPr>
      <w:r>
        <w:t>2025年，我单位运行经费共计安排4.06万元，主要用于日常办公运转等日常运行支出。</w:t>
      </w:r>
    </w:p>
    <w:p>
      <w:pPr>
        <w:spacing w:before="10" w:after="10" w:line="360" w:lineRule="auto"/>
        <w:ind w:firstLine="640"/>
        <w:jc w:val="left"/>
        <w:outlineLvl w:val="2"/>
      </w:pPr>
      <w:bookmarkStart w:id="12" w:name="_Toc89065731"/>
      <w:r>
        <w:rPr>
          <w:rFonts w:ascii="黑体" w:eastAsia="黑体" w:cs="黑体" w:hAnsi="黑体"/>
          <w:color w:val="000000"/>
          <w:sz w:val="32"/>
        </w:rPr>
        <w:t>四、财政拨款“三公”经费预算情况及增减变化原因</w:t>
      </w:r>
      <w:bookmarkEnd w:id="12"/>
    </w:p>
    <w:p>
      <w:pPr>
        <w:pStyle w:val="28"/>
      </w:pPr>
      <w:r>
        <w:t>2025年，我单位财政拨款“三公”经费预算安排0万元，其中因公出国（境）费0万元；公务用车购置及运维费0万元（其中：公务用车购置费为0万元，公务用车运维费0万元)；公务接待费0万元。与2024年持平</w:t>
      </w:r>
      <w:bookmarkStart w:id="13" w:name="_GoBack"/>
      <w:bookmarkEnd w:id="13"/>
      <w:r>
        <w:t>。</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4" w:name="_Toc89065732"/>
      <w:r>
        <w:rPr>
          <w:rFonts w:ascii="黑体" w:eastAsia="黑体" w:cs="黑体" w:hAnsi="黑体"/>
          <w:color w:val="000000"/>
          <w:sz w:val="32"/>
        </w:rPr>
        <w:t>五、单位项目预算安排情况及绩效目标</w:t>
      </w:r>
      <w:bookmarkEnd w:id="14"/>
    </w:p>
    <w:p>
      <w:pPr>
        <w:spacing w:before="0" w:after="0"/>
        <w:ind w:firstLine="560"/>
        <w:jc w:val="left"/>
        <w:outlineLvl w:val="9"/>
      </w:pPr>
      <w:r>
        <w:rPr>
          <w:rFonts w:ascii="方正仿宋_GBK" w:eastAsia="方正仿宋_GBK" w:cs="方正仿宋_GBK" w:hAnsi="方正仿宋_GBK"/>
          <w:color w:val="000000"/>
          <w:sz w:val="28"/>
        </w:rPr>
        <w:t>1、团委工作经费绩效目标表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13052525P000039100686</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团委工作经费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用于实施中长期青年发展规划工作，开展少先队活动。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30%</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60%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80%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1.纵深实施《中长期青年发展规划》，建设青年友好型县城；深入开展少先队工作，加强青少年权益保护。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组织宣传活动次数</w:t>
              <w:tab/>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组织宣传活动次数</w:t>
              <w:tab/>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≥12场</w:t>
            </w:r>
          </w:p>
        </w:tc>
        <w:tc>
          <w:tcPr>
            <w:tcW w:w="1276" w:type="dxa"/>
            <w:vAlign w:val="center"/>
          </w:tcPr>
          <w:p>
            <w:pPr>
              <w:pStyle w:val="20"/>
            </w:pPr>
            <w:r>
              <w:t>全年主题活动开展次数</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计划完成率</w:t>
            </w:r>
          </w:p>
          <w:p>
            <w:pPr>
              <w:pStyle w:val="20"/>
            </w:pP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计划完成率</w:t>
            </w:r>
          </w:p>
          <w:p>
            <w:pPr>
              <w:pStyle w:val="20"/>
            </w:p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往年财政支出进度要求</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按期完成率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按期完成率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往期财政支出进度要求</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项目总成本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项目总成本</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控制在预算内</w:t>
            </w:r>
          </w:p>
        </w:tc>
        <w:tc>
          <w:tcPr>
            <w:tcW w:w="1276" w:type="dxa"/>
            <w:vAlign w:val="center"/>
          </w:tcPr>
          <w:p>
            <w:pPr>
              <w:pStyle w:val="20"/>
            </w:pPr>
            <w:r>
              <w:t>本年度财政预算</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全年主题活动开展次数</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社会影响力</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通过开展信息宣传工作，创造良好的舆论氛围，使我厅工作得到广大受众的充分认可。</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取得良好社会影响</w:t>
            </w:r>
          </w:p>
        </w:tc>
        <w:tc>
          <w:tcPr>
            <w:tcW w:w="1276" w:type="dxa"/>
            <w:vAlign w:val="center"/>
          </w:tcPr>
          <w:p>
            <w:pPr>
              <w:pStyle w:val="20"/>
            </w:pPr>
            <w:r>
              <w:t>本年度工作计划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生态效益指标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环保节能</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环保节能</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节能环保</w:t>
            </w:r>
          </w:p>
        </w:tc>
        <w:tc>
          <w:tcPr>
            <w:tcW w:w="1276" w:type="dxa"/>
            <w:vAlign w:val="center"/>
          </w:tcPr>
          <w:p>
            <w:pPr>
              <w:pStyle w:val="20"/>
            </w:pPr>
            <w:r>
              <w:t>本年度工作计划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任务计划完成率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任务计划完成率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本年度工作计划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服务满意度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≥90百分比</w:t>
            </w:r>
          </w:p>
        </w:tc>
        <w:tc>
          <w:tcPr>
            <w:tcW w:w="1276" w:type="dxa"/>
            <w:vAlign w:val="center"/>
          </w:tcPr>
          <w:p>
            <w:pPr>
              <w:pStyle w:val="20"/>
            </w:pPr>
            <w:r>
              <w:t>本年度工作计划</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2、中长期青年发展规划实施经费绩效目标表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13052525P00003910129K</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中长期青年发展规划实施经费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提升广大青年思想政治素养和全面发展水平，完善青年发展政策体系和工作机制，增强广大青年幸福感、获得感明显增强。</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20%</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80%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1.提升广大青年思想政治素养和全面发展水平，完善青年发展政策体系和工作机制，增强广大青年幸福感、获得感明显增强。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宣传、活动参加人数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宣传、活动参加人数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≥50000人次</w:t>
            </w:r>
          </w:p>
        </w:tc>
        <w:tc>
          <w:tcPr>
            <w:tcW w:w="1276" w:type="dxa"/>
            <w:vAlign w:val="center"/>
          </w:tcPr>
          <w:p>
            <w:pPr>
              <w:pStyle w:val="20"/>
            </w:pPr>
            <w:r>
              <w:t>依据全县青少年人口数量测算</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完成情况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按期完成</w:t>
            </w:r>
          </w:p>
        </w:tc>
        <w:tc>
          <w:tcPr>
            <w:tcW w:w="1276" w:type="dxa"/>
            <w:vAlign w:val="center"/>
          </w:tcPr>
          <w:p>
            <w:pPr>
              <w:pStyle w:val="20"/>
            </w:pPr>
            <w:r>
              <w:t>按季度完成</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完成时间</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完成时间</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按期完成</w:t>
            </w:r>
          </w:p>
        </w:tc>
        <w:tc>
          <w:tcPr>
            <w:tcW w:w="1276" w:type="dxa"/>
            <w:vAlign w:val="center"/>
          </w:tcPr>
          <w:p>
            <w:pPr>
              <w:pStyle w:val="20"/>
            </w:pPr>
            <w:r>
              <w:t>本年底前完成</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预算执行</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完成年度预算资金安排</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预算安排</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预算安排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全年服务天数（≥**天）</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全年服务天数（≥**天）</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≥260天</w:t>
            </w:r>
          </w:p>
        </w:tc>
        <w:tc>
          <w:tcPr>
            <w:tcW w:w="1276" w:type="dxa"/>
            <w:vAlign w:val="center"/>
          </w:tcPr>
          <w:p>
            <w:pPr>
              <w:pStyle w:val="20"/>
            </w:pPr>
            <w:r>
              <w:t>本年度工作日</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生态效益指标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节能环保减排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节能环保减排</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使用节能环保用品</w:t>
            </w:r>
          </w:p>
        </w:tc>
        <w:tc>
          <w:tcPr>
            <w:tcW w:w="1276" w:type="dxa"/>
            <w:vAlign w:val="center"/>
          </w:tcPr>
          <w:p>
            <w:pPr>
              <w:pStyle w:val="20"/>
            </w:pPr>
            <w:r>
              <w:t>采购要求</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成果应用效果</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成果应用效果</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幸福感、获得感提高</w:t>
            </w:r>
          </w:p>
        </w:tc>
        <w:tc>
          <w:tcPr>
            <w:tcW w:w="1276" w:type="dxa"/>
            <w:vAlign w:val="center"/>
          </w:tcPr>
          <w:p>
            <w:pPr>
              <w:pStyle w:val="20"/>
            </w:pPr>
            <w:r>
              <w:t>文件要求</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群众对综合监管系统的满意度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≥90百分比</w:t>
            </w:r>
          </w:p>
        </w:tc>
        <w:tc>
          <w:tcPr>
            <w:tcW w:w="1276" w:type="dxa"/>
            <w:vAlign w:val="center"/>
          </w:tcPr>
          <w:p>
            <w:pPr>
              <w:pStyle w:val="20"/>
            </w:pPr>
            <w:r>
              <w:t>上级文件要求</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5" w:name="_Toc89065733"/>
      <w:r>
        <w:rPr>
          <w:rFonts w:ascii="黑体" w:eastAsia="黑体" w:cs="黑体" w:hAnsi="黑体"/>
          <w:color w:val="000000"/>
          <w:sz w:val="32"/>
        </w:rPr>
        <w:t>六、政府采购预算情况</w:t>
      </w:r>
      <w:bookmarkEnd w:id="15"/>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采购物品名称</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政府采购目录序号</w:t>
            </w:r>
          </w:p>
        </w:tc>
        <w:tc>
          <w:tcPr>
            <w:tcW w:w="709" w:type="dxa"/>
            <w:vMerge w:val="restart"/>
            <w:tcBorders>
              <w:top w:val="single" w:sz="6" w:space="0" w:color="auto"/>
              <w:left w:val="single" w:sz="6" w:space="0" w:color="auto"/>
              <w:bottom w:val="single" w:sz="6" w:space="0" w:color="auto"/>
              <w:right w:val="single" w:sz="6" w:space="0" w:color="auto"/>
            </w:tcBorders>
            <w:vAlign w:val="center"/>
          </w:tcPr>
          <w:p>
            <w:pPr>
              <w:pStyle w:val="18"/>
            </w:pPr>
            <w:r>
              <w:t>计量  单位</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单价</w:t>
            </w:r>
          </w:p>
        </w:tc>
        <w:tc>
          <w:tcPr>
            <w:tcW w:w="6748" w:type="dxa"/>
            <w:gridSpan w:val="7"/>
            <w:tcBorders>
              <w:top w:val="single" w:sz="6" w:space="0" w:color="auto"/>
              <w:left w:val="single" w:sz="6" w:space="0" w:color="auto"/>
              <w:bottom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预算    资金</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vMerge/>
            <w:tcBorders>
              <w:top w:val="single" w:sz="6" w:space="0" w:color="auto"/>
              <w:left w:val="single" w:sz="6" w:space="0" w:color="auto"/>
              <w:bottom w:val="single" w:sz="6" w:space="0" w:color="auto"/>
              <w:right w:val="single" w:sz="6" w:space="0" w:color="auto"/>
            </w:tcBorders>
          </w:tcPr>
          <w:p/>
        </w:tc>
        <w:tc>
          <w:tcPr>
            <w:tcW w:w="709"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一般公共预算拨款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基金预算拨款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国有资本经营预算拨款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财政专户核拨</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单位    资金</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6" w:name="_Toc89065734"/>
      <w:r>
        <w:rPr>
          <w:rFonts w:ascii="黑体" w:eastAsia="黑体" w:cs="黑体" w:hAnsi="黑体"/>
          <w:color w:val="000000"/>
          <w:sz w:val="32"/>
        </w:rPr>
        <w:t>七、国有资产信息</w:t>
      </w:r>
      <w:bookmarkEnd w:id="16"/>
    </w:p>
    <w:p>
      <w:pPr>
        <w:spacing w:before="0" w:after="0" w:line="500" w:lineRule="exact"/>
        <w:ind w:firstLine="560"/>
        <w:jc w:val="left"/>
        <w:outlineLvl w:val="9"/>
      </w:pPr>
      <w:r>
        <w:rPr>
          <w:rFonts w:ascii="Times New Roman" w:eastAsia="方正仿宋_GBK" w:cs="Times New Roman" w:hAnsi="Times New Roman"/>
          <w:b w:val="0"/>
          <w:color w:val="000000"/>
          <w:sz w:val="28"/>
        </w:rPr>
        <w:t>中国共产主义青年团隆尧县委员会（含所属单位）上年末固定资产金额为0.00万元（详见下表）。本年度拟购置固定资产总额为0.00万元，已按要求列入政府采购预算，详见政府采购预算表。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712001中国共产主义青年团隆尧县委员会本级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1、房屋（平方米）</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89065735"/>
      <w:r>
        <w:rPr>
          <w:rFonts w:ascii="黑体" w:eastAsia="黑体" w:cs="黑体" w:hAnsi="黑体"/>
          <w:color w:val="000000"/>
          <w:sz w:val="32"/>
        </w:rPr>
        <w:t>八、名词解释</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89065736"/>
      <w:r>
        <w:rPr>
          <w:rFonts w:ascii="黑体" w:eastAsia="黑体" w:cs="黑体" w:hAnsi="黑体"/>
          <w:color w:val="000000"/>
          <w:sz w:val="32"/>
        </w:rPr>
        <w:t>九、其他需要说明的事项</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0000000000000000000"/>
    <w:charset w:val="00"/>
    <w:family w:val="auto"/>
    <w:pitch w:val="variable"/>
    <w:sig w:usb0="00000000" w:usb1="00000000" w:usb2="00000000" w:usb3="00000000" w:csb0="00000000" w:csb1="00000000"/>
  </w:font>
  <w:font w:name="方正楷体_GBK">
    <w:panose1 w:val="02000000000000000000"/>
    <w:charset w:val="86"/>
    <w:family w:val="script"/>
    <w:pitch w:val="variable"/>
    <w:sig w:usb0="A00002BF" w:usb1="38CF7CFA" w:usb2="00082016" w:usb3="00000000" w:csb0="00040001" w:csb1="00000000"/>
  </w:font>
  <w:font w:name="方正仿宋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altName w:val="DejaVu Sans"/>
    <w:panose1 w:val="02020603050405020304"/>
    <w:charset w:val="00"/>
    <w:family w:val="auto"/>
    <w:pitch w:val="variable"/>
    <w:sig w:usb0="00000A87" w:usb1="00000000" w:usb2="00000000" w:usb3="00000000" w:csb0="400001BF" w:csb1="DFF70000"/>
  </w:font>
  <w:font w:name="宋体">
    <w:altName w:val="方正书宋_GBK"/>
    <w:panose1 w:val="02010600030101010101"/>
    <w:charset w:val="86"/>
    <w:family w:val="auto"/>
    <w:pitch w:val="variable"/>
    <w:sig w:usb0="00000003" w:usb1="080E0000" w:usb2="00000000"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3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Lucida Sans"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styleId="36">
    <w:name w:val="index 5"/>
    <w:basedOn w:val="0"/>
    <w:autoRedefine/>
    <w:next w:val="0"/>
    <w:pPr>
      <w:ind w:left="1680"/>
    </w:pPr>
  </w:style>
  <w:style w:type="paragraph" w:customStyle="1" w:styleId="37">
    <w:name w:val="插入文本样式-插入部门职责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styleId="38">
    <w:name w:val="toc 2"/>
    <w:basedOn w:val="0"/>
    <w:autoRedefine/>
    <w:next w:val="0"/>
    <w:pPr>
      <w:ind w:left="420"/>
    </w:pPr>
  </w:style>
  <w:style w:type="paragraph" w:styleId="39">
    <w:name w:val="toc 3"/>
    <w:basedOn w:val="0"/>
    <w:autoRedefine/>
    <w:next w:val="0"/>
    <w:pPr>
      <w:ind w:left="840"/>
    </w:p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6C2A6A30-888D-4D1F-953E-C8521DA2EC8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12</TotalTime>
  <Application>Yozo_Office27021597764231179</Application>
  <Pages>23</Pages>
  <Words>0</Words>
  <Characters>7693</Characters>
  <Lines>0</Lines>
  <Paragraphs>113</Paragraphs>
  <CharactersWithSpaces>10258</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user</cp:lastModifiedBy>
  <cp:revision>1</cp:revision>
  <dcterms:created xsi:type="dcterms:W3CDTF">2025-02-25T09:12:57Z</dcterms:created>
  <dcterms:modified xsi:type="dcterms:W3CDTF">2025-02-27T01:57:19Z</dcterms:modified>
</cp:coreProperties>
</file>