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单位预算公开表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单位预算收支总表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单位预算收入总表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单位预算支出总表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单位预算财政拨款收支总表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单位预算信息公开情况说明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一、单位职责及机构设置情况</w:t>
        <w:tab/>
      </w:r>
      <w:r>
        <w:fldChar w:fldCharType="begin"/>
      </w:r>
      <w:r>
        <w:instrText>PAGEREF _Toc_3_3_0000000010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五、单位整体绩效目标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六、单位主管专项资金预算安排情况及绩效目标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七、单位项目预算安排情况及绩效目标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单位预算收支总表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362001隆尧县红十字会本级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67.97</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61.41</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2.42</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4.13</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67.97</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67.97</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67.97</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67.97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单位预算收入总表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362001隆尧县红十字会本级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r>
              <w:t>67.97</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r>
              <w:t>61.41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r>
              <w:t>5.34</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20816</w:t>
            </w:r>
          </w:p>
        </w:tc>
        <w:tc>
          <w:tcPr>
            <w:tcW w:w="1559" w:type="dxa"/>
            <w:tcBorders>
              <w:left w:val="single" w:sz="6" w:space="0" w:color="auto"/>
            </w:tcBorders>
            <w:vAlign w:val="center"/>
          </w:tcPr>
          <w:p>
            <w:pPr>
              <w:pStyle w:val="20"/>
            </w:pPr>
            <w:r>
              <w:t>红十字事业</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2081650</w:t>
            </w:r>
          </w:p>
        </w:tc>
        <w:tc>
          <w:tcPr>
            <w:tcW w:w="1559" w:type="dxa"/>
            <w:tcBorders>
              <w:left w:val="single" w:sz="6" w:space="0" w:color="auto"/>
            </w:tcBorders>
            <w:vAlign w:val="center"/>
          </w:tcPr>
          <w:p>
            <w:pPr>
              <w:pStyle w:val="20"/>
            </w:pPr>
            <w:r>
              <w:t>事业运行</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r>
              <w:t>56.08</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2101102</w:t>
            </w:r>
          </w:p>
        </w:tc>
        <w:tc>
          <w:tcPr>
            <w:tcW w:w="1559" w:type="dxa"/>
            <w:tcBorders>
              <w:left w:val="single" w:sz="6" w:space="0" w:color="auto"/>
            </w:tcBorders>
            <w:vAlign w:val="center"/>
          </w:tcPr>
          <w:p>
            <w:pPr>
              <w:pStyle w:val="20"/>
            </w:pPr>
            <w:r>
              <w:t>事业单位医疗</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r>
              <w:t>2.42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r>
              <w:t>4.13</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单位预算支出总表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67.97</w:t>
            </w:r>
          </w:p>
        </w:tc>
        <w:tc>
          <w:tcPr>
            <w:tcW w:w="1361" w:type="dxa"/>
            <w:tcBorders>
              <w:left w:val="single" w:sz="6" w:space="0" w:color="auto"/>
            </w:tcBorders>
            <w:vAlign w:val="center"/>
          </w:tcPr>
          <w:p>
            <w:pPr>
              <w:pStyle w:val="23"/>
            </w:pPr>
            <w:r>
              <w:t>56.47</w:t>
            </w:r>
          </w:p>
        </w:tc>
        <w:tc>
          <w:tcPr>
            <w:tcW w:w="1361" w:type="dxa"/>
            <w:tcBorders>
              <w:left w:val="single" w:sz="6" w:space="0" w:color="auto"/>
            </w:tcBorders>
            <w:vAlign w:val="center"/>
          </w:tcPr>
          <w:p>
            <w:pPr>
              <w:pStyle w:val="23"/>
            </w:pPr>
            <w:r>
              <w:t>11.50</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61.41</w:t>
            </w:r>
          </w:p>
        </w:tc>
        <w:tc>
          <w:tcPr>
            <w:tcW w:w="1361" w:type="dxa"/>
            <w:tcBorders>
              <w:left w:val="single" w:sz="6" w:space="0" w:color="auto"/>
            </w:tcBorders>
            <w:vAlign w:val="center"/>
          </w:tcPr>
          <w:p>
            <w:pPr>
              <w:pStyle w:val="19"/>
            </w:pPr>
            <w:r>
              <w:t>49.91</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r>
              <w:t>5.34</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20816</w:t>
            </w:r>
          </w:p>
        </w:tc>
        <w:tc>
          <w:tcPr>
            <w:tcW w:w="4535" w:type="dxa"/>
            <w:tcBorders>
              <w:left w:val="single" w:sz="6" w:space="0" w:color="auto"/>
            </w:tcBorders>
            <w:vAlign w:val="center"/>
          </w:tcPr>
          <w:p>
            <w:pPr>
              <w:pStyle w:val="20"/>
            </w:pPr>
            <w:r>
              <w:t>红十字事业</w:t>
            </w:r>
          </w:p>
        </w:tc>
        <w:tc>
          <w:tcPr>
            <w:tcW w:w="1361" w:type="dxa"/>
            <w:tcBorders>
              <w:left w:val="single" w:sz="6" w:space="0" w:color="auto"/>
            </w:tcBorders>
            <w:vAlign w:val="center"/>
          </w:tcPr>
          <w:p>
            <w:pPr>
              <w:pStyle w:val="19"/>
            </w:pPr>
            <w:r>
              <w:t>56.08</w:t>
            </w:r>
          </w:p>
        </w:tc>
        <w:tc>
          <w:tcPr>
            <w:tcW w:w="1361" w:type="dxa"/>
            <w:tcBorders>
              <w:left w:val="single" w:sz="6" w:space="0" w:color="auto"/>
            </w:tcBorders>
            <w:vAlign w:val="center"/>
          </w:tcPr>
          <w:p>
            <w:pPr>
              <w:pStyle w:val="19"/>
            </w:pPr>
            <w:r>
              <w:t>44.58</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2081650</w:t>
            </w:r>
          </w:p>
        </w:tc>
        <w:tc>
          <w:tcPr>
            <w:tcW w:w="4535" w:type="dxa"/>
            <w:tcBorders>
              <w:left w:val="single" w:sz="6" w:space="0" w:color="auto"/>
            </w:tcBorders>
            <w:vAlign w:val="center"/>
          </w:tcPr>
          <w:p>
            <w:pPr>
              <w:pStyle w:val="20"/>
            </w:pPr>
            <w:r>
              <w:t>事业运行</w:t>
            </w:r>
          </w:p>
        </w:tc>
        <w:tc>
          <w:tcPr>
            <w:tcW w:w="1361" w:type="dxa"/>
            <w:tcBorders>
              <w:left w:val="single" w:sz="6" w:space="0" w:color="auto"/>
            </w:tcBorders>
            <w:vAlign w:val="center"/>
          </w:tcPr>
          <w:p>
            <w:pPr>
              <w:pStyle w:val="19"/>
            </w:pPr>
            <w:r>
              <w:t>56.08</w:t>
            </w:r>
          </w:p>
        </w:tc>
        <w:tc>
          <w:tcPr>
            <w:tcW w:w="1361" w:type="dxa"/>
            <w:tcBorders>
              <w:left w:val="single" w:sz="6" w:space="0" w:color="auto"/>
            </w:tcBorders>
            <w:vAlign w:val="center"/>
          </w:tcPr>
          <w:p>
            <w:pPr>
              <w:pStyle w:val="19"/>
            </w:pPr>
            <w:r>
              <w:t>44.58</w:t>
            </w:r>
          </w:p>
        </w:tc>
        <w:tc>
          <w:tcPr>
            <w:tcW w:w="1361" w:type="dxa"/>
            <w:tcBorders>
              <w:left w:val="single" w:sz="6" w:space="0" w:color="auto"/>
            </w:tcBorders>
            <w:vAlign w:val="center"/>
          </w:tcPr>
          <w:p>
            <w:pPr>
              <w:pStyle w:val="19"/>
            </w:pPr>
            <w:r>
              <w:t>11.50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r>
              <w:t>2.42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r>
              <w:t>4.13</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单位预算财政拨款收支总表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67.97</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61.41</w:t>
            </w:r>
          </w:p>
        </w:tc>
        <w:tc>
          <w:tcPr>
            <w:tcW w:w="1474" w:type="dxa"/>
            <w:tcBorders>
              <w:left w:val="single" w:sz="6" w:space="0" w:color="auto"/>
            </w:tcBorders>
            <w:vAlign w:val="center"/>
          </w:tcPr>
          <w:p>
            <w:pPr>
              <w:pStyle w:val="19"/>
            </w:pPr>
            <w:r>
              <w:t>61.41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2.42</w:t>
            </w:r>
          </w:p>
        </w:tc>
        <w:tc>
          <w:tcPr>
            <w:tcW w:w="1474" w:type="dxa"/>
            <w:tcBorders>
              <w:left w:val="single" w:sz="6" w:space="0" w:color="auto"/>
            </w:tcBorders>
            <w:vAlign w:val="center"/>
          </w:tcPr>
          <w:p>
            <w:pPr>
              <w:pStyle w:val="19"/>
            </w:pPr>
            <w:r>
              <w:t>2.42</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4.13</w:t>
            </w:r>
          </w:p>
        </w:tc>
        <w:tc>
          <w:tcPr>
            <w:tcW w:w="1474" w:type="dxa"/>
            <w:tcBorders>
              <w:left w:val="single" w:sz="6" w:space="0" w:color="auto"/>
            </w:tcBorders>
            <w:vAlign w:val="center"/>
          </w:tcPr>
          <w:p>
            <w:pPr>
              <w:pStyle w:val="19"/>
            </w:pPr>
            <w:r>
              <w:t>4.13</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67.97</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67.97</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r>
              <w:t>67.97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单位预算一般公共预算财政拨款支出表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67.97</w:t>
            </w:r>
          </w:p>
        </w:tc>
        <w:tc>
          <w:tcPr>
            <w:tcW w:w="2551" w:type="dxa"/>
            <w:tcBorders>
              <w:left w:val="single" w:sz="6" w:space="0" w:color="auto"/>
            </w:tcBorders>
            <w:vAlign w:val="center"/>
          </w:tcPr>
          <w:p>
            <w:pPr>
              <w:pStyle w:val="23"/>
            </w:pPr>
            <w:r>
              <w:t>56.47</w:t>
            </w:r>
          </w:p>
        </w:tc>
        <w:tc>
          <w:tcPr>
            <w:tcW w:w="2551" w:type="dxa"/>
            <w:tcBorders>
              <w:left w:val="single" w:sz="6" w:space="0" w:color="auto"/>
            </w:tcBorders>
            <w:vAlign w:val="center"/>
          </w:tcPr>
          <w:p>
            <w:pPr>
              <w:pStyle w:val="23"/>
            </w:pPr>
            <w:r>
              <w:t>11.50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61.41</w:t>
            </w:r>
          </w:p>
        </w:tc>
        <w:tc>
          <w:tcPr>
            <w:tcW w:w="2551" w:type="dxa"/>
            <w:tcBorders>
              <w:left w:val="single" w:sz="6" w:space="0" w:color="auto"/>
            </w:tcBorders>
            <w:vAlign w:val="center"/>
          </w:tcPr>
          <w:p>
            <w:pPr>
              <w:pStyle w:val="19"/>
            </w:pPr>
            <w:r>
              <w:t>49.91</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20816</w:t>
            </w:r>
          </w:p>
        </w:tc>
        <w:tc>
          <w:tcPr>
            <w:tcW w:w="4535" w:type="dxa"/>
            <w:tcBorders>
              <w:left w:val="single" w:sz="6" w:space="0" w:color="auto"/>
            </w:tcBorders>
            <w:vAlign w:val="center"/>
          </w:tcPr>
          <w:p>
            <w:pPr>
              <w:pStyle w:val="20"/>
            </w:pPr>
            <w:r>
              <w:t>红十字事业</w:t>
            </w:r>
          </w:p>
        </w:tc>
        <w:tc>
          <w:tcPr>
            <w:tcW w:w="2551" w:type="dxa"/>
            <w:tcBorders>
              <w:left w:val="single" w:sz="6" w:space="0" w:color="auto"/>
            </w:tcBorders>
            <w:vAlign w:val="center"/>
          </w:tcPr>
          <w:p>
            <w:pPr>
              <w:pStyle w:val="19"/>
            </w:pPr>
            <w:r>
              <w:t>56.08</w:t>
            </w:r>
          </w:p>
        </w:tc>
        <w:tc>
          <w:tcPr>
            <w:tcW w:w="2551" w:type="dxa"/>
            <w:tcBorders>
              <w:left w:val="single" w:sz="6" w:space="0" w:color="auto"/>
            </w:tcBorders>
            <w:vAlign w:val="center"/>
          </w:tcPr>
          <w:p>
            <w:pPr>
              <w:pStyle w:val="19"/>
            </w:pPr>
            <w:r>
              <w:t>44.58</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2081650</w:t>
            </w:r>
          </w:p>
        </w:tc>
        <w:tc>
          <w:tcPr>
            <w:tcW w:w="4535" w:type="dxa"/>
            <w:tcBorders>
              <w:left w:val="single" w:sz="6" w:space="0" w:color="auto"/>
            </w:tcBorders>
            <w:vAlign w:val="center"/>
          </w:tcPr>
          <w:p>
            <w:pPr>
              <w:pStyle w:val="20"/>
            </w:pPr>
            <w:r>
              <w:t>事业运行</w:t>
            </w:r>
          </w:p>
        </w:tc>
        <w:tc>
          <w:tcPr>
            <w:tcW w:w="2551" w:type="dxa"/>
            <w:tcBorders>
              <w:left w:val="single" w:sz="6" w:space="0" w:color="auto"/>
            </w:tcBorders>
            <w:vAlign w:val="center"/>
          </w:tcPr>
          <w:p>
            <w:pPr>
              <w:pStyle w:val="19"/>
            </w:pPr>
            <w:r>
              <w:t>56.08</w:t>
            </w:r>
          </w:p>
        </w:tc>
        <w:tc>
          <w:tcPr>
            <w:tcW w:w="2551" w:type="dxa"/>
            <w:tcBorders>
              <w:left w:val="single" w:sz="6" w:space="0" w:color="auto"/>
            </w:tcBorders>
            <w:vAlign w:val="center"/>
          </w:tcPr>
          <w:p>
            <w:pPr>
              <w:pStyle w:val="19"/>
            </w:pPr>
            <w:r>
              <w:t>44.58</w:t>
            </w:r>
          </w:p>
        </w:tc>
        <w:tc>
          <w:tcPr>
            <w:tcW w:w="2551" w:type="dxa"/>
            <w:tcBorders>
              <w:left w:val="single" w:sz="6" w:space="0" w:color="auto"/>
            </w:tcBorders>
            <w:vAlign w:val="center"/>
          </w:tcPr>
          <w:p>
            <w:pPr>
              <w:pStyle w:val="19"/>
            </w:pPr>
            <w:r>
              <w:t>11.50</w:t>
            </w: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2101102</w:t>
            </w:r>
          </w:p>
        </w:tc>
        <w:tc>
          <w:tcPr>
            <w:tcW w:w="4535" w:type="dxa"/>
            <w:tcBorders>
              <w:left w:val="single" w:sz="6" w:space="0" w:color="auto"/>
            </w:tcBorders>
            <w:vAlign w:val="center"/>
          </w:tcPr>
          <w:p>
            <w:pPr>
              <w:pStyle w:val="20"/>
            </w:pPr>
            <w:r>
              <w:t>事业单位医疗</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单位预算一般公共预算财政拨款基本支出表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支出单位经济分类科目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56.47</w:t>
            </w:r>
          </w:p>
        </w:tc>
        <w:tc>
          <w:tcPr>
            <w:tcW w:w="2551" w:type="dxa"/>
            <w:tcBorders>
              <w:left w:val="single" w:sz="6" w:space="0" w:color="auto"/>
            </w:tcBorders>
            <w:vAlign w:val="center"/>
          </w:tcPr>
          <w:p>
            <w:pPr>
              <w:pStyle w:val="23"/>
            </w:pPr>
            <w:r>
              <w:t>51.41</w:t>
            </w:r>
          </w:p>
        </w:tc>
        <w:tc>
          <w:tcPr>
            <w:tcW w:w="2551" w:type="dxa"/>
            <w:tcBorders>
              <w:left w:val="single" w:sz="6" w:space="0" w:color="auto"/>
            </w:tcBorders>
            <w:vAlign w:val="center"/>
          </w:tcPr>
          <w:p>
            <w:pPr>
              <w:pStyle w:val="23"/>
            </w:pPr>
            <w:r>
              <w:t>5.06</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51.41</w:t>
            </w:r>
          </w:p>
        </w:tc>
        <w:tc>
          <w:tcPr>
            <w:tcW w:w="2551" w:type="dxa"/>
            <w:tcBorders>
              <w:left w:val="single" w:sz="6" w:space="0" w:color="auto"/>
            </w:tcBorders>
            <w:vAlign w:val="center"/>
          </w:tcPr>
          <w:p>
            <w:pPr>
              <w:pStyle w:val="19"/>
            </w:pPr>
            <w:r>
              <w:t>51.41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23.89</w:t>
            </w:r>
          </w:p>
        </w:tc>
        <w:tc>
          <w:tcPr>
            <w:tcW w:w="2551" w:type="dxa"/>
            <w:tcBorders>
              <w:left w:val="single" w:sz="6" w:space="0" w:color="auto"/>
            </w:tcBorders>
            <w:vAlign w:val="center"/>
          </w:tcPr>
          <w:p>
            <w:pPr>
              <w:pStyle w:val="19"/>
            </w:pPr>
            <w:r>
              <w:t>23.89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0.81</w:t>
            </w:r>
          </w:p>
        </w:tc>
        <w:tc>
          <w:tcPr>
            <w:tcW w:w="2551" w:type="dxa"/>
            <w:tcBorders>
              <w:left w:val="single" w:sz="6" w:space="0" w:color="auto"/>
            </w:tcBorders>
            <w:vAlign w:val="center"/>
          </w:tcPr>
          <w:p>
            <w:pPr>
              <w:pStyle w:val="19"/>
            </w:pPr>
            <w:r>
              <w:t>0.81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1.75</w:t>
            </w:r>
          </w:p>
        </w:tc>
        <w:tc>
          <w:tcPr>
            <w:tcW w:w="2551" w:type="dxa"/>
            <w:tcBorders>
              <w:left w:val="single" w:sz="6" w:space="0" w:color="auto"/>
            </w:tcBorders>
            <w:vAlign w:val="center"/>
          </w:tcPr>
          <w:p>
            <w:pPr>
              <w:pStyle w:val="19"/>
            </w:pPr>
            <w:r>
              <w:t>1.75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30107</w:t>
            </w:r>
          </w:p>
        </w:tc>
        <w:tc>
          <w:tcPr>
            <w:tcW w:w="4535" w:type="dxa"/>
            <w:tcBorders>
              <w:left w:val="single" w:sz="6" w:space="0" w:color="auto"/>
            </w:tcBorders>
            <w:vAlign w:val="center"/>
          </w:tcPr>
          <w:p>
            <w:pPr>
              <w:pStyle w:val="20"/>
            </w:pPr>
            <w:r>
              <w:t>绩效工资</w:t>
            </w:r>
          </w:p>
        </w:tc>
        <w:tc>
          <w:tcPr>
            <w:tcW w:w="2551" w:type="dxa"/>
            <w:tcBorders>
              <w:left w:val="single" w:sz="6" w:space="0" w:color="auto"/>
            </w:tcBorders>
            <w:vAlign w:val="center"/>
          </w:tcPr>
          <w:p>
            <w:pPr>
              <w:pStyle w:val="19"/>
            </w:pPr>
            <w:r>
              <w:t>12.92</w:t>
            </w:r>
          </w:p>
        </w:tc>
        <w:tc>
          <w:tcPr>
            <w:tcW w:w="2551" w:type="dxa"/>
            <w:tcBorders>
              <w:left w:val="single" w:sz="6" w:space="0" w:color="auto"/>
            </w:tcBorders>
            <w:vAlign w:val="center"/>
          </w:tcPr>
          <w:p>
            <w:pPr>
              <w:pStyle w:val="19"/>
            </w:pPr>
            <w:r>
              <w:t>12.92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r>
              <w:t>5.34</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r>
              <w:t>2.42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0.15</w:t>
            </w:r>
          </w:p>
        </w:tc>
        <w:tc>
          <w:tcPr>
            <w:tcW w:w="2551" w:type="dxa"/>
            <w:tcBorders>
              <w:left w:val="single" w:sz="6" w:space="0" w:color="auto"/>
            </w:tcBorders>
            <w:vAlign w:val="center"/>
          </w:tcPr>
          <w:p>
            <w:pPr>
              <w:pStyle w:val="19"/>
            </w:pPr>
            <w:r>
              <w:t>0.15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r>
              <w:t>4.13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5.06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5.06</w:t>
            </w: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0.93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0.93</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30202</w:t>
            </w:r>
          </w:p>
        </w:tc>
        <w:tc>
          <w:tcPr>
            <w:tcW w:w="4535" w:type="dxa"/>
            <w:tcBorders>
              <w:left w:val="single" w:sz="6" w:space="0" w:color="auto"/>
            </w:tcBorders>
            <w:vAlign w:val="center"/>
          </w:tcPr>
          <w:p>
            <w:pPr>
              <w:pStyle w:val="20"/>
            </w:pPr>
            <w:r>
              <w:t>印刷费</w:t>
            </w:r>
          </w:p>
        </w:tc>
        <w:tc>
          <w:tcPr>
            <w:tcW w:w="2551" w:type="dxa"/>
            <w:tcBorders>
              <w:left w:val="single" w:sz="6" w:space="0" w:color="auto"/>
            </w:tcBorders>
            <w:vAlign w:val="center"/>
          </w:tcPr>
          <w:p>
            <w:pPr>
              <w:pStyle w:val="19"/>
            </w:pPr>
            <w:r>
              <w:t>0.60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30211</w:t>
            </w:r>
          </w:p>
        </w:tc>
        <w:tc>
          <w:tcPr>
            <w:tcW w:w="4535" w:type="dxa"/>
            <w:tcBorders>
              <w:left w:val="single" w:sz="6" w:space="0" w:color="auto"/>
            </w:tcBorders>
            <w:vAlign w:val="center"/>
          </w:tcPr>
          <w:p>
            <w:pPr>
              <w:pStyle w:val="20"/>
            </w:pPr>
            <w:r>
              <w:t>差旅费</w:t>
            </w:r>
          </w:p>
        </w:tc>
        <w:tc>
          <w:tcPr>
            <w:tcW w:w="2551" w:type="dxa"/>
            <w:tcBorders>
              <w:left w:val="single" w:sz="6" w:space="0" w:color="auto"/>
            </w:tcBorders>
            <w:vAlign w:val="center"/>
          </w:tcPr>
          <w:p>
            <w:pPr>
              <w:pStyle w:val="19"/>
            </w:pPr>
            <w:r>
              <w:t>0.38</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0.38</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30213</w:t>
            </w:r>
          </w:p>
        </w:tc>
        <w:tc>
          <w:tcPr>
            <w:tcW w:w="4535" w:type="dxa"/>
            <w:tcBorders>
              <w:left w:val="single" w:sz="6" w:space="0" w:color="auto"/>
            </w:tcBorders>
            <w:vAlign w:val="center"/>
          </w:tcPr>
          <w:p>
            <w:pPr>
              <w:pStyle w:val="20"/>
            </w:pPr>
            <w:r>
              <w:t>维修(护)费</w:t>
            </w:r>
          </w:p>
        </w:tc>
        <w:tc>
          <w:tcPr>
            <w:tcW w:w="2551" w:type="dxa"/>
            <w:tcBorders>
              <w:left w:val="single" w:sz="6" w:space="0" w:color="auto"/>
            </w:tcBorders>
            <w:vAlign w:val="center"/>
          </w:tcPr>
          <w:p>
            <w:pPr>
              <w:pStyle w:val="19"/>
            </w:pPr>
            <w:r>
              <w:t>0.10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0.10</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3.06</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3.06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单位预算政府性基金预算财政拨款支出表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单位预算国有资本经营预算财政拨款支出表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单位预算财政拨款“三公”经费支出表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隆尧县红十字会2025年单位预算信息公开情况说明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隆尧县红十字会2025年单位预算信息公开情况说明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按照《中华人民共和国预算法》、《地方预决算公开操作规程》和《关于进一步推进预算公开工作的实施意见》规定，现将隆尧县红十字会2025年单位预算公开如下：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一、单位职责及机构设置情况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（一）宣传和执行《中华人民共和国红十字会法》和《中华人民共和国红十字标志使用办法》。</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（四）开展捐献造血干细胞的宣传动员、组织工作。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（五）开展无偿献血的宣传推动工作，与县委、县政府共同对先进单位和个人进行表彰奖励。</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（七）依法开展和推动遗体、器官（组织）捐献工作；开展艾滋病预防控制宣传和教育、关心爱护艾滋病病毒感染者、患者及其他人道救助工作。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（八）开展有益于青少年身心健康的红十字青少年活动。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（九）开展红十字志愿服务活动。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（十）宣传国际人道法、红十字运动基本原则。</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（十一）依法开展募捐活动。在公共场所设置红十字募捐箱并进行管理；依照法律法规自主处分募捐款物。</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（十二）兴办符合红十字会宗旨的社会福利事业。</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（十三）参加国际人道救援工作。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hint="eastAsia"/>
          <w:color w:val="000000"/>
          <w:sz w:val="28"/>
        </w:rPr>
      </w:pPr>
      <w:r>
        <w:rPr>
          <w:rFonts w:eastAsia="方正仿宋_GBK" w:cs="Times New Roman" w:hint="eastAsia"/>
          <w:color w:val="000000"/>
          <w:sz w:val="28"/>
        </w:rPr>
        <w:t>（十四）承办县委、县政府交办的其他事项。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隆尧县红十字会本级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副科级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二、单位预算安排的总体情况</w:t>
      </w:r>
      <w:bookmarkEnd w:id="10"/>
    </w:p>
    <w:p>
      <w:pPr>
        <w:pStyle w:val="26"/>
      </w:pPr>
      <w:r>
        <w:t>按照预算管理有关规定，目前单位预算的编制实行综合预算管理，即全部收入和支出都反映的预算中。隆尧县红十字会收支包含在单位预算中。</w:t>
      </w:r>
    </w:p>
    <w:p>
      <w:pPr>
        <w:pStyle w:val="26"/>
      </w:pPr>
      <w:r>
        <w:t>1、收入说明</w:t>
      </w:r>
    </w:p>
    <w:p>
      <w:pPr>
        <w:pStyle w:val="26"/>
      </w:pPr>
      <w:r>
        <w:t>反映本单位当年全部收入。2025年预算收入67.97万元，其中：一般公共预算收入67.97万元，基金预算收入0万元，国有资本经营预算收入0万元，财政专户核拨收入0万元，单位资金收入0万元，上年结转结余0万元。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红十字会年度单位预算中支出预算的总体情况。2025年单位支出预算为67.97万元，其中基本支出56.47万元，包括人员经费51.41万元和日常公用经费5.06万元；项目支出11.5万元，主要为备灾经费3万元，应急救护培训经费1万元，红十字事业发展经费7.5万元。</w:t>
      </w:r>
    </w:p>
    <w:p>
      <w:pPr>
        <w:pStyle w:val="26"/>
      </w:pPr>
      <w:r>
        <w:t>3、比上年增减情况</w:t>
      </w:r>
    </w:p>
    <w:p>
      <w:pPr>
        <w:pStyle w:val="26"/>
      </w:pPr>
      <w:r>
        <w:t>2025年预算收支安排67.97万元，较2024年增加0.7万元，其中：基本支出增加3.14万元，主要为人员经费支出增加；项目支出减少2.5万元，主要原因是过紧日子，压减开支。</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2025年我机关运行经费共计安排5.06万元，主要用于保证机关正常运转的办公费、印刷费、差旅费、福利费等日常运行支出。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2025年，我单位财政拨款“三公”经费预算安排0万元，其中 ：因公出国（境）费0万元；公务用车购置及运维费0万元（其中：公务用车购置费为0万元，公务用车维修费0万元）；公务接待费0万元。与2024年相比减少0.15万元。主要原因是：过紧日子，压减开支。</w:t>
      </w:r>
    </w:p>
    <w:p>
      <w:pPr>
        <w:spacing w:before="10" w:after="10" w:line="360" w:lineRule="auto"/>
        <w:ind w:firstLine="640"/>
        <w:jc w:val="left"/>
        <w:outlineLvl w:val="2"/>
      </w:pPr>
      <w:bookmarkStart w:id="13" w:name="_Toc_3_3_0000000014"/>
      <w:r>
        <w:rPr>
          <w:rFonts w:ascii="黑体" w:eastAsia="黑体" w:cs="黑体" w:hAnsi="黑体"/>
          <w:color w:val="000000"/>
          <w:sz w:val="32"/>
        </w:rPr>
        <w:t>五、单位整体绩效目标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字会的指导下，开展对外交流与合作，扩大红十字会的影响力。</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1、健全应急救援体系，增强备灾救灾能力。</w:t>
      </w:r>
    </w:p>
    <w:p>
      <w:pPr>
        <w:pStyle w:val="30"/>
      </w:pPr>
      <w:r>
        <w:t>加强日常培训演练，提高县红十字会系统救援队伍人道应急救援能力；加强备灾物资储备，并做好维护管理。加强灾害管理信息系统管理，增强备灾救灾能力。</w:t>
      </w:r>
    </w:p>
    <w:p>
      <w:pPr>
        <w:pStyle w:val="30"/>
      </w:pPr>
      <w:r>
        <w:t>2、健全红十字应急救护培训长效机制。</w:t>
      </w:r>
    </w:p>
    <w:p>
      <w:pPr>
        <w:pStyle w:val="30"/>
      </w:pPr>
      <w:r>
        <w:t>持续推进应急救护培训“进社区、进农村、进学校、进企业、进机关”工作，扩大应急救护知识在群众中的普及率，提升群众自我保护和应急逃生能力，增强自救互救能力，降低人民群众伤残率、致死率。</w:t>
      </w:r>
    </w:p>
    <w:p>
      <w:pPr>
        <w:pStyle w:val="30"/>
      </w:pPr>
      <w:r>
        <w:t>3、开展人道救助工作。</w:t>
      </w:r>
    </w:p>
    <w:p>
      <w:pPr>
        <w:pStyle w:val="30"/>
      </w:pPr>
      <w:r>
        <w:t>引导社会爱心人士积极参与捐款，加强人道资源动员，广泛开展人道关爱和社会救助，使更多的贫困家庭、患病人员得到救助。</w:t>
      </w:r>
    </w:p>
    <w:p>
      <w:pPr>
        <w:pStyle w:val="30"/>
      </w:pPr>
      <w:r>
        <w:t>4、加强造血干细胞、遗体和人体器官捐献工作。</w:t>
      </w:r>
    </w:p>
    <w:p>
      <w:pPr>
        <w:pStyle w:val="30"/>
      </w:pPr>
      <w: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做出更大贡献。</w:t>
      </w:r>
    </w:p>
    <w:p>
      <w:pPr>
        <w:pStyle w:val="30"/>
      </w:pPr>
      <w:r>
        <w:t>5、加强红十字精神传播，扩大红十字会的影响力。</w:t>
      </w:r>
    </w:p>
    <w:p>
      <w:pPr>
        <w:pStyle w:val="30"/>
      </w:pPr>
      <w: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单位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pPr>
        <w:pStyle w:val="31"/>
      </w:pPr>
      <w:r>
        <w:t>2、加强绩效运行监控、做好绩效自评。按要求开展绩</w:t>
      </w:r>
      <w:bookmarkStart w:id="14" w:name="_GoBack"/>
      <w:bookmarkEnd w:id="14"/>
      <w:r>
        <w:t>效运行监控，发现问题及时采取措施，确保绩效目标如期保质实现。严格按要求开展单位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pPr>
        <w:pStyle w:val="31"/>
      </w:pPr>
      <w:r>
        <w:t>3、加强宣传培训，提高综合业务能力。加强人员培训，提高本单位职工业务素质。加大宣传力度，强化全体干部预算绩效管理意识，促进预算绩效管理水平进一步提升。</w:t>
      </w:r>
    </w:p>
    <w:p>
      <w:pPr>
        <w:pStyle w:val="31"/>
        <w:sectPr>
          <w:pgSz w:w="16840" w:h="11900" w:orient="landscape"/>
          <w:pgMar w:top="1361" w:right="1020" w:bottom="1361" w:left="1020" w:header="720" w:footer="720" w:gutter="0"/>
          <w:docGrid w:linePitch="326" w:charSpace="0"/>
        </w:sectPr>
      </w:pPr>
    </w:p>
    <w:p>
      <w:pPr>
        <w:spacing w:before="10" w:after="10" w:line="360" w:lineRule="auto"/>
        <w:ind w:left="0" w:firstLineChars="200"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六、单位主管专项资金预算安排情况及绩效目标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eastAsia="方正仿宋_GBK" w:hAnsi="黑体"/>
          <w:sz w:val="28"/>
        </w:rPr>
        <w:t>2025年度我单位无主管专项资金预算安排</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七、单位项目预算安排情况及绩效目标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1、备灾经费绩效目标表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13052525P00003110110R</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备灾经费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3.00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3.00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加强应急救援体系建设，建立备灾救灾仓库</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1.加强应急救援体系建设，建立备灾救灾仓库</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仓库租赁时间</w:t>
            </w:r>
          </w:p>
        </w:tc>
        <w:tc>
          <w:tcPr>
            <w:tcW w:w="5386" w:type="dxa"/>
            <w:tcBorders>
              <w:left w:val="single" w:sz="6" w:space="0" w:color="auto"/>
            </w:tcBorders>
            <w:vAlign w:val="center"/>
          </w:tcPr>
          <w:p>
            <w:pPr>
              <w:pStyle w:val="20"/>
            </w:pPr>
            <w:r>
              <w:t>完成仓库租赁时间</w:t>
            </w:r>
          </w:p>
        </w:tc>
        <w:tc>
          <w:tcPr>
            <w:tcW w:w="2268" w:type="dxa"/>
            <w:tcBorders>
              <w:left w:val="single" w:sz="6" w:space="0" w:color="auto"/>
            </w:tcBorders>
            <w:vAlign w:val="center"/>
          </w:tcPr>
          <w:p>
            <w:pPr>
              <w:pStyle w:val="20"/>
            </w:pPr>
            <w:r>
              <w:t>12月底前</w:t>
            </w:r>
          </w:p>
        </w:tc>
        <w:tc>
          <w:tcPr>
            <w:tcW w:w="1276" w:type="dxa"/>
            <w:tcBorders>
              <w:left w:val="single" w:sz="6" w:space="0" w:color="auto"/>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租赁成本</w:t>
            </w:r>
          </w:p>
        </w:tc>
        <w:tc>
          <w:tcPr>
            <w:tcW w:w="5386" w:type="dxa"/>
            <w:tcBorders>
              <w:left w:val="single" w:sz="6" w:space="0" w:color="auto"/>
            </w:tcBorders>
            <w:vAlign w:val="center"/>
          </w:tcPr>
          <w:p>
            <w:pPr>
              <w:pStyle w:val="20"/>
            </w:pPr>
            <w:r>
              <w:t>仓库租赁的实际成本</w:t>
            </w:r>
          </w:p>
        </w:tc>
        <w:tc>
          <w:tcPr>
            <w:tcW w:w="2268" w:type="dxa"/>
            <w:tcBorders>
              <w:left w:val="single" w:sz="6" w:space="0" w:color="auto"/>
            </w:tcBorders>
            <w:vAlign w:val="center"/>
          </w:tcPr>
          <w:p>
            <w:pPr>
              <w:pStyle w:val="20"/>
            </w:pPr>
            <w:r>
              <w:t>30000仓库租赁的实际成本</w:t>
            </w:r>
          </w:p>
        </w:tc>
        <w:tc>
          <w:tcPr>
            <w:tcW w:w="1276" w:type="dxa"/>
            <w:tcBorders>
              <w:left w:val="single" w:sz="6" w:space="0" w:color="auto"/>
            </w:tcBorders>
            <w:vAlign w:val="center"/>
          </w:tcPr>
          <w:p>
            <w:pPr>
              <w:pStyle w:val="20"/>
            </w:pPr>
            <w:r>
              <w:t>租赁合同、预算文件</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场地租赁数量</w:t>
            </w:r>
          </w:p>
        </w:tc>
        <w:tc>
          <w:tcPr>
            <w:tcW w:w="5386" w:type="dxa"/>
            <w:tcBorders>
              <w:left w:val="single" w:sz="6" w:space="0" w:color="auto"/>
            </w:tcBorders>
            <w:vAlign w:val="center"/>
          </w:tcPr>
          <w:p>
            <w:pPr>
              <w:pStyle w:val="20"/>
            </w:pPr>
            <w:r>
              <w:t>备灾救灾仓库租赁个数</w:t>
            </w:r>
          </w:p>
        </w:tc>
        <w:tc>
          <w:tcPr>
            <w:tcW w:w="2268" w:type="dxa"/>
            <w:tcBorders>
              <w:left w:val="single" w:sz="6" w:space="0" w:color="auto"/>
            </w:tcBorders>
            <w:vAlign w:val="center"/>
          </w:tcPr>
          <w:p>
            <w:pPr>
              <w:pStyle w:val="20"/>
            </w:pPr>
            <w:r>
              <w:t>1备灾救灾仓库租赁个数</w:t>
            </w:r>
          </w:p>
        </w:tc>
        <w:tc>
          <w:tcPr>
            <w:tcW w:w="1276" w:type="dxa"/>
            <w:tcBorders>
              <w:left w:val="single" w:sz="6" w:space="0" w:color="auto"/>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物资储备安全</w:t>
            </w:r>
          </w:p>
        </w:tc>
        <w:tc>
          <w:tcPr>
            <w:tcW w:w="5386" w:type="dxa"/>
            <w:tcBorders>
              <w:left w:val="single" w:sz="6" w:space="0" w:color="auto"/>
            </w:tcBorders>
            <w:vAlign w:val="center"/>
          </w:tcPr>
          <w:p>
            <w:pPr>
              <w:pStyle w:val="20"/>
            </w:pPr>
            <w:r>
              <w:t xml:space="preserve"> 做好物资维护，确保物资储备安全（完好率）</w:t>
            </w:r>
          </w:p>
        </w:tc>
        <w:tc>
          <w:tcPr>
            <w:tcW w:w="2268" w:type="dxa"/>
            <w:tcBorders>
              <w:left w:val="single" w:sz="6" w:space="0" w:color="auto"/>
            </w:tcBorders>
            <w:vAlign w:val="center"/>
          </w:tcPr>
          <w:p>
            <w:pPr>
              <w:pStyle w:val="20"/>
            </w:pPr>
            <w:r>
              <w:t>完好率=物资完好数量/物质总数量</w:t>
            </w:r>
          </w:p>
        </w:tc>
        <w:tc>
          <w:tcPr>
            <w:tcW w:w="1276" w:type="dxa"/>
            <w:tcBorders>
              <w:left w:val="single" w:sz="6" w:space="0" w:color="auto"/>
            </w:tcBorders>
            <w:vAlign w:val="center"/>
          </w:tcPr>
          <w:p>
            <w:pPr>
              <w:pStyle w:val="20"/>
            </w:pPr>
            <w:r>
              <w:t>检查结果</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可持续影响指标</w:t>
            </w:r>
          </w:p>
        </w:tc>
        <w:tc>
          <w:tcPr>
            <w:tcW w:w="2835" w:type="dxa"/>
            <w:tcBorders>
              <w:left w:val="single" w:sz="6" w:space="0" w:color="auto"/>
            </w:tcBorders>
            <w:vAlign w:val="center"/>
          </w:tcPr>
          <w:p>
            <w:pPr>
              <w:pStyle w:val="20"/>
            </w:pPr>
            <w:r>
              <w:t>长期使用</w:t>
            </w:r>
          </w:p>
        </w:tc>
        <w:tc>
          <w:tcPr>
            <w:tcW w:w="5386" w:type="dxa"/>
            <w:tcBorders>
              <w:left w:val="single" w:sz="6" w:space="0" w:color="auto"/>
            </w:tcBorders>
            <w:vAlign w:val="center"/>
          </w:tcPr>
          <w:p>
            <w:pPr>
              <w:pStyle w:val="20"/>
            </w:pPr>
            <w:r>
              <w:t>能够长期较好地开展工作，确保正常运转</w:t>
            </w:r>
          </w:p>
        </w:tc>
        <w:tc>
          <w:tcPr>
            <w:tcW w:w="2268" w:type="dxa"/>
            <w:tcBorders>
              <w:left w:val="single" w:sz="6" w:space="0" w:color="auto"/>
            </w:tcBorders>
            <w:vAlign w:val="center"/>
          </w:tcPr>
          <w:p>
            <w:pPr>
              <w:pStyle w:val="20"/>
            </w:pPr>
            <w:r>
              <w:t>≥1仓库租赁时间</w:t>
            </w:r>
          </w:p>
        </w:tc>
        <w:tc>
          <w:tcPr>
            <w:tcW w:w="1276" w:type="dxa"/>
            <w:tcBorders>
              <w:left w:val="single" w:sz="6" w:space="0" w:color="auto"/>
            </w:tcBorders>
            <w:vAlign w:val="center"/>
          </w:tcPr>
          <w:p>
            <w:pPr>
              <w:pStyle w:val="20"/>
            </w:pPr>
            <w:r>
              <w:t>租赁合同</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参训人员满意度</w:t>
            </w:r>
          </w:p>
        </w:tc>
        <w:tc>
          <w:tcPr>
            <w:tcW w:w="5386" w:type="dxa"/>
            <w:tcBorders>
              <w:left w:val="single" w:sz="6" w:space="0" w:color="auto"/>
            </w:tcBorders>
            <w:vAlign w:val="center"/>
          </w:tcPr>
          <w:p>
            <w:pPr>
              <w:pStyle w:val="20"/>
            </w:pPr>
            <w:r>
              <w:t>备灾救灾能力培训人员满意率=参训满意人员数/参训总人数</w:t>
            </w:r>
          </w:p>
        </w:tc>
        <w:tc>
          <w:tcPr>
            <w:tcW w:w="2268" w:type="dxa"/>
            <w:tcBorders>
              <w:left w:val="single" w:sz="6" w:space="0" w:color="auto"/>
            </w:tcBorders>
            <w:vAlign w:val="center"/>
          </w:tcPr>
          <w:p>
            <w:pPr>
              <w:pStyle w:val="20"/>
            </w:pPr>
            <w:r>
              <w:t>≥95备灾救灾能力培训人员满意程度</w:t>
            </w:r>
          </w:p>
        </w:tc>
        <w:tc>
          <w:tcPr>
            <w:tcW w:w="1276" w:type="dxa"/>
            <w:tcBorders>
              <w:left w:val="single" w:sz="6" w:space="0" w:color="auto"/>
            </w:tcBorders>
            <w:vAlign w:val="center"/>
          </w:tcPr>
          <w:p>
            <w:pPr>
              <w:pStyle w:val="20"/>
            </w:pPr>
            <w:r>
              <w:t>档案资料</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2、红十字事业发展经费绩效目标表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13052525P00003110109E</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红十字事业发展经费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7.50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7.50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按照《中华人民共和国红十字会法》红十字会应履行的职责：参与输血献血及造血干细胞工作；组织会员、志愿者、青少年开展社会服务活动；对外合作交流工作。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1.参与输血献血及造血干细胞工作；组织会员、志愿者、青少年开展社会服务活动；对外合作交流工作。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举办宣传活动数（次）</w:t>
            </w:r>
          </w:p>
        </w:tc>
        <w:tc>
          <w:tcPr>
            <w:tcW w:w="5386" w:type="dxa"/>
            <w:tcBorders>
              <w:left w:val="single" w:sz="6" w:space="0" w:color="auto"/>
            </w:tcBorders>
            <w:vAlign w:val="center"/>
          </w:tcPr>
          <w:p>
            <w:pPr>
              <w:pStyle w:val="20"/>
            </w:pPr>
            <w:r>
              <w:t>缅怀纪念活动、世界红十字日等重大节日纪念活动宣传</w:t>
            </w:r>
          </w:p>
        </w:tc>
        <w:tc>
          <w:tcPr>
            <w:tcW w:w="2268" w:type="dxa"/>
            <w:tcBorders>
              <w:left w:val="single" w:sz="6" w:space="0" w:color="auto"/>
            </w:tcBorders>
            <w:vAlign w:val="center"/>
          </w:tcPr>
          <w:p>
            <w:pPr>
              <w:pStyle w:val="20"/>
            </w:pPr>
            <w:r>
              <w:t>≥9缅怀纪念活动、世界红十字日等重大节日纪念活动</w:t>
            </w:r>
          </w:p>
        </w:tc>
        <w:tc>
          <w:tcPr>
            <w:tcW w:w="1276" w:type="dxa"/>
            <w:tcBorders>
              <w:left w:val="single" w:sz="6" w:space="0" w:color="auto"/>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质量指标</w:t>
            </w:r>
          </w:p>
        </w:tc>
        <w:tc>
          <w:tcPr>
            <w:tcW w:w="5386" w:type="dxa"/>
            <w:tcBorders>
              <w:left w:val="single" w:sz="6" w:space="0" w:color="auto"/>
            </w:tcBorders>
            <w:vAlign w:val="center"/>
          </w:tcPr>
          <w:p>
            <w:pPr>
              <w:pStyle w:val="20"/>
            </w:pPr>
            <w:r>
              <w:t>造血干细胞入库率</w:t>
            </w:r>
          </w:p>
        </w:tc>
        <w:tc>
          <w:tcPr>
            <w:tcW w:w="2268" w:type="dxa"/>
            <w:tcBorders>
              <w:left w:val="single" w:sz="6" w:space="0" w:color="auto"/>
            </w:tcBorders>
            <w:vAlign w:val="center"/>
          </w:tcPr>
          <w:p>
            <w:pPr>
              <w:pStyle w:val="20"/>
            </w:pPr>
            <w:r>
              <w:t>≥85入库率=有效血样入库数/上级任务数*100%</w:t>
            </w:r>
          </w:p>
        </w:tc>
        <w:tc>
          <w:tcPr>
            <w:tcW w:w="1276" w:type="dxa"/>
            <w:tcBorders>
              <w:left w:val="single" w:sz="6" w:space="0" w:color="auto"/>
            </w:tcBorders>
            <w:vAlign w:val="center"/>
          </w:tcPr>
          <w:p>
            <w:pPr>
              <w:pStyle w:val="20"/>
            </w:pPr>
            <w:r>
              <w:t>上级考核结果</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宣传、活动完成时间</w:t>
            </w:r>
          </w:p>
        </w:tc>
        <w:tc>
          <w:tcPr>
            <w:tcW w:w="5386" w:type="dxa"/>
            <w:tcBorders>
              <w:left w:val="single" w:sz="6" w:space="0" w:color="auto"/>
            </w:tcBorders>
            <w:vAlign w:val="center"/>
          </w:tcPr>
          <w:p>
            <w:pPr>
              <w:pStyle w:val="20"/>
            </w:pPr>
            <w:r>
              <w:t>完成全年各项重大活动及重要节日的宣传</w:t>
            </w:r>
          </w:p>
        </w:tc>
        <w:tc>
          <w:tcPr>
            <w:tcW w:w="2268" w:type="dxa"/>
            <w:tcBorders>
              <w:left w:val="single" w:sz="6" w:space="0" w:color="auto"/>
            </w:tcBorders>
            <w:vAlign w:val="center"/>
          </w:tcPr>
          <w:p>
            <w:pPr>
              <w:pStyle w:val="20"/>
            </w:pPr>
            <w:r>
              <w:t>12月底前完成</w:t>
            </w:r>
          </w:p>
        </w:tc>
        <w:tc>
          <w:tcPr>
            <w:tcW w:w="1276" w:type="dxa"/>
            <w:tcBorders>
              <w:left w:val="single" w:sz="6" w:space="0" w:color="auto"/>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宣传活动所需费用</w:t>
            </w:r>
          </w:p>
        </w:tc>
        <w:tc>
          <w:tcPr>
            <w:tcW w:w="5386" w:type="dxa"/>
            <w:tcBorders>
              <w:left w:val="single" w:sz="6" w:space="0" w:color="auto"/>
            </w:tcBorders>
            <w:vAlign w:val="center"/>
          </w:tcPr>
          <w:p>
            <w:pPr>
              <w:pStyle w:val="20"/>
            </w:pPr>
            <w:r>
              <w:t>重大活动宣传等所需费用</w:t>
            </w:r>
          </w:p>
        </w:tc>
        <w:tc>
          <w:tcPr>
            <w:tcW w:w="2268" w:type="dxa"/>
            <w:tcBorders>
              <w:left w:val="single" w:sz="6" w:space="0" w:color="auto"/>
            </w:tcBorders>
            <w:vAlign w:val="center"/>
          </w:tcPr>
          <w:p>
            <w:pPr>
              <w:pStyle w:val="20"/>
            </w:pPr>
            <w:r>
              <w:t>≤44000重大活动等宣传费用低于44000元</w:t>
            </w:r>
          </w:p>
        </w:tc>
        <w:tc>
          <w:tcPr>
            <w:tcW w:w="1276" w:type="dxa"/>
            <w:tcBorders>
              <w:left w:val="single" w:sz="6" w:space="0" w:color="auto"/>
            </w:tcBorders>
            <w:vAlign w:val="center"/>
          </w:tcPr>
          <w:p>
            <w:pPr>
              <w:pStyle w:val="20"/>
            </w:pPr>
            <w:r>
              <w:t>预算安排</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宣传效果影响程度</w:t>
            </w:r>
          </w:p>
        </w:tc>
        <w:tc>
          <w:tcPr>
            <w:tcW w:w="5386" w:type="dxa"/>
            <w:tcBorders>
              <w:left w:val="single" w:sz="6" w:space="0" w:color="auto"/>
            </w:tcBorders>
            <w:vAlign w:val="center"/>
          </w:tcPr>
          <w:p>
            <w:pPr>
              <w:pStyle w:val="20"/>
            </w:pPr>
            <w:r>
              <w:t>活动组织形式、公众参与积极性高，红十字会影响进一步扩大</w:t>
            </w:r>
          </w:p>
        </w:tc>
        <w:tc>
          <w:tcPr>
            <w:tcW w:w="2268" w:type="dxa"/>
            <w:tcBorders>
              <w:left w:val="single" w:sz="6" w:space="0" w:color="auto"/>
            </w:tcBorders>
            <w:vAlign w:val="center"/>
          </w:tcPr>
          <w:p>
            <w:pPr>
              <w:pStyle w:val="20"/>
            </w:pPr>
            <w:r>
              <w:t>影响力进一步增强</w:t>
            </w:r>
          </w:p>
        </w:tc>
        <w:tc>
          <w:tcPr>
            <w:tcW w:w="1276" w:type="dxa"/>
            <w:tcBorders>
              <w:left w:val="single" w:sz="6" w:space="0" w:color="auto"/>
            </w:tcBorders>
            <w:vAlign w:val="center"/>
          </w:tcPr>
          <w:p>
            <w:pPr>
              <w:pStyle w:val="20"/>
            </w:pPr>
            <w:r>
              <w:t>受众反馈意见</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红十字会志愿服务</w:t>
            </w:r>
          </w:p>
        </w:tc>
        <w:tc>
          <w:tcPr>
            <w:tcW w:w="5386" w:type="dxa"/>
            <w:tcBorders>
              <w:left w:val="single" w:sz="6" w:space="0" w:color="auto"/>
            </w:tcBorders>
            <w:vAlign w:val="center"/>
          </w:tcPr>
          <w:p>
            <w:pPr>
              <w:pStyle w:val="20"/>
            </w:pPr>
            <w:r>
              <w:t>红十字志愿服务满意率</w:t>
            </w:r>
          </w:p>
        </w:tc>
        <w:tc>
          <w:tcPr>
            <w:tcW w:w="2268" w:type="dxa"/>
            <w:tcBorders>
              <w:left w:val="single" w:sz="6" w:space="0" w:color="auto"/>
            </w:tcBorders>
            <w:vAlign w:val="center"/>
          </w:tcPr>
          <w:p>
            <w:pPr>
              <w:pStyle w:val="20"/>
            </w:pPr>
            <w:r>
              <w:t>≥90红十字志愿服务满意率</w:t>
            </w:r>
          </w:p>
        </w:tc>
        <w:tc>
          <w:tcPr>
            <w:tcW w:w="1276" w:type="dxa"/>
            <w:tcBorders>
              <w:left w:val="single" w:sz="6" w:space="0" w:color="auto"/>
            </w:tcBorders>
            <w:vAlign w:val="center"/>
          </w:tcPr>
          <w:p>
            <w:pPr>
              <w:pStyle w:val="20"/>
            </w:pPr>
            <w:r>
              <w:t>随机抽查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3、应急救护培训经费绩效目标表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13052525P00003110111D</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应急救护培训经费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1.00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1.00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建立红十字应急救护培训长效机制，力争全县每所高校都建立一支应急救护队伍，在集体活动、志愿服务和实践以及自然灾害、突发实践中能够开展自救互救。将红十字应急救护和防护避险知识纳入中小学公共安全内容，推动红十字救护培训进社区、进学校、进企业。</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25%</w:t>
            </w:r>
          </w:p>
        </w:tc>
        <w:tc>
          <w:tcPr>
            <w:tcW w:w="2835" w:type="dxa"/>
            <w:tcBorders>
              <w:left w:val="single" w:sz="6" w:space="0" w:color="auto"/>
            </w:tcBorders>
            <w:vAlign w:val="center"/>
          </w:tcPr>
          <w:p>
            <w:pPr>
              <w:pStyle w:val="21"/>
            </w:pPr>
            <w:r>
              <w:t>50%</w:t>
            </w:r>
          </w:p>
        </w:tc>
        <w:tc>
          <w:tcPr>
            <w:tcW w:w="2551" w:type="dxa"/>
            <w:tcBorders>
              <w:left w:val="single" w:sz="6" w:space="0" w:color="auto"/>
            </w:tcBorders>
            <w:vAlign w:val="center"/>
          </w:tcPr>
          <w:p>
            <w:pPr>
              <w:pStyle w:val="21"/>
            </w:pPr>
            <w:r>
              <w:t>75%</w:t>
            </w:r>
          </w:p>
        </w:tc>
        <w:tc>
          <w:tcPr>
            <w:tcW w:w="3544" w:type="dxa"/>
            <w:gridSpan w:val="2"/>
            <w:tcBorders>
              <w:left w:val="single" w:sz="6" w:space="0" w:color="auto"/>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1.建立红十字应急救护培训长效机制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培训周期</w:t>
            </w:r>
          </w:p>
        </w:tc>
        <w:tc>
          <w:tcPr>
            <w:tcW w:w="5386" w:type="dxa"/>
            <w:tcBorders>
              <w:left w:val="single" w:sz="6" w:space="0" w:color="auto"/>
            </w:tcBorders>
            <w:vAlign w:val="center"/>
          </w:tcPr>
          <w:p>
            <w:pPr>
              <w:pStyle w:val="20"/>
            </w:pPr>
            <w:r>
              <w:t>每年不低于两期培训</w:t>
            </w:r>
          </w:p>
        </w:tc>
        <w:tc>
          <w:tcPr>
            <w:tcW w:w="2268" w:type="dxa"/>
            <w:tcBorders>
              <w:left w:val="single" w:sz="6" w:space="0" w:color="auto"/>
            </w:tcBorders>
            <w:vAlign w:val="center"/>
          </w:tcPr>
          <w:p>
            <w:pPr>
              <w:pStyle w:val="20"/>
            </w:pPr>
            <w:r>
              <w:t>≥2每年不低于两期培训</w:t>
            </w:r>
          </w:p>
        </w:tc>
        <w:tc>
          <w:tcPr>
            <w:tcW w:w="1276" w:type="dxa"/>
            <w:tcBorders>
              <w:left w:val="single" w:sz="6" w:space="0" w:color="auto"/>
            </w:tcBorders>
            <w:vAlign w:val="center"/>
          </w:tcPr>
          <w:p>
            <w:pPr>
              <w:pStyle w:val="20"/>
            </w:pPr>
            <w:r>
              <w:t>培训资料</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成本控制</w:t>
            </w:r>
          </w:p>
        </w:tc>
        <w:tc>
          <w:tcPr>
            <w:tcW w:w="5386" w:type="dxa"/>
            <w:tcBorders>
              <w:left w:val="single" w:sz="6" w:space="0" w:color="auto"/>
            </w:tcBorders>
            <w:vAlign w:val="center"/>
          </w:tcPr>
          <w:p>
            <w:pPr>
              <w:pStyle w:val="20"/>
            </w:pPr>
            <w:r>
              <w:t>培训各项开支总费用</w:t>
            </w:r>
          </w:p>
        </w:tc>
        <w:tc>
          <w:tcPr>
            <w:tcW w:w="2268" w:type="dxa"/>
            <w:tcBorders>
              <w:left w:val="single" w:sz="6" w:space="0" w:color="auto"/>
            </w:tcBorders>
            <w:vAlign w:val="center"/>
          </w:tcPr>
          <w:p>
            <w:pPr>
              <w:pStyle w:val="20"/>
            </w:pPr>
            <w:r>
              <w:t>1培训各项开支总费用</w:t>
            </w:r>
          </w:p>
        </w:tc>
        <w:tc>
          <w:tcPr>
            <w:tcW w:w="1276" w:type="dxa"/>
            <w:tcBorders>
              <w:left w:val="single" w:sz="6" w:space="0" w:color="auto"/>
            </w:tcBorders>
            <w:vAlign w:val="center"/>
          </w:tcPr>
          <w:p>
            <w:pPr>
              <w:pStyle w:val="20"/>
            </w:pPr>
            <w:r>
              <w:t>预算安排</w:t>
            </w:r>
          </w:p>
        </w:tc>
      </w:tr>
      <w:tr>
        <w:trPr>
          <w:trHeight w:val="397"/>
        </w:trPr>
        <w:tc>
          <w:tcPr>
            <w:tcW w:w="1276" w:type="dxa"/>
            <w:vMerge/>
            <w:vAlign w:val="center"/>
          </w:tcP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培训人员数量</w:t>
            </w:r>
          </w:p>
        </w:tc>
        <w:tc>
          <w:tcPr>
            <w:tcW w:w="5386" w:type="dxa"/>
            <w:tcBorders>
              <w:left w:val="single" w:sz="6" w:space="0" w:color="auto"/>
            </w:tcBorders>
            <w:vAlign w:val="center"/>
          </w:tcPr>
          <w:p>
            <w:pPr>
              <w:pStyle w:val="20"/>
            </w:pPr>
            <w:r>
              <w:t>一年举办两期应急救护培训，每期50人</w:t>
            </w:r>
          </w:p>
        </w:tc>
        <w:tc>
          <w:tcPr>
            <w:tcW w:w="2268" w:type="dxa"/>
            <w:tcBorders>
              <w:left w:val="single" w:sz="6" w:space="0" w:color="auto"/>
            </w:tcBorders>
            <w:vAlign w:val="center"/>
          </w:tcPr>
          <w:p>
            <w:pPr>
              <w:pStyle w:val="20"/>
            </w:pPr>
            <w:r>
              <w:t>100培训人员数量</w:t>
            </w:r>
          </w:p>
        </w:tc>
        <w:tc>
          <w:tcPr>
            <w:tcW w:w="1276" w:type="dxa"/>
            <w:tcBorders>
              <w:left w:val="single" w:sz="6" w:space="0" w:color="auto"/>
            </w:tcBorders>
            <w:vAlign w:val="center"/>
          </w:tcPr>
          <w:p>
            <w:pPr>
              <w:pStyle w:val="20"/>
            </w:pPr>
            <w:r>
              <w:t>培训计划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救护员培训</w:t>
            </w:r>
          </w:p>
        </w:tc>
        <w:tc>
          <w:tcPr>
            <w:tcW w:w="5386" w:type="dxa"/>
            <w:tcBorders>
              <w:left w:val="single" w:sz="6" w:space="0" w:color="auto"/>
            </w:tcBorders>
            <w:vAlign w:val="center"/>
          </w:tcPr>
          <w:p>
            <w:pPr>
              <w:pStyle w:val="20"/>
            </w:pPr>
            <w:r>
              <w:t>救护员培训合格率</w:t>
            </w:r>
          </w:p>
        </w:tc>
        <w:tc>
          <w:tcPr>
            <w:tcW w:w="2268" w:type="dxa"/>
            <w:tcBorders>
              <w:left w:val="single" w:sz="6" w:space="0" w:color="auto"/>
            </w:tcBorders>
            <w:vAlign w:val="center"/>
          </w:tcPr>
          <w:p>
            <w:pPr>
              <w:pStyle w:val="20"/>
            </w:pPr>
            <w:r>
              <w:t>≥95合格率=培训合格人数/培训总人数</w:t>
            </w:r>
          </w:p>
        </w:tc>
        <w:tc>
          <w:tcPr>
            <w:tcW w:w="1276" w:type="dxa"/>
            <w:tcBorders>
              <w:left w:val="single" w:sz="6" w:space="0" w:color="auto"/>
            </w:tcBorders>
            <w:vAlign w:val="center"/>
          </w:tcPr>
          <w:p>
            <w:pPr>
              <w:pStyle w:val="20"/>
            </w:pPr>
            <w:r>
              <w:t>档案资料</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应急救护普及</w:t>
            </w:r>
          </w:p>
        </w:tc>
        <w:tc>
          <w:tcPr>
            <w:tcW w:w="5386" w:type="dxa"/>
            <w:tcBorders>
              <w:left w:val="single" w:sz="6" w:space="0" w:color="auto"/>
            </w:tcBorders>
            <w:vAlign w:val="center"/>
          </w:tcPr>
          <w:p>
            <w:pPr>
              <w:pStyle w:val="20"/>
            </w:pPr>
            <w:r>
              <w:t>提高救护知识的普及率，增强人们自救互救能力</w:t>
            </w:r>
          </w:p>
        </w:tc>
        <w:tc>
          <w:tcPr>
            <w:tcW w:w="2268" w:type="dxa"/>
            <w:tcBorders>
              <w:left w:val="single" w:sz="6" w:space="0" w:color="auto"/>
            </w:tcBorders>
            <w:vAlign w:val="center"/>
          </w:tcPr>
          <w:p>
            <w:pPr>
              <w:pStyle w:val="20"/>
            </w:pPr>
            <w:r>
              <w:t>提高人们自救互救能力</w:t>
            </w:r>
          </w:p>
        </w:tc>
        <w:tc>
          <w:tcPr>
            <w:tcW w:w="1276" w:type="dxa"/>
            <w:tcBorders>
              <w:left w:val="single" w:sz="6" w:space="0" w:color="auto"/>
            </w:tcBorders>
            <w:vAlign w:val="center"/>
          </w:tcPr>
          <w:p>
            <w:pPr>
              <w:pStyle w:val="20"/>
            </w:pPr>
            <w:r>
              <w:t>调查测评</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应急救护培训</w:t>
            </w:r>
          </w:p>
        </w:tc>
        <w:tc>
          <w:tcPr>
            <w:tcW w:w="5386" w:type="dxa"/>
            <w:tcBorders>
              <w:left w:val="single" w:sz="6" w:space="0" w:color="auto"/>
            </w:tcBorders>
            <w:vAlign w:val="center"/>
          </w:tcPr>
          <w:p>
            <w:pPr>
              <w:pStyle w:val="20"/>
            </w:pPr>
            <w:r>
              <w:t>学员应急救护知识培训满意率</w:t>
            </w:r>
          </w:p>
        </w:tc>
        <w:tc>
          <w:tcPr>
            <w:tcW w:w="2268" w:type="dxa"/>
            <w:tcBorders>
              <w:left w:val="single" w:sz="6" w:space="0" w:color="auto"/>
            </w:tcBorders>
            <w:vAlign w:val="center"/>
          </w:tcPr>
          <w:p>
            <w:pPr>
              <w:pStyle w:val="20"/>
            </w:pPr>
            <w:r>
              <w:t>≥98应急救护知识培训满意率</w:t>
            </w:r>
          </w:p>
        </w:tc>
        <w:tc>
          <w:tcPr>
            <w:tcW w:w="1276" w:type="dxa"/>
            <w:tcBorders>
              <w:left w:val="single" w:sz="6" w:space="0" w:color="auto"/>
            </w:tcBorders>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362隆尧县红十字会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政府采购金额（当年单位预算安排资金）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2"/>
            </w:pPr>
            <w:r>
              <w:t>合  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r>
      <w:tr>
        <w:trPr>
          <w:cantSplit/>
        </w:trPr>
        <w:tc>
          <w:tcPr>
            <w:tcW w:w="1701" w:type="dxa"/>
            <w:vAlign w:val="center"/>
          </w:tcPr>
          <w:p>
            <w:pPr>
              <w:pStyle w:val="22"/>
            </w:pPr>
            <w:r>
              <w:t>隆尧县红十字会本级小计</w:t>
            </w:r>
          </w:p>
        </w:tc>
        <w:tc>
          <w:tcPr>
            <w:tcW w:w="964" w:type="dxa"/>
            <w:tcBorders>
              <w:left w:val="single" w:sz="6" w:space="0" w:color="auto"/>
            </w:tcBorders>
            <w:vAlign w:val="center"/>
          </w:tcPr>
          <w:p>
            <w:pPr>
              <w:pStyle w:val="23"/>
            </w:pPr>
          </w:p>
        </w:tc>
        <w:tc>
          <w:tcPr>
            <w:tcW w:w="1134" w:type="dxa"/>
            <w:tcBorders>
              <w:left w:val="single" w:sz="6" w:space="0" w:color="auto"/>
            </w:tcBorders>
            <w:vAlign w:val="center"/>
          </w:tcPr>
          <w:p>
            <w:pPr>
              <w:pStyle w:val="24"/>
            </w:pPr>
          </w:p>
        </w:tc>
        <w:tc>
          <w:tcPr>
            <w:tcW w:w="1134" w:type="dxa"/>
            <w:tcBorders>
              <w:left w:val="single" w:sz="6" w:space="0" w:color="auto"/>
            </w:tcBorders>
            <w:vAlign w:val="center"/>
          </w:tcPr>
          <w:p>
            <w:pPr>
              <w:pStyle w:val="24"/>
            </w:pPr>
          </w:p>
        </w:tc>
        <w:tc>
          <w:tcPr>
            <w:tcW w:w="709" w:type="dxa"/>
            <w:tcBorders>
              <w:left w:val="single" w:sz="6" w:space="0" w:color="auto"/>
            </w:tcBorders>
            <w:vAlign w:val="center"/>
          </w:tcPr>
          <w:p>
            <w:pPr>
              <w:pStyle w:val="22"/>
            </w:pPr>
          </w:p>
        </w:tc>
        <w:tc>
          <w:tcPr>
            <w:tcW w:w="850" w:type="dxa"/>
            <w:tcBorders>
              <w:left w:val="single" w:sz="6" w:space="0" w:color="auto"/>
            </w:tcBorders>
            <w:vAlign w:val="center"/>
          </w:tcPr>
          <w:p>
            <w:pPr>
              <w:pStyle w:val="23"/>
            </w:pPr>
          </w:p>
        </w:tc>
        <w:tc>
          <w:tcPr>
            <w:tcW w:w="850"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r>
              <w:t>4.96</w:t>
            </w: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p>
        </w:tc>
        <w:tc>
          <w:tcPr>
            <w:tcW w:w="964" w:type="dxa"/>
            <w:tcBorders>
              <w:left w:val="single" w:sz="6" w:space="0" w:color="auto"/>
            </w:tcBorders>
            <w:vAlign w:val="center"/>
          </w:tcPr>
          <w:p>
            <w:pPr>
              <w:pStyle w:val="23"/>
            </w:pPr>
            <w:r>
              <w:t>4.96</w:t>
            </w:r>
          </w:p>
        </w:tc>
      </w:tr>
      <w:tr>
        <w:trPr>
          <w:cantSplit/>
        </w:trPr>
        <w:tc>
          <w:tcPr>
            <w:tcW w:w="1701" w:type="dxa"/>
            <w:vAlign w:val="center"/>
          </w:tcPr>
          <w:p>
            <w:pPr>
              <w:pStyle w:val="20"/>
            </w:pPr>
            <w:r>
              <w:t>红十字事业发展经费</w:t>
            </w:r>
          </w:p>
        </w:tc>
        <w:tc>
          <w:tcPr>
            <w:tcW w:w="964" w:type="dxa"/>
            <w:tcBorders>
              <w:left w:val="single" w:sz="6" w:space="0" w:color="auto"/>
            </w:tcBorders>
            <w:vAlign w:val="center"/>
          </w:tcPr>
          <w:p>
            <w:pPr>
              <w:pStyle w:val="19"/>
            </w:pPr>
            <w:r>
              <w:t>7.50</w:t>
            </w:r>
          </w:p>
        </w:tc>
        <w:tc>
          <w:tcPr>
            <w:tcW w:w="1134" w:type="dxa"/>
            <w:tcBorders>
              <w:left w:val="single" w:sz="6" w:space="0" w:color="auto"/>
            </w:tcBorders>
            <w:vAlign w:val="center"/>
          </w:tcPr>
          <w:p>
            <w:pPr>
              <w:pStyle w:val="20"/>
            </w:pPr>
            <w:r>
              <w:t>复印纸</w:t>
            </w:r>
          </w:p>
        </w:tc>
        <w:tc>
          <w:tcPr>
            <w:tcW w:w="1134" w:type="dxa"/>
            <w:tcBorders>
              <w:left w:val="single" w:sz="6" w:space="0" w:color="auto"/>
            </w:tcBorders>
            <w:vAlign w:val="center"/>
          </w:tcPr>
          <w:p>
            <w:pPr>
              <w:pStyle w:val="20"/>
            </w:pPr>
            <w:r>
              <w:t>A05040101</w:t>
            </w:r>
          </w:p>
        </w:tc>
        <w:tc>
          <w:tcPr>
            <w:tcW w:w="709" w:type="dxa"/>
            <w:tcBorders>
              <w:left w:val="single" w:sz="6" w:space="0" w:color="auto"/>
            </w:tcBorders>
            <w:vAlign w:val="center"/>
          </w:tcPr>
          <w:p>
            <w:pPr>
              <w:pStyle w:val="21"/>
            </w:pPr>
            <w:r>
              <w:t>包</w:t>
            </w:r>
          </w:p>
        </w:tc>
        <w:tc>
          <w:tcPr>
            <w:tcW w:w="850" w:type="dxa"/>
            <w:tcBorders>
              <w:left w:val="single" w:sz="6" w:space="0" w:color="auto"/>
            </w:tcBorders>
            <w:vAlign w:val="center"/>
          </w:tcPr>
          <w:p>
            <w:pPr>
              <w:pStyle w:val="19"/>
            </w:pPr>
            <w:r>
              <w:t>20</w:t>
            </w:r>
          </w:p>
        </w:tc>
        <w:tc>
          <w:tcPr>
            <w:tcW w:w="850" w:type="dxa"/>
            <w:tcBorders>
              <w:left w:val="single" w:sz="6" w:space="0" w:color="auto"/>
            </w:tcBorders>
            <w:vAlign w:val="center"/>
          </w:tcPr>
          <w:p>
            <w:pPr>
              <w:pStyle w:val="19"/>
            </w:pPr>
            <w:r>
              <w:t>0.03</w:t>
            </w:r>
          </w:p>
        </w:tc>
        <w:tc>
          <w:tcPr>
            <w:tcW w:w="964" w:type="dxa"/>
            <w:tcBorders>
              <w:left w:val="single" w:sz="6" w:space="0" w:color="auto"/>
            </w:tcBorders>
            <w:vAlign w:val="center"/>
          </w:tcPr>
          <w:p>
            <w:pPr>
              <w:pStyle w:val="19"/>
            </w:pPr>
            <w:r>
              <w:t>0.56</w:t>
            </w:r>
          </w:p>
        </w:tc>
        <w:tc>
          <w:tcPr>
            <w:tcW w:w="964" w:type="dxa"/>
            <w:tcBorders>
              <w:left w:val="single" w:sz="6" w:space="0" w:color="auto"/>
            </w:tcBorders>
            <w:vAlign w:val="center"/>
          </w:tcPr>
          <w:p>
            <w:pPr>
              <w:pStyle w:val="19"/>
            </w:pPr>
            <w:r>
              <w:t>0.56</w:t>
            </w: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r>
              <w:t>0.56</w:t>
            </w:r>
          </w:p>
        </w:tc>
      </w:tr>
      <w:tr>
        <w:trPr>
          <w:cantSplit/>
        </w:trPr>
        <w:tc>
          <w:tcPr>
            <w:tcW w:w="1701" w:type="dxa"/>
            <w:vAlign w:val="center"/>
          </w:tcPr>
          <w:p>
            <w:pPr>
              <w:pStyle w:val="20"/>
            </w:pPr>
            <w:r>
              <w:t>红十字事业发展经费</w:t>
            </w:r>
          </w:p>
        </w:tc>
        <w:tc>
          <w:tcPr>
            <w:tcW w:w="964" w:type="dxa"/>
            <w:tcBorders>
              <w:left w:val="single" w:sz="6" w:space="0" w:color="auto"/>
            </w:tcBorders>
            <w:vAlign w:val="center"/>
          </w:tcPr>
          <w:p>
            <w:pPr>
              <w:pStyle w:val="19"/>
            </w:pPr>
            <w:r>
              <w:t>7.50</w:t>
            </w:r>
          </w:p>
        </w:tc>
        <w:tc>
          <w:tcPr>
            <w:tcW w:w="1134" w:type="dxa"/>
            <w:tcBorders>
              <w:left w:val="single" w:sz="6" w:space="0" w:color="auto"/>
            </w:tcBorders>
            <w:vAlign w:val="center"/>
          </w:tcPr>
          <w:p>
            <w:pPr>
              <w:pStyle w:val="20"/>
            </w:pPr>
            <w:r>
              <w:t>其他印刷服务</w:t>
            </w:r>
          </w:p>
        </w:tc>
        <w:tc>
          <w:tcPr>
            <w:tcW w:w="1134" w:type="dxa"/>
            <w:tcBorders>
              <w:left w:val="single" w:sz="6" w:space="0" w:color="auto"/>
            </w:tcBorders>
            <w:vAlign w:val="center"/>
          </w:tcPr>
          <w:p>
            <w:pPr>
              <w:pStyle w:val="20"/>
            </w:pPr>
            <w:r>
              <w:t>C23090199</w:t>
            </w:r>
          </w:p>
        </w:tc>
        <w:tc>
          <w:tcPr>
            <w:tcW w:w="709" w:type="dxa"/>
            <w:tcBorders>
              <w:left w:val="single" w:sz="6" w:space="0" w:color="auto"/>
            </w:tcBorders>
            <w:vAlign w:val="center"/>
          </w:tcPr>
          <w:p>
            <w:pPr>
              <w:pStyle w:val="21"/>
            </w:pPr>
            <w:r>
              <w:t>页</w:t>
            </w:r>
          </w:p>
        </w:tc>
        <w:tc>
          <w:tcPr>
            <w:tcW w:w="850" w:type="dxa"/>
            <w:tcBorders>
              <w:left w:val="single" w:sz="6" w:space="0" w:color="auto"/>
            </w:tcBorders>
            <w:vAlign w:val="center"/>
          </w:tcPr>
          <w:p>
            <w:pPr>
              <w:pStyle w:val="19"/>
            </w:pPr>
            <w:r>
              <w:t>55000</w:t>
            </w:r>
          </w:p>
        </w:tc>
        <w:tc>
          <w:tcPr>
            <w:tcW w:w="850" w:type="dxa"/>
            <w:tcBorders>
              <w:left w:val="single" w:sz="6" w:space="0" w:color="auto"/>
            </w:tcBorders>
            <w:vAlign w:val="center"/>
          </w:tcPr>
          <w:p>
            <w:pPr>
              <w:pStyle w:val="19"/>
            </w:pPr>
            <w:r>
              <w:t>0.00</w:t>
            </w:r>
          </w:p>
        </w:tc>
        <w:tc>
          <w:tcPr>
            <w:tcW w:w="964" w:type="dxa"/>
            <w:tcBorders>
              <w:left w:val="single" w:sz="6" w:space="0" w:color="auto"/>
            </w:tcBorders>
            <w:vAlign w:val="center"/>
          </w:tcPr>
          <w:p>
            <w:pPr>
              <w:pStyle w:val="19"/>
            </w:pPr>
            <w:r>
              <w:t>4.40</w:t>
            </w:r>
          </w:p>
        </w:tc>
        <w:tc>
          <w:tcPr>
            <w:tcW w:w="964" w:type="dxa"/>
            <w:tcBorders>
              <w:left w:val="single" w:sz="6" w:space="0" w:color="auto"/>
            </w:tcBorders>
            <w:vAlign w:val="center"/>
          </w:tcPr>
          <w:p>
            <w:pPr>
              <w:pStyle w:val="19"/>
            </w:pPr>
            <w:r>
              <w:t>4.40</w:t>
            </w: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r>
              <w:t>4.40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隆尧县红十字会（含所属单位）上年末固定资产金额为0.00万元（详见下表）。本年度拟购置固定资产总额为0.00万元，已按要求列入政府采购预算，详见政府采购预算表。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362隆尧县红十字会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styleId="36">
    <w:name w:val="toc 2"/>
    <w:qFormat/>
    <w:basedOn w:val="0"/>
    <w:autoRedefine/>
    <w:next w:val="0"/>
    <w:pPr>
      <w:ind w:left="420"/>
    </w:pPr>
  </w:style>
  <w:style w:type="paragraph" w:styleId="37">
    <w:name w:val="header"/>
    <w:qFormat/>
    <w:basedOn w:val="0"/>
    <w:pPr>
      <w:pBdr>
        <w:bottom w:val="single" w:sz="6" w:space="1" w:color="auto"/>
      </w:pBdr>
      <w:tabs>
        <w:tab w:val="center" w:pos="4153"/>
        <w:tab w:val="right" w:pos="8307"/>
      </w:tabs>
      <w:snapToGrid w:val="0"/>
      <w:jc w:val="center"/>
    </w:pPr>
    <w:rPr>
      <w:sz w:val="18"/>
      <w:szCs w:val="18"/>
    </w:rPr>
  </w:style>
  <w:style w:type="paragraph" w:styleId="38">
    <w:name w:val="footer"/>
    <w:qFormat/>
    <w:basedOn w:val="0"/>
    <w:pPr>
      <w:tabs>
        <w:tab w:val="center" w:pos="4153"/>
        <w:tab w:val="right" w:pos="8307"/>
      </w:tabs>
      <w:snapToGrid w:val="0"/>
      <w:jc w:val="left"/>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05E7F6A-E5DA-418C-A5CB-A630BF24C28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1439</TotalTime>
  <Application>Yozo_Office27021597764231189</Application>
  <Pages>26</Pages>
  <Words>0</Words>
  <Characters>9554</Characters>
  <Lines>0</Lines>
  <Paragraphs>148</Paragraphs>
  <CharactersWithSpaces>12739</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wo</cp:lastModifiedBy>
  <cp:revision>1</cp:revision>
  <dcterms:created xsi:type="dcterms:W3CDTF">2025-02-24T15:42:49Z</dcterms:created>
  <dcterms:modified xsi:type="dcterms:W3CDTF">2025-02-26T01:04:56Z</dcterms:modified>
</cp:coreProperties>
</file>