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21"/>
      <w:r>
        <w:rPr>
          <w:rFonts w:ascii="方正小标宋_GBK" w:hAnsi="方正小标宋_GBK" w:eastAsia="方正小标宋_GBK" w:cs="方正小标宋_GBK"/>
          <w:color w:val="000000"/>
          <w:sz w:val="44"/>
        </w:rPr>
        <w:t>一、隆尧县发展和改革局本级收支预算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303001隆尧县发展和改革局本级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2683.94</w:t>
            </w:r>
          </w:p>
        </w:tc>
        <w:tc>
          <w:tcPr>
            <w:tcW w:w="4535" w:type="dxa"/>
            <w:vAlign w:val="center"/>
          </w:tcPr>
          <w:p>
            <w:pPr>
              <w:pStyle w:val="12"/>
            </w:pPr>
            <w:r>
              <w:t>一、一般公共服务支出</w:t>
            </w:r>
          </w:p>
        </w:tc>
        <w:tc>
          <w:tcPr>
            <w:tcW w:w="2126" w:type="dxa"/>
            <w:vAlign w:val="center"/>
          </w:tcPr>
          <w:p>
            <w:pPr>
              <w:pStyle w:val="11"/>
            </w:pPr>
            <w:r>
              <w:t>543.38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516.84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2683.94</w:t>
            </w:r>
          </w:p>
        </w:tc>
        <w:tc>
          <w:tcPr>
            <w:tcW w:w="4535" w:type="dxa"/>
            <w:vAlign w:val="center"/>
          </w:tcPr>
          <w:p>
            <w:pPr>
              <w:pStyle w:val="14"/>
            </w:pPr>
            <w:r>
              <w:t>本年支出合计</w:t>
            </w:r>
          </w:p>
        </w:tc>
        <w:tc>
          <w:tcPr>
            <w:tcW w:w="2126" w:type="dxa"/>
            <w:vAlign w:val="center"/>
          </w:tcPr>
          <w:p>
            <w:pPr>
              <w:pStyle w:val="15"/>
            </w:pPr>
            <w:r>
              <w:t>3236.94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553.00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3236.94</w:t>
            </w:r>
          </w:p>
        </w:tc>
        <w:tc>
          <w:tcPr>
            <w:tcW w:w="4535" w:type="dxa"/>
            <w:vAlign w:val="center"/>
          </w:tcPr>
          <w:p>
            <w:pPr>
              <w:pStyle w:val="14"/>
            </w:pPr>
            <w:r>
              <w:t>支出总计</w:t>
            </w:r>
          </w:p>
        </w:tc>
        <w:tc>
          <w:tcPr>
            <w:tcW w:w="2126" w:type="dxa"/>
            <w:vAlign w:val="center"/>
          </w:tcPr>
          <w:p>
            <w:pPr>
              <w:pStyle w:val="15"/>
            </w:pPr>
            <w:r>
              <w:t>3236.94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3236.94</w:t>
            </w:r>
          </w:p>
        </w:tc>
        <w:tc>
          <w:tcPr>
            <w:tcW w:w="1134" w:type="dxa"/>
            <w:vAlign w:val="center"/>
          </w:tcPr>
          <w:p>
            <w:pPr>
              <w:pStyle w:val="15"/>
            </w:pPr>
            <w:r>
              <w:t>2683.94</w:t>
            </w:r>
          </w:p>
        </w:tc>
        <w:tc>
          <w:tcPr>
            <w:tcW w:w="1134" w:type="dxa"/>
            <w:vAlign w:val="center"/>
          </w:tcPr>
          <w:p>
            <w:pPr>
              <w:pStyle w:val="15"/>
            </w:pPr>
            <w:r>
              <w:t>2683.94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369.22</w:t>
            </w:r>
          </w:p>
        </w:tc>
        <w:tc>
          <w:tcPr>
            <w:tcW w:w="1134" w:type="dxa"/>
            <w:vAlign w:val="center"/>
          </w:tcPr>
          <w:p>
            <w:pPr>
              <w:pStyle w:val="11"/>
            </w:pPr>
            <w:r>
              <w:t>369.22</w:t>
            </w:r>
          </w:p>
        </w:tc>
        <w:tc>
          <w:tcPr>
            <w:tcW w:w="1134" w:type="dxa"/>
            <w:vAlign w:val="center"/>
          </w:tcPr>
          <w:p>
            <w:pPr>
              <w:pStyle w:val="11"/>
            </w:pPr>
            <w:r>
              <w:t>369.22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44.10</w:t>
            </w:r>
          </w:p>
        </w:tc>
        <w:tc>
          <w:tcPr>
            <w:tcW w:w="1134" w:type="dxa"/>
            <w:vAlign w:val="center"/>
          </w:tcPr>
          <w:p>
            <w:pPr>
              <w:pStyle w:val="11"/>
            </w:pPr>
            <w:r>
              <w:t>44.10</w:t>
            </w:r>
          </w:p>
        </w:tc>
        <w:tc>
          <w:tcPr>
            <w:tcW w:w="1134" w:type="dxa"/>
            <w:vAlign w:val="center"/>
          </w:tcPr>
          <w:p>
            <w:pPr>
              <w:pStyle w:val="11"/>
            </w:pPr>
            <w:r>
              <w:t>44.10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130.06</w:t>
            </w:r>
          </w:p>
        </w:tc>
        <w:tc>
          <w:tcPr>
            <w:tcW w:w="1134" w:type="dxa"/>
            <w:vAlign w:val="center"/>
          </w:tcPr>
          <w:p>
            <w:pPr>
              <w:pStyle w:val="11"/>
            </w:pPr>
            <w:r>
              <w:t>130.06</w:t>
            </w:r>
          </w:p>
        </w:tc>
        <w:tc>
          <w:tcPr>
            <w:tcW w:w="1134" w:type="dxa"/>
            <w:vAlign w:val="center"/>
          </w:tcPr>
          <w:p>
            <w:pPr>
              <w:pStyle w:val="11"/>
            </w:pPr>
            <w:r>
              <w:t>130.06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516.84</w:t>
            </w:r>
          </w:p>
        </w:tc>
        <w:tc>
          <w:tcPr>
            <w:tcW w:w="1134" w:type="dxa"/>
            <w:vAlign w:val="center"/>
          </w:tcPr>
          <w:p>
            <w:pPr>
              <w:pStyle w:val="11"/>
            </w:pPr>
            <w:r>
              <w:t>446.84</w:t>
            </w:r>
          </w:p>
        </w:tc>
        <w:tc>
          <w:tcPr>
            <w:tcW w:w="1134" w:type="dxa"/>
            <w:vAlign w:val="center"/>
          </w:tcPr>
          <w:p>
            <w:pPr>
              <w:pStyle w:val="11"/>
            </w:pPr>
            <w:r>
              <w:t>446.84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41.00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41.00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475.84</w:t>
            </w:r>
          </w:p>
        </w:tc>
        <w:tc>
          <w:tcPr>
            <w:tcW w:w="1134" w:type="dxa"/>
            <w:vAlign w:val="center"/>
          </w:tcPr>
          <w:p>
            <w:pPr>
              <w:pStyle w:val="11"/>
            </w:pPr>
            <w:r>
              <w:t>445.84</w:t>
            </w:r>
          </w:p>
        </w:tc>
        <w:tc>
          <w:tcPr>
            <w:tcW w:w="1134" w:type="dxa"/>
            <w:vAlign w:val="center"/>
          </w:tcPr>
          <w:p>
            <w:pPr>
              <w:pStyle w:val="11"/>
            </w:pPr>
            <w:r>
              <w:t>445.84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375.84</w:t>
            </w:r>
          </w:p>
        </w:tc>
        <w:tc>
          <w:tcPr>
            <w:tcW w:w="1134" w:type="dxa"/>
            <w:vAlign w:val="center"/>
          </w:tcPr>
          <w:p>
            <w:pPr>
              <w:pStyle w:val="11"/>
            </w:pPr>
            <w:r>
              <w:t>375.84</w:t>
            </w:r>
          </w:p>
        </w:tc>
        <w:tc>
          <w:tcPr>
            <w:tcW w:w="1134" w:type="dxa"/>
            <w:vAlign w:val="center"/>
          </w:tcPr>
          <w:p>
            <w:pPr>
              <w:pStyle w:val="11"/>
            </w:pPr>
            <w:r>
              <w:t>375.84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100.00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3236.94</w:t>
            </w:r>
          </w:p>
        </w:tc>
        <w:tc>
          <w:tcPr>
            <w:tcW w:w="1361" w:type="dxa"/>
            <w:vAlign w:val="center"/>
          </w:tcPr>
          <w:p>
            <w:pPr>
              <w:pStyle w:val="15"/>
            </w:pPr>
            <w:r>
              <w:t>462.94</w:t>
            </w:r>
          </w:p>
        </w:tc>
        <w:tc>
          <w:tcPr>
            <w:tcW w:w="1361" w:type="dxa"/>
            <w:vAlign w:val="center"/>
          </w:tcPr>
          <w:p>
            <w:pPr>
              <w:pStyle w:val="15"/>
            </w:pPr>
            <w:r>
              <w:t>2774.00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543.38</w:t>
            </w:r>
          </w:p>
        </w:tc>
        <w:tc>
          <w:tcPr>
            <w:tcW w:w="1361" w:type="dxa"/>
            <w:vAlign w:val="center"/>
          </w:tcPr>
          <w:p>
            <w:pPr>
              <w:pStyle w:val="11"/>
            </w:pPr>
            <w:r>
              <w:t>369.22</w:t>
            </w:r>
          </w:p>
        </w:tc>
        <w:tc>
          <w:tcPr>
            <w:tcW w:w="1361" w:type="dxa"/>
            <w:vAlign w:val="center"/>
          </w:tcPr>
          <w:p>
            <w:pPr>
              <w:pStyle w:val="11"/>
            </w:pPr>
            <w:r>
              <w:t>174.17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543.38</w:t>
            </w:r>
          </w:p>
        </w:tc>
        <w:tc>
          <w:tcPr>
            <w:tcW w:w="1361" w:type="dxa"/>
            <w:vAlign w:val="center"/>
          </w:tcPr>
          <w:p>
            <w:pPr>
              <w:pStyle w:val="11"/>
            </w:pPr>
            <w:r>
              <w:t>369.22</w:t>
            </w:r>
          </w:p>
        </w:tc>
        <w:tc>
          <w:tcPr>
            <w:tcW w:w="1361" w:type="dxa"/>
            <w:vAlign w:val="center"/>
          </w:tcPr>
          <w:p>
            <w:pPr>
              <w:pStyle w:val="11"/>
            </w:pPr>
            <w:r>
              <w:t>174.17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369.22</w:t>
            </w:r>
          </w:p>
        </w:tc>
        <w:tc>
          <w:tcPr>
            <w:tcW w:w="1361" w:type="dxa"/>
            <w:vAlign w:val="center"/>
          </w:tcPr>
          <w:p>
            <w:pPr>
              <w:pStyle w:val="11"/>
            </w:pPr>
            <w:r>
              <w:t>369.22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130.06</w:t>
            </w:r>
          </w:p>
        </w:tc>
        <w:tc>
          <w:tcPr>
            <w:tcW w:w="1361" w:type="dxa"/>
            <w:vAlign w:val="center"/>
          </w:tcPr>
          <w:p>
            <w:pPr>
              <w:pStyle w:val="11"/>
            </w:pPr>
          </w:p>
        </w:tc>
        <w:tc>
          <w:tcPr>
            <w:tcW w:w="1361" w:type="dxa"/>
            <w:vAlign w:val="center"/>
          </w:tcPr>
          <w:p>
            <w:pPr>
              <w:pStyle w:val="11"/>
            </w:pPr>
            <w:r>
              <w:t>130.06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516.84</w:t>
            </w:r>
          </w:p>
        </w:tc>
        <w:tc>
          <w:tcPr>
            <w:tcW w:w="1361" w:type="dxa"/>
            <w:vAlign w:val="center"/>
          </w:tcPr>
          <w:p>
            <w:pPr>
              <w:pStyle w:val="11"/>
            </w:pPr>
          </w:p>
        </w:tc>
        <w:tc>
          <w:tcPr>
            <w:tcW w:w="1361" w:type="dxa"/>
            <w:vAlign w:val="center"/>
          </w:tcPr>
          <w:p>
            <w:pPr>
              <w:pStyle w:val="11"/>
            </w:pPr>
            <w:r>
              <w:t>516.84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475.84</w:t>
            </w:r>
          </w:p>
        </w:tc>
        <w:tc>
          <w:tcPr>
            <w:tcW w:w="1361" w:type="dxa"/>
            <w:vAlign w:val="center"/>
          </w:tcPr>
          <w:p>
            <w:pPr>
              <w:pStyle w:val="11"/>
            </w:pPr>
          </w:p>
        </w:tc>
        <w:tc>
          <w:tcPr>
            <w:tcW w:w="1361" w:type="dxa"/>
            <w:vAlign w:val="center"/>
          </w:tcPr>
          <w:p>
            <w:pPr>
              <w:pStyle w:val="11"/>
            </w:pPr>
            <w:r>
              <w:t>475.84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375.84</w:t>
            </w:r>
          </w:p>
        </w:tc>
        <w:tc>
          <w:tcPr>
            <w:tcW w:w="1361" w:type="dxa"/>
            <w:vAlign w:val="center"/>
          </w:tcPr>
          <w:p>
            <w:pPr>
              <w:pStyle w:val="11"/>
            </w:pPr>
          </w:p>
        </w:tc>
        <w:tc>
          <w:tcPr>
            <w:tcW w:w="1361" w:type="dxa"/>
            <w:vAlign w:val="center"/>
          </w:tcPr>
          <w:p>
            <w:pPr>
              <w:pStyle w:val="11"/>
            </w:pPr>
            <w:r>
              <w:t>375.84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2683.94</w:t>
            </w:r>
          </w:p>
        </w:tc>
        <w:tc>
          <w:tcPr>
            <w:tcW w:w="3402" w:type="dxa"/>
            <w:vAlign w:val="center"/>
          </w:tcPr>
          <w:p>
            <w:pPr>
              <w:pStyle w:val="12"/>
            </w:pPr>
            <w:r>
              <w:t>一、一般公共服务支出</w:t>
            </w:r>
          </w:p>
        </w:tc>
        <w:tc>
          <w:tcPr>
            <w:tcW w:w="1474" w:type="dxa"/>
            <w:vAlign w:val="center"/>
          </w:tcPr>
          <w:p>
            <w:pPr>
              <w:pStyle w:val="11"/>
            </w:pPr>
            <w:r>
              <w:t>543.38</w:t>
            </w:r>
          </w:p>
        </w:tc>
        <w:tc>
          <w:tcPr>
            <w:tcW w:w="1474" w:type="dxa"/>
            <w:vAlign w:val="center"/>
          </w:tcPr>
          <w:p>
            <w:pPr>
              <w:pStyle w:val="11"/>
            </w:pPr>
            <w:r>
              <w:t>543.38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42.24</w:t>
            </w:r>
          </w:p>
        </w:tc>
        <w:tc>
          <w:tcPr>
            <w:tcW w:w="1474" w:type="dxa"/>
            <w:vAlign w:val="center"/>
          </w:tcPr>
          <w:p>
            <w:pPr>
              <w:pStyle w:val="11"/>
            </w:pPr>
            <w:r>
              <w:t>42.24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19.96</w:t>
            </w:r>
          </w:p>
        </w:tc>
        <w:tc>
          <w:tcPr>
            <w:tcW w:w="1474" w:type="dxa"/>
            <w:vAlign w:val="center"/>
          </w:tcPr>
          <w:p>
            <w:pPr>
              <w:pStyle w:val="11"/>
            </w:pPr>
            <w:r>
              <w:t>19.96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1500.00</w:t>
            </w:r>
          </w:p>
        </w:tc>
        <w:tc>
          <w:tcPr>
            <w:tcW w:w="1474" w:type="dxa"/>
            <w:vAlign w:val="center"/>
          </w:tcPr>
          <w:p>
            <w:pPr>
              <w:pStyle w:val="11"/>
            </w:pPr>
            <w:r>
              <w:t>1500.00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483.00</w:t>
            </w:r>
          </w:p>
        </w:tc>
        <w:tc>
          <w:tcPr>
            <w:tcW w:w="1474" w:type="dxa"/>
            <w:vAlign w:val="center"/>
          </w:tcPr>
          <w:p>
            <w:pPr>
              <w:pStyle w:val="11"/>
            </w:pPr>
          </w:p>
        </w:tc>
        <w:tc>
          <w:tcPr>
            <w:tcW w:w="1474" w:type="dxa"/>
            <w:vAlign w:val="center"/>
          </w:tcPr>
          <w:p>
            <w:pPr>
              <w:pStyle w:val="11"/>
            </w:pPr>
            <w:r>
              <w:t>483.00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100.00</w:t>
            </w:r>
          </w:p>
        </w:tc>
        <w:tc>
          <w:tcPr>
            <w:tcW w:w="1474" w:type="dxa"/>
            <w:vAlign w:val="center"/>
          </w:tcPr>
          <w:p>
            <w:pPr>
              <w:pStyle w:val="11"/>
            </w:pPr>
            <w:r>
              <w:t>100.00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31.52</w:t>
            </w:r>
          </w:p>
        </w:tc>
        <w:tc>
          <w:tcPr>
            <w:tcW w:w="1474" w:type="dxa"/>
            <w:vAlign w:val="center"/>
          </w:tcPr>
          <w:p>
            <w:pPr>
              <w:pStyle w:val="11"/>
            </w:pPr>
            <w:r>
              <w:t>31.52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516.84</w:t>
            </w:r>
          </w:p>
        </w:tc>
        <w:tc>
          <w:tcPr>
            <w:tcW w:w="1474" w:type="dxa"/>
            <w:vAlign w:val="center"/>
          </w:tcPr>
          <w:p>
            <w:pPr>
              <w:pStyle w:val="11"/>
            </w:pPr>
            <w:r>
              <w:t>516.84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2683.94</w:t>
            </w:r>
          </w:p>
        </w:tc>
        <w:tc>
          <w:tcPr>
            <w:tcW w:w="3402" w:type="dxa"/>
            <w:vAlign w:val="center"/>
          </w:tcPr>
          <w:p>
            <w:pPr>
              <w:pStyle w:val="14"/>
            </w:pPr>
            <w:r>
              <w:t>本年支出合计</w:t>
            </w:r>
          </w:p>
        </w:tc>
        <w:tc>
          <w:tcPr>
            <w:tcW w:w="1474" w:type="dxa"/>
            <w:vAlign w:val="center"/>
          </w:tcPr>
          <w:p>
            <w:pPr>
              <w:pStyle w:val="15"/>
            </w:pPr>
            <w:r>
              <w:t>3236.94</w:t>
            </w:r>
          </w:p>
        </w:tc>
        <w:tc>
          <w:tcPr>
            <w:tcW w:w="1474" w:type="dxa"/>
            <w:vAlign w:val="center"/>
          </w:tcPr>
          <w:p>
            <w:pPr>
              <w:pStyle w:val="15"/>
            </w:pPr>
            <w:r>
              <w:t>2753.94</w:t>
            </w:r>
          </w:p>
        </w:tc>
        <w:tc>
          <w:tcPr>
            <w:tcW w:w="1474" w:type="dxa"/>
            <w:vAlign w:val="center"/>
          </w:tcPr>
          <w:p>
            <w:pPr>
              <w:pStyle w:val="15"/>
            </w:pPr>
            <w:r>
              <w:t>483.00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553.00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483.00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3236.94</w:t>
            </w:r>
          </w:p>
        </w:tc>
        <w:tc>
          <w:tcPr>
            <w:tcW w:w="3402" w:type="dxa"/>
            <w:vAlign w:val="center"/>
          </w:tcPr>
          <w:p>
            <w:pPr>
              <w:pStyle w:val="14"/>
            </w:pPr>
            <w:r>
              <w:t>支出总计</w:t>
            </w:r>
          </w:p>
        </w:tc>
        <w:tc>
          <w:tcPr>
            <w:tcW w:w="1474" w:type="dxa"/>
            <w:vAlign w:val="center"/>
          </w:tcPr>
          <w:p>
            <w:pPr>
              <w:pStyle w:val="15"/>
            </w:pPr>
            <w:r>
              <w:t>3236.94</w:t>
            </w:r>
          </w:p>
        </w:tc>
        <w:tc>
          <w:tcPr>
            <w:tcW w:w="1474" w:type="dxa"/>
            <w:vAlign w:val="center"/>
          </w:tcPr>
          <w:p>
            <w:pPr>
              <w:pStyle w:val="15"/>
            </w:pPr>
            <w:r>
              <w:t>2753.94</w:t>
            </w:r>
          </w:p>
        </w:tc>
        <w:tc>
          <w:tcPr>
            <w:tcW w:w="1474" w:type="dxa"/>
            <w:vAlign w:val="center"/>
          </w:tcPr>
          <w:p>
            <w:pPr>
              <w:pStyle w:val="15"/>
            </w:pPr>
            <w:r>
              <w:t>483.00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2753.94</w:t>
            </w:r>
          </w:p>
        </w:tc>
        <w:tc>
          <w:tcPr>
            <w:tcW w:w="2551" w:type="dxa"/>
            <w:vAlign w:val="center"/>
          </w:tcPr>
          <w:p>
            <w:pPr>
              <w:pStyle w:val="15"/>
            </w:pPr>
            <w:r>
              <w:t>462.94</w:t>
            </w:r>
          </w:p>
        </w:tc>
        <w:tc>
          <w:tcPr>
            <w:tcW w:w="2551" w:type="dxa"/>
            <w:vAlign w:val="center"/>
          </w:tcPr>
          <w:p>
            <w:pPr>
              <w:pStyle w:val="15"/>
            </w:pPr>
            <w:r>
              <w:t>2291.00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543.38</w:t>
            </w:r>
          </w:p>
        </w:tc>
        <w:tc>
          <w:tcPr>
            <w:tcW w:w="2551" w:type="dxa"/>
            <w:vAlign w:val="center"/>
          </w:tcPr>
          <w:p>
            <w:pPr>
              <w:pStyle w:val="11"/>
            </w:pPr>
            <w:r>
              <w:t>369.22</w:t>
            </w:r>
          </w:p>
        </w:tc>
        <w:tc>
          <w:tcPr>
            <w:tcW w:w="2551" w:type="dxa"/>
            <w:vAlign w:val="center"/>
          </w:tcPr>
          <w:p>
            <w:pPr>
              <w:pStyle w:val="11"/>
            </w:pPr>
            <w:r>
              <w:t>174.17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543.38</w:t>
            </w:r>
          </w:p>
        </w:tc>
        <w:tc>
          <w:tcPr>
            <w:tcW w:w="2551" w:type="dxa"/>
            <w:vAlign w:val="center"/>
          </w:tcPr>
          <w:p>
            <w:pPr>
              <w:pStyle w:val="11"/>
            </w:pPr>
            <w:r>
              <w:t>369.22</w:t>
            </w:r>
          </w:p>
        </w:tc>
        <w:tc>
          <w:tcPr>
            <w:tcW w:w="2551" w:type="dxa"/>
            <w:vAlign w:val="center"/>
          </w:tcPr>
          <w:p>
            <w:pPr>
              <w:pStyle w:val="11"/>
            </w:pPr>
            <w:r>
              <w:t>174.17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369.22</w:t>
            </w:r>
          </w:p>
        </w:tc>
        <w:tc>
          <w:tcPr>
            <w:tcW w:w="2551" w:type="dxa"/>
            <w:vAlign w:val="center"/>
          </w:tcPr>
          <w:p>
            <w:pPr>
              <w:pStyle w:val="11"/>
            </w:pPr>
            <w:r>
              <w:t>369.22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44.10</w:t>
            </w:r>
          </w:p>
        </w:tc>
        <w:tc>
          <w:tcPr>
            <w:tcW w:w="2551" w:type="dxa"/>
            <w:vAlign w:val="center"/>
          </w:tcPr>
          <w:p>
            <w:pPr>
              <w:pStyle w:val="11"/>
            </w:pPr>
          </w:p>
        </w:tc>
        <w:tc>
          <w:tcPr>
            <w:tcW w:w="2551" w:type="dxa"/>
            <w:vAlign w:val="center"/>
          </w:tcPr>
          <w:p>
            <w:pPr>
              <w:pStyle w:val="11"/>
            </w:pPr>
            <w:r>
              <w:t>44.10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130.06</w:t>
            </w:r>
          </w:p>
        </w:tc>
        <w:tc>
          <w:tcPr>
            <w:tcW w:w="2551" w:type="dxa"/>
            <w:vAlign w:val="center"/>
          </w:tcPr>
          <w:p>
            <w:pPr>
              <w:pStyle w:val="11"/>
            </w:pPr>
          </w:p>
        </w:tc>
        <w:tc>
          <w:tcPr>
            <w:tcW w:w="2551" w:type="dxa"/>
            <w:vAlign w:val="center"/>
          </w:tcPr>
          <w:p>
            <w:pPr>
              <w:pStyle w:val="11"/>
            </w:pPr>
            <w:r>
              <w:t>130.06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516.84</w:t>
            </w:r>
          </w:p>
        </w:tc>
        <w:tc>
          <w:tcPr>
            <w:tcW w:w="2551" w:type="dxa"/>
            <w:vAlign w:val="center"/>
          </w:tcPr>
          <w:p>
            <w:pPr>
              <w:pStyle w:val="11"/>
            </w:pPr>
          </w:p>
        </w:tc>
        <w:tc>
          <w:tcPr>
            <w:tcW w:w="2551" w:type="dxa"/>
            <w:vAlign w:val="center"/>
          </w:tcPr>
          <w:p>
            <w:pPr>
              <w:pStyle w:val="11"/>
            </w:pPr>
            <w:r>
              <w:t>516.84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475.84</w:t>
            </w:r>
          </w:p>
        </w:tc>
        <w:tc>
          <w:tcPr>
            <w:tcW w:w="2551" w:type="dxa"/>
            <w:vAlign w:val="center"/>
          </w:tcPr>
          <w:p>
            <w:pPr>
              <w:pStyle w:val="11"/>
            </w:pPr>
          </w:p>
        </w:tc>
        <w:tc>
          <w:tcPr>
            <w:tcW w:w="2551" w:type="dxa"/>
            <w:vAlign w:val="center"/>
          </w:tcPr>
          <w:p>
            <w:pPr>
              <w:pStyle w:val="11"/>
            </w:pPr>
            <w:r>
              <w:t>475.84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375.84</w:t>
            </w:r>
          </w:p>
        </w:tc>
        <w:tc>
          <w:tcPr>
            <w:tcW w:w="2551" w:type="dxa"/>
            <w:vAlign w:val="center"/>
          </w:tcPr>
          <w:p>
            <w:pPr>
              <w:pStyle w:val="11"/>
            </w:pPr>
          </w:p>
        </w:tc>
        <w:tc>
          <w:tcPr>
            <w:tcW w:w="2551" w:type="dxa"/>
            <w:vAlign w:val="center"/>
          </w:tcPr>
          <w:p>
            <w:pPr>
              <w:pStyle w:val="11"/>
            </w:pPr>
            <w:r>
              <w:t>375.84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462.94</w:t>
            </w:r>
          </w:p>
        </w:tc>
        <w:tc>
          <w:tcPr>
            <w:tcW w:w="2551" w:type="dxa"/>
            <w:vAlign w:val="center"/>
          </w:tcPr>
          <w:p>
            <w:pPr>
              <w:pStyle w:val="15"/>
            </w:pPr>
            <w:r>
              <w:t>428.00</w:t>
            </w:r>
          </w:p>
        </w:tc>
        <w:tc>
          <w:tcPr>
            <w:tcW w:w="2551" w:type="dxa"/>
            <w:vAlign w:val="center"/>
          </w:tcPr>
          <w:p>
            <w:pPr>
              <w:pStyle w:val="15"/>
            </w:pPr>
            <w:r>
              <w:t>34.94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416.18</w:t>
            </w:r>
          </w:p>
        </w:tc>
        <w:tc>
          <w:tcPr>
            <w:tcW w:w="2551" w:type="dxa"/>
            <w:vAlign w:val="center"/>
          </w:tcPr>
          <w:p>
            <w:pPr>
              <w:pStyle w:val="11"/>
            </w:pPr>
            <w:r>
              <w:t>416.18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196.45</w:t>
            </w:r>
          </w:p>
        </w:tc>
        <w:tc>
          <w:tcPr>
            <w:tcW w:w="2551" w:type="dxa"/>
            <w:vAlign w:val="center"/>
          </w:tcPr>
          <w:p>
            <w:pPr>
              <w:pStyle w:val="11"/>
            </w:pPr>
            <w:r>
              <w:t>196.45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35.15</w:t>
            </w:r>
          </w:p>
        </w:tc>
        <w:tc>
          <w:tcPr>
            <w:tcW w:w="2551" w:type="dxa"/>
            <w:vAlign w:val="center"/>
          </w:tcPr>
          <w:p>
            <w:pPr>
              <w:pStyle w:val="11"/>
            </w:pPr>
            <w:r>
              <w:t>35.15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35.01</w:t>
            </w:r>
          </w:p>
        </w:tc>
        <w:tc>
          <w:tcPr>
            <w:tcW w:w="2551" w:type="dxa"/>
            <w:vAlign w:val="center"/>
          </w:tcPr>
          <w:p>
            <w:pPr>
              <w:pStyle w:val="11"/>
            </w:pPr>
            <w:r>
              <w:t>35.01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54.56</w:t>
            </w:r>
          </w:p>
        </w:tc>
        <w:tc>
          <w:tcPr>
            <w:tcW w:w="2551" w:type="dxa"/>
            <w:vAlign w:val="center"/>
          </w:tcPr>
          <w:p>
            <w:pPr>
              <w:pStyle w:val="11"/>
            </w:pPr>
            <w:r>
              <w:t>54.56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34.74</w:t>
            </w:r>
          </w:p>
        </w:tc>
        <w:tc>
          <w:tcPr>
            <w:tcW w:w="2551" w:type="dxa"/>
            <w:vAlign w:val="center"/>
          </w:tcPr>
          <w:p>
            <w:pPr>
              <w:pStyle w:val="11"/>
            </w:pPr>
          </w:p>
        </w:tc>
        <w:tc>
          <w:tcPr>
            <w:tcW w:w="2551" w:type="dxa"/>
            <w:vAlign w:val="center"/>
          </w:tcPr>
          <w:p>
            <w:pPr>
              <w:pStyle w:val="11"/>
            </w:pPr>
            <w:r>
              <w:t>34.74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20.94</w:t>
            </w:r>
          </w:p>
        </w:tc>
        <w:tc>
          <w:tcPr>
            <w:tcW w:w="2551" w:type="dxa"/>
            <w:vAlign w:val="center"/>
          </w:tcPr>
          <w:p>
            <w:pPr>
              <w:pStyle w:val="11"/>
            </w:pPr>
          </w:p>
        </w:tc>
        <w:tc>
          <w:tcPr>
            <w:tcW w:w="2551" w:type="dxa"/>
            <w:vAlign w:val="center"/>
          </w:tcPr>
          <w:p>
            <w:pPr>
              <w:pStyle w:val="11"/>
            </w:pPr>
            <w:r>
              <w:t>20.94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483.00</w:t>
            </w:r>
          </w:p>
        </w:tc>
        <w:tc>
          <w:tcPr>
            <w:tcW w:w="2551" w:type="dxa"/>
            <w:vAlign w:val="center"/>
          </w:tcPr>
          <w:p>
            <w:pPr>
              <w:pStyle w:val="15"/>
            </w:pPr>
          </w:p>
        </w:tc>
        <w:tc>
          <w:tcPr>
            <w:tcW w:w="2551" w:type="dxa"/>
            <w:vAlign w:val="center"/>
          </w:tcPr>
          <w:p>
            <w:pPr>
              <w:pStyle w:val="15"/>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隆尧县发展和改革局本级2025年单位预算信息公开情况说明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按照《中华人民共和国预算法》、《地方预决算公开操作规程》和《关于进一步推进预算公开工作的实施意见》规定，现将隆尧县发展和改革局本级2025年单位预算公开如下：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spacing w:line="500" w:lineRule="exact"/>
        <w:ind w:firstLine="56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spacing w:line="500" w:lineRule="exact"/>
        <w:ind w:firstLine="560"/>
        <w:rPr>
          <w:rFonts w:eastAsia="方正仿宋_GBK"/>
          <w:color w:val="000000"/>
          <w:sz w:val="28"/>
        </w:rPr>
      </w:pPr>
      <w:r>
        <w:rPr>
          <w:rFonts w:hint="eastAsia" w:eastAsia="方正仿宋_GBK"/>
          <w:color w:val="000000"/>
          <w:sz w:val="28"/>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spacing w:line="500" w:lineRule="exact"/>
        <w:ind w:firstLine="560"/>
        <w:rPr>
          <w:rFonts w:eastAsia="方正仿宋_GBK"/>
          <w:color w:val="000000"/>
          <w:sz w:val="28"/>
        </w:rPr>
      </w:pPr>
      <w:r>
        <w:rPr>
          <w:rFonts w:hint="eastAsia" w:eastAsia="方正仿宋_GBK"/>
          <w:color w:val="000000"/>
          <w:sz w:val="28"/>
        </w:rPr>
        <w:t>（二）贯彻落实国家和省、市宏观调控政策，统筹提出全县国民经济和社会发展主要目标，监测经济和社会发展态势，研究分析经济形势，提出政策建议。</w:t>
      </w:r>
    </w:p>
    <w:p>
      <w:pPr>
        <w:spacing w:line="500" w:lineRule="exact"/>
        <w:ind w:firstLine="560"/>
        <w:rPr>
          <w:rFonts w:eastAsia="方正仿宋_GBK"/>
          <w:color w:val="000000"/>
          <w:sz w:val="28"/>
        </w:rPr>
      </w:pPr>
      <w:r>
        <w:rPr>
          <w:rFonts w:hint="eastAsia" w:eastAsia="方正仿宋_GBK"/>
          <w:color w:val="000000"/>
          <w:sz w:val="28"/>
        </w:rPr>
        <w:t>（三）指导推进和综合协调经济体制改革有关工作，研究全县经济体制改革的重大问题，组织拟订综合性经济体制改革方案。</w:t>
      </w:r>
    </w:p>
    <w:p>
      <w:pPr>
        <w:spacing w:line="500" w:lineRule="exact"/>
        <w:ind w:firstLine="560"/>
        <w:rPr>
          <w:rFonts w:eastAsia="方正仿宋_GBK"/>
          <w:color w:val="000000"/>
          <w:sz w:val="28"/>
        </w:rPr>
      </w:pPr>
      <w:r>
        <w:rPr>
          <w:rFonts w:hint="eastAsia" w:eastAsia="方正仿宋_GBK"/>
          <w:color w:val="000000"/>
          <w:sz w:val="28"/>
        </w:rPr>
        <w:t>（四）拟订固定资产投资规模和投资结构的调控目标、政策及措施；安排县重点建设项目，组织申报省、市重点项目；指导和协调全县招标投标工作。</w:t>
      </w:r>
    </w:p>
    <w:p>
      <w:pPr>
        <w:spacing w:line="500" w:lineRule="exact"/>
        <w:ind w:firstLine="560"/>
        <w:rPr>
          <w:rFonts w:eastAsia="方正仿宋_GBK"/>
          <w:color w:val="000000"/>
          <w:sz w:val="28"/>
        </w:rPr>
      </w:pPr>
      <w:r>
        <w:rPr>
          <w:rFonts w:hint="eastAsia" w:eastAsia="方正仿宋_GBK"/>
          <w:color w:val="000000"/>
          <w:sz w:val="28"/>
        </w:rPr>
        <w:t>（五）推进经济结构战略性调整。组织实施综合性产业政策，负责协调全县第一、二、三产业发展的重大问题并衔接平衡相关发展规划和重大政策，做好与国民经济和社会发展规划、计划的衔接平衡。</w:t>
      </w:r>
    </w:p>
    <w:p>
      <w:pPr>
        <w:spacing w:line="500" w:lineRule="exact"/>
        <w:ind w:firstLine="560"/>
        <w:rPr>
          <w:rFonts w:eastAsia="方正仿宋_GBK"/>
          <w:color w:val="000000"/>
          <w:sz w:val="28"/>
        </w:rPr>
      </w:pPr>
      <w:r>
        <w:rPr>
          <w:rFonts w:hint="eastAsia" w:eastAsia="方正仿宋_GBK"/>
          <w:color w:val="000000"/>
          <w:sz w:val="28"/>
        </w:rPr>
        <w:t>（六）提出能源发展战略的建议，协调能源发展和改革中的重大问题，负责能源行业节能和资源综合利用。</w:t>
      </w:r>
    </w:p>
    <w:p>
      <w:pPr>
        <w:spacing w:line="500" w:lineRule="exact"/>
        <w:ind w:firstLine="560"/>
        <w:rPr>
          <w:rFonts w:eastAsia="方正仿宋_GBK"/>
          <w:color w:val="000000"/>
          <w:sz w:val="28"/>
        </w:rPr>
      </w:pPr>
      <w:r>
        <w:rPr>
          <w:rFonts w:hint="eastAsia" w:eastAsia="方正仿宋_GBK"/>
          <w:color w:val="000000"/>
          <w:sz w:val="28"/>
        </w:rPr>
        <w:t>（七）推进可持续发展战略，负责节能综合协调工作；协调发展循环经济、生态建设、能源资源节约和综合利用的重大问题。</w:t>
      </w:r>
    </w:p>
    <w:p>
      <w:pPr>
        <w:spacing w:line="500" w:lineRule="exact"/>
        <w:ind w:firstLine="560"/>
        <w:rPr>
          <w:rFonts w:eastAsia="方正仿宋_GBK"/>
          <w:color w:val="000000"/>
          <w:sz w:val="28"/>
        </w:rPr>
      </w:pPr>
      <w:r>
        <w:rPr>
          <w:rFonts w:hint="eastAsia" w:eastAsia="方正仿宋_GBK"/>
          <w:color w:val="000000"/>
          <w:sz w:val="28"/>
        </w:rPr>
        <w:t>（八）组织实施全县国民经济动员有关工作；承担县国防动员委员会交办的有关具体工作。</w:t>
      </w:r>
    </w:p>
    <w:p>
      <w:pPr>
        <w:spacing w:line="500" w:lineRule="exact"/>
        <w:ind w:firstLine="560"/>
        <w:rPr>
          <w:rFonts w:eastAsia="方正仿宋_GBK"/>
          <w:color w:val="000000"/>
          <w:sz w:val="28"/>
        </w:rPr>
      </w:pPr>
      <w:r>
        <w:rPr>
          <w:rFonts w:hint="eastAsia" w:eastAsia="方正仿宋_GBK"/>
          <w:color w:val="000000"/>
          <w:sz w:val="28"/>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spacing w:line="500" w:lineRule="exact"/>
        <w:ind w:firstLine="560"/>
        <w:rPr>
          <w:rFonts w:eastAsia="方正仿宋_GBK"/>
          <w:color w:val="000000"/>
          <w:sz w:val="28"/>
        </w:rPr>
      </w:pPr>
      <w:r>
        <w:rPr>
          <w:rFonts w:hint="eastAsia" w:eastAsia="方正仿宋_GBK"/>
          <w:color w:val="000000"/>
          <w:sz w:val="28"/>
        </w:rPr>
        <w:t>（十）组织谋划、实施事关全县经济和社会发展全局的重大建设项目；编制全县重点建设项目年度工作计划并监督执行；调度重点建设项目实施进度，协调解决重大问题。</w:t>
      </w:r>
    </w:p>
    <w:p>
      <w:pPr>
        <w:spacing w:line="500" w:lineRule="exact"/>
        <w:ind w:firstLine="560"/>
        <w:rPr>
          <w:rFonts w:eastAsia="方正仿宋_GBK"/>
          <w:color w:val="000000"/>
          <w:sz w:val="28"/>
        </w:rPr>
      </w:pPr>
      <w:r>
        <w:rPr>
          <w:rFonts w:hint="eastAsia" w:eastAsia="方正仿宋_GBK"/>
          <w:color w:val="000000"/>
          <w:sz w:val="28"/>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spacing w:line="500" w:lineRule="exact"/>
        <w:ind w:firstLine="560"/>
        <w:rPr>
          <w:rFonts w:eastAsia="方正仿宋_GBK"/>
          <w:color w:val="000000"/>
          <w:sz w:val="28"/>
        </w:rPr>
      </w:pPr>
      <w:r>
        <w:rPr>
          <w:rFonts w:hint="eastAsia" w:eastAsia="方正仿宋_GBK"/>
          <w:color w:val="000000"/>
          <w:sz w:val="28"/>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spacing w:line="500" w:lineRule="exact"/>
        <w:ind w:firstLine="560"/>
        <w:rPr>
          <w:rFonts w:eastAsia="方正仿宋_GBK"/>
          <w:color w:val="000000"/>
          <w:sz w:val="28"/>
        </w:rPr>
      </w:pPr>
      <w:r>
        <w:rPr>
          <w:rFonts w:hint="eastAsia" w:eastAsia="方正仿宋_GBK"/>
          <w:color w:val="000000"/>
          <w:sz w:val="28"/>
        </w:rPr>
        <w:t>（十三）对贯彻落实有关粮食法律法规、政策制度进行监督检查。负责社会粮食流通执法检查，负责粮食收购、储存、运输环节粮食质量安全和原粮卫生的监督管理，组织实施全县粮食库存检查工作。</w:t>
      </w:r>
    </w:p>
    <w:p>
      <w:pPr>
        <w:spacing w:line="500" w:lineRule="exact"/>
        <w:ind w:firstLine="560"/>
        <w:rPr>
          <w:rFonts w:eastAsia="方正仿宋_GBK"/>
          <w:color w:val="000000"/>
          <w:sz w:val="28"/>
        </w:rPr>
      </w:pPr>
      <w:r>
        <w:rPr>
          <w:rFonts w:hint="eastAsia" w:eastAsia="方正仿宋_GBK"/>
          <w:color w:val="000000"/>
          <w:sz w:val="28"/>
        </w:rPr>
        <w:t>（十四）完成县委、县政府交办的其他任务。</w:t>
      </w:r>
    </w:p>
    <w:p>
      <w:pPr>
        <w:ind w:firstLine="64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按照预算管理有关规定，目前我县单位预算的编制实行综合预算管理，即全部收入和支出都反映在预算中。隆尧县发展和改革局机关及所属事业单位的收支包含在单</w:t>
      </w:r>
      <w:bookmarkStart w:id="1" w:name="_GoBack"/>
      <w:bookmarkEnd w:id="1"/>
      <w:r>
        <w:t>位预算中。</w:t>
      </w:r>
    </w:p>
    <w:p>
      <w:pPr>
        <w:pStyle w:val="26"/>
      </w:pPr>
      <w:r>
        <w:t>1、收入说明</w:t>
      </w:r>
    </w:p>
    <w:p>
      <w:pPr>
        <w:pStyle w:val="26"/>
      </w:pPr>
      <w:r>
        <w:t>反映本单位当年全部收入。2025年预算收入3236.94万元，其中：一般公共预算收入2683.94万元，上年结转收入553万元。</w:t>
      </w:r>
    </w:p>
    <w:p>
      <w:pPr>
        <w:pStyle w:val="26"/>
      </w:pPr>
      <w:r>
        <w:t>2、支出说明</w:t>
      </w:r>
    </w:p>
    <w:p>
      <w:pPr>
        <w:pStyle w:val="26"/>
      </w:pPr>
      <w:r>
        <w:t>收支预算总表支出栏、基本支出表、项目支出表按经济分类和支出功能分类科目编制，反映隆尧县发展和改革局年度单位预算中支出预算的总体情况。2025年单位支出预算为3236.94万元，其中基本支出462.94万元，包括人员经费428万元和日常公用经费34.94万元;项目支出2774万元，主要为县级储备粮轮换费用85.3376万元，县级储备粮利息和储存费用280.5万元，上年盘活/冀财建[2024]64号/中央资金/隆尧县粮食仓储建设70万元，燃气补贴资金1500万元，全县重点项目建设经费8万元，全县食盐储备资金项目7万元，隆尧县在建重点项目实施视频全覆盖7.601万元，隆尧县建设数据子节点项目经费28.5万元，粮食安全责任制考核及粮食质量安全监测管理及流通执法1万元，河北宝信物流有限公司城市与农村共同配送项目100万元，大数据中心工作经费60万元，成品粮储备费用补贴10万元，办案补助/自收自支人员经费63.0643万元，上年结转项目资金553万元。</w:t>
      </w:r>
    </w:p>
    <w:p>
      <w:pPr>
        <w:pStyle w:val="26"/>
      </w:pPr>
      <w:r>
        <w:t>3、比上年增减情况</w:t>
      </w:r>
    </w:p>
    <w:p>
      <w:pPr>
        <w:pStyle w:val="26"/>
      </w:pPr>
      <w:r>
        <w:t>2025年单位预算收支安排3236.94万元，较2024年减少985.94万元，其中：项目支出减少1067.92万元，主要是农业农村生态环境支出减少。</w:t>
      </w:r>
    </w:p>
    <w:p>
      <w:pPr>
        <w:spacing w:before="10" w:after="10"/>
        <w:ind w:firstLine="640"/>
        <w:outlineLvl w:val="5"/>
      </w:pPr>
      <w:r>
        <w:rPr>
          <w:rFonts w:ascii="黑体" w:hAnsi="黑体" w:eastAsia="黑体" w:cs="黑体"/>
          <w:color w:val="000000"/>
          <w:sz w:val="32"/>
        </w:rPr>
        <w:t>三、机关运行经费安排情况</w:t>
      </w:r>
    </w:p>
    <w:p>
      <w:pPr>
        <w:pStyle w:val="27"/>
      </w:pPr>
      <w:r>
        <w:t>2025年,我单位机关运行经费共计安排34.94万元，主要用于办公费、印刷费、邮电费、劳务费、电费、手续费、差旅费、水费、委托业务费、办公用房取暖费、党组织活动经费、工会经费、福利费、其他商品和服务支出及公务交通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2025年，我单位财政拨款“三公”经费预算安排0万元，与2024年相比减少0.5万元，主要原因是我单位无公务接待支出。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1、办案补助/自收自支人员经费绩效目标表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13052525P00000210032F</w:t>
            </w:r>
          </w:p>
        </w:tc>
        <w:tc>
          <w:tcPr>
            <w:tcW w:w="2835" w:type="dxa"/>
            <w:vAlign w:val="center"/>
          </w:tcPr>
          <w:p>
            <w:pPr>
              <w:pStyle w:val="10"/>
            </w:pPr>
            <w:r>
              <w:t>项目名称</w:t>
            </w:r>
          </w:p>
        </w:tc>
        <w:tc>
          <w:tcPr>
            <w:tcW w:w="6095" w:type="dxa"/>
            <w:gridSpan w:val="3"/>
            <w:vAlign w:val="center"/>
          </w:tcPr>
          <w:p>
            <w:pPr>
              <w:pStyle w:val="12"/>
            </w:pPr>
            <w:r>
              <w:t>办案补助/自收自支人员经费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63.06</w:t>
            </w:r>
          </w:p>
        </w:tc>
        <w:tc>
          <w:tcPr>
            <w:tcW w:w="2835" w:type="dxa"/>
            <w:vAlign w:val="center"/>
          </w:tcPr>
          <w:p>
            <w:pPr>
              <w:pStyle w:val="10"/>
            </w:pPr>
            <w:r>
              <w:t>其中：财政    资金</w:t>
            </w:r>
          </w:p>
        </w:tc>
        <w:tc>
          <w:tcPr>
            <w:tcW w:w="2551" w:type="dxa"/>
            <w:vAlign w:val="center"/>
          </w:tcPr>
          <w:p>
            <w:pPr>
              <w:pStyle w:val="12"/>
            </w:pPr>
            <w:r>
              <w:t>63.06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自支人员工资及社保费，保障机关正常运转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1.保障自收自支人员工资按时发放，维护机关单位正常运行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自支人员数量</w:t>
            </w:r>
          </w:p>
        </w:tc>
        <w:tc>
          <w:tcPr>
            <w:tcW w:w="2268" w:type="dxa"/>
            <w:vAlign w:val="center"/>
          </w:tcPr>
          <w:p>
            <w:pPr>
              <w:pStyle w:val="12"/>
            </w:pPr>
            <w:r>
              <w:t>15人</w:t>
            </w:r>
          </w:p>
        </w:tc>
        <w:tc>
          <w:tcPr>
            <w:tcW w:w="1276" w:type="dxa"/>
            <w:vAlign w:val="center"/>
          </w:tcPr>
          <w:p>
            <w:pPr>
              <w:pStyle w:val="12"/>
            </w:pPr>
            <w:r>
              <w:t>现有人员数量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5386" w:type="dxa"/>
            <w:vAlign w:val="center"/>
          </w:tcPr>
          <w:p>
            <w:pPr>
              <w:pStyle w:val="12"/>
            </w:pPr>
            <w:r>
              <w:t>工资发放水平及社保缴费率</w:t>
            </w:r>
          </w:p>
        </w:tc>
        <w:tc>
          <w:tcPr>
            <w:tcW w:w="2268" w:type="dxa"/>
            <w:vAlign w:val="center"/>
          </w:tcPr>
          <w:p>
            <w:pPr>
              <w:pStyle w:val="12"/>
            </w:pPr>
            <w:r>
              <w:t>≥95%</w:t>
            </w:r>
          </w:p>
        </w:tc>
        <w:tc>
          <w:tcPr>
            <w:tcW w:w="1276" w:type="dxa"/>
            <w:vAlign w:val="center"/>
          </w:tcPr>
          <w:p>
            <w:pPr>
              <w:pStyle w:val="12"/>
            </w:pPr>
            <w:r>
              <w:t>工资表、社保申报表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按时发放工资及缴纳社保率</w:t>
            </w:r>
          </w:p>
        </w:tc>
        <w:tc>
          <w:tcPr>
            <w:tcW w:w="2268" w:type="dxa"/>
            <w:vAlign w:val="center"/>
          </w:tcPr>
          <w:p>
            <w:pPr>
              <w:pStyle w:val="12"/>
            </w:pPr>
            <w:r>
              <w:t>≥95%</w:t>
            </w:r>
          </w:p>
        </w:tc>
        <w:tc>
          <w:tcPr>
            <w:tcW w:w="1276" w:type="dxa"/>
            <w:vAlign w:val="center"/>
          </w:tcPr>
          <w:p>
            <w:pPr>
              <w:pStyle w:val="12"/>
            </w:pPr>
            <w:r>
              <w:t>工资表、社保申报表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工资发放率</w:t>
            </w:r>
          </w:p>
        </w:tc>
        <w:tc>
          <w:tcPr>
            <w:tcW w:w="5386" w:type="dxa"/>
            <w:vAlign w:val="center"/>
          </w:tcPr>
          <w:p>
            <w:pPr>
              <w:pStyle w:val="12"/>
            </w:pPr>
            <w:r>
              <w:t>实际发放工资占应发工资比率</w:t>
            </w:r>
          </w:p>
        </w:tc>
        <w:tc>
          <w:tcPr>
            <w:tcW w:w="2268" w:type="dxa"/>
            <w:vAlign w:val="center"/>
          </w:tcPr>
          <w:p>
            <w:pPr>
              <w:pStyle w:val="12"/>
            </w:pPr>
            <w:r>
              <w:t>≥95%</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职工积极性</w:t>
            </w:r>
          </w:p>
        </w:tc>
        <w:tc>
          <w:tcPr>
            <w:tcW w:w="5386" w:type="dxa"/>
            <w:vAlign w:val="center"/>
          </w:tcPr>
          <w:p>
            <w:pPr>
              <w:pStyle w:val="12"/>
            </w:pPr>
            <w:r>
              <w:t>保障工资福利激发员工积极性</w:t>
            </w:r>
          </w:p>
        </w:tc>
        <w:tc>
          <w:tcPr>
            <w:tcW w:w="2268" w:type="dxa"/>
            <w:vAlign w:val="center"/>
          </w:tcPr>
          <w:p>
            <w:pPr>
              <w:pStyle w:val="12"/>
            </w:pPr>
            <w:r>
              <w:t>≥95%</w:t>
            </w:r>
          </w:p>
        </w:tc>
        <w:tc>
          <w:tcPr>
            <w:tcW w:w="1276" w:type="dxa"/>
            <w:vAlign w:val="center"/>
          </w:tcPr>
          <w:p>
            <w:pPr>
              <w:pStyle w:val="12"/>
            </w:pPr>
            <w:r>
              <w:t>年度考核情况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年度考核情况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2、成品粮储备费用补贴绩效目标表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13052525P00000410239N</w:t>
            </w:r>
          </w:p>
        </w:tc>
        <w:tc>
          <w:tcPr>
            <w:tcW w:w="2835" w:type="dxa"/>
            <w:vAlign w:val="center"/>
          </w:tcPr>
          <w:p>
            <w:pPr>
              <w:pStyle w:val="10"/>
            </w:pPr>
            <w:r>
              <w:t>项目名称</w:t>
            </w:r>
          </w:p>
        </w:tc>
        <w:tc>
          <w:tcPr>
            <w:tcW w:w="6095" w:type="dxa"/>
            <w:gridSpan w:val="3"/>
            <w:vAlign w:val="center"/>
          </w:tcPr>
          <w:p>
            <w:pPr>
              <w:pStyle w:val="12"/>
            </w:pPr>
            <w:r>
              <w:t>成品粮储备费用补贴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成品粮储备费用，维护市场稳定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1.保障面粉供应，维护社会稳定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5386" w:type="dxa"/>
            <w:vAlign w:val="center"/>
          </w:tcPr>
          <w:p>
            <w:pPr>
              <w:pStyle w:val="12"/>
            </w:pPr>
            <w:r>
              <w:t>应急储备面粉数量（吨）</w:t>
            </w:r>
          </w:p>
        </w:tc>
        <w:tc>
          <w:tcPr>
            <w:tcW w:w="2268" w:type="dxa"/>
            <w:vAlign w:val="center"/>
          </w:tcPr>
          <w:p>
            <w:pPr>
              <w:pStyle w:val="12"/>
            </w:pPr>
            <w:r>
              <w:t>2000吨</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5386" w:type="dxa"/>
            <w:vAlign w:val="center"/>
          </w:tcPr>
          <w:p>
            <w:pPr>
              <w:pStyle w:val="12"/>
            </w:pPr>
            <w:r>
              <w:t>储存安全面粉数量/储存面粉数量*100%</w:t>
            </w:r>
          </w:p>
        </w:tc>
        <w:tc>
          <w:tcPr>
            <w:tcW w:w="2268" w:type="dxa"/>
            <w:vAlign w:val="center"/>
          </w:tcPr>
          <w:p>
            <w:pPr>
              <w:pStyle w:val="12"/>
            </w:pPr>
            <w:r>
              <w:t>100%</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任务完成程度</w:t>
            </w:r>
          </w:p>
        </w:tc>
        <w:tc>
          <w:tcPr>
            <w:tcW w:w="2268" w:type="dxa"/>
            <w:vAlign w:val="center"/>
          </w:tcPr>
          <w:p>
            <w:pPr>
              <w:pStyle w:val="12"/>
            </w:pPr>
            <w:r>
              <w:t>保证经常储存量2000吨</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储备物资成本</w:t>
            </w:r>
          </w:p>
        </w:tc>
        <w:tc>
          <w:tcPr>
            <w:tcW w:w="5386" w:type="dxa"/>
            <w:vAlign w:val="center"/>
          </w:tcPr>
          <w:p>
            <w:pPr>
              <w:pStyle w:val="12"/>
            </w:pPr>
            <w:r>
              <w:t>2000吨储备物资总成本</w:t>
            </w:r>
          </w:p>
        </w:tc>
        <w:tc>
          <w:tcPr>
            <w:tcW w:w="2268" w:type="dxa"/>
            <w:vAlign w:val="center"/>
          </w:tcPr>
          <w:p>
            <w:pPr>
              <w:pStyle w:val="12"/>
            </w:pPr>
            <w:r>
              <w:t>2025年补贴总额10万元</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承储企业满意程度</w:t>
            </w:r>
          </w:p>
        </w:tc>
        <w:tc>
          <w:tcPr>
            <w:tcW w:w="2268" w:type="dxa"/>
            <w:vAlign w:val="center"/>
          </w:tcPr>
          <w:p>
            <w:pPr>
              <w:pStyle w:val="12"/>
            </w:pPr>
            <w:r>
              <w:t>100%</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3、大数据中心工作经费绩效目标表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13052525P000004102383</w:t>
            </w:r>
          </w:p>
        </w:tc>
        <w:tc>
          <w:tcPr>
            <w:tcW w:w="2835" w:type="dxa"/>
            <w:vAlign w:val="center"/>
          </w:tcPr>
          <w:p>
            <w:pPr>
              <w:pStyle w:val="10"/>
            </w:pPr>
            <w:r>
              <w:t>项目名称</w:t>
            </w:r>
          </w:p>
        </w:tc>
        <w:tc>
          <w:tcPr>
            <w:tcW w:w="6095" w:type="dxa"/>
            <w:gridSpan w:val="3"/>
            <w:vAlign w:val="center"/>
          </w:tcPr>
          <w:p>
            <w:pPr>
              <w:pStyle w:val="12"/>
            </w:pPr>
            <w:r>
              <w:t>大数据中心工作经费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大数据中心运转经费，提升公共服务水平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1.保障大数据中心运转，提高公共服务水平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完成工作数量</w:t>
            </w:r>
          </w:p>
        </w:tc>
        <w:tc>
          <w:tcPr>
            <w:tcW w:w="5386" w:type="dxa"/>
            <w:vAlign w:val="center"/>
          </w:tcPr>
          <w:p>
            <w:pPr>
              <w:pStyle w:val="12"/>
            </w:pPr>
            <w:r>
              <w:t>完成大数据工作数量</w:t>
            </w:r>
          </w:p>
        </w:tc>
        <w:tc>
          <w:tcPr>
            <w:tcW w:w="2268" w:type="dxa"/>
            <w:vAlign w:val="center"/>
          </w:tcPr>
          <w:p>
            <w:pPr>
              <w:pStyle w:val="12"/>
            </w:pPr>
            <w:r>
              <w:t>≥3项</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智能办公水平提升率</w:t>
            </w:r>
          </w:p>
        </w:tc>
        <w:tc>
          <w:tcPr>
            <w:tcW w:w="5386" w:type="dxa"/>
            <w:vAlign w:val="center"/>
          </w:tcPr>
          <w:p>
            <w:pPr>
              <w:pStyle w:val="12"/>
            </w:pPr>
            <w:r>
              <w:t>提升办公水平，促进社会发展</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5386" w:type="dxa"/>
            <w:vAlign w:val="center"/>
          </w:tcPr>
          <w:p>
            <w:pPr>
              <w:pStyle w:val="12"/>
            </w:pPr>
            <w:r>
              <w:t>按期完成资金支付</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≤60万</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推进数字化建设，提升智能化水平</w:t>
            </w:r>
          </w:p>
        </w:tc>
        <w:tc>
          <w:tcPr>
            <w:tcW w:w="5386" w:type="dxa"/>
            <w:vAlign w:val="center"/>
          </w:tcPr>
          <w:p>
            <w:pPr>
              <w:pStyle w:val="12"/>
            </w:pPr>
            <w:r>
              <w:t>推进智慧隆尧建设，提升智能化水平</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项目年初设定目标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4、河北宝信物流有限公司城市与农村共同配送项目绩效目标表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13052525P00000410253Q</w:t>
            </w:r>
          </w:p>
        </w:tc>
        <w:tc>
          <w:tcPr>
            <w:tcW w:w="2835" w:type="dxa"/>
            <w:vAlign w:val="center"/>
          </w:tcPr>
          <w:p>
            <w:pPr>
              <w:pStyle w:val="10"/>
            </w:pPr>
            <w:r>
              <w:t>项目名称</w:t>
            </w:r>
          </w:p>
        </w:tc>
        <w:tc>
          <w:tcPr>
            <w:tcW w:w="6095" w:type="dxa"/>
            <w:gridSpan w:val="3"/>
            <w:vAlign w:val="center"/>
          </w:tcPr>
          <w:p>
            <w:pPr>
              <w:pStyle w:val="12"/>
            </w:pPr>
            <w:r>
              <w:t>河北宝信物流有限公司城市与农村共同配送项目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发展物流产业，促进城乡共同发展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1.发展物流产业，促进经济发展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5386" w:type="dxa"/>
            <w:vAlign w:val="center"/>
          </w:tcPr>
          <w:p>
            <w:pPr>
              <w:pStyle w:val="12"/>
            </w:pPr>
            <w:r>
              <w:t>已完成市级分拨中心数量</w:t>
            </w:r>
          </w:p>
        </w:tc>
        <w:tc>
          <w:tcPr>
            <w:tcW w:w="2268" w:type="dxa"/>
            <w:vAlign w:val="center"/>
          </w:tcPr>
          <w:p>
            <w:pPr>
              <w:pStyle w:val="12"/>
            </w:pPr>
            <w:r>
              <w:t>≥5个</w:t>
            </w:r>
          </w:p>
        </w:tc>
        <w:tc>
          <w:tcPr>
            <w:tcW w:w="1276" w:type="dxa"/>
            <w:vAlign w:val="center"/>
          </w:tcPr>
          <w:p>
            <w:pPr>
              <w:pStyle w:val="12"/>
            </w:pPr>
            <w:r>
              <w:t>项目布局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项目验收通过率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项目预计完工时间</w:t>
            </w:r>
          </w:p>
        </w:tc>
        <w:tc>
          <w:tcPr>
            <w:tcW w:w="2268" w:type="dxa"/>
            <w:vAlign w:val="center"/>
          </w:tcPr>
          <w:p>
            <w:pPr>
              <w:pStyle w:val="12"/>
            </w:pPr>
            <w:r>
              <w:t>≤6月</w:t>
            </w:r>
          </w:p>
        </w:tc>
        <w:tc>
          <w:tcPr>
            <w:tcW w:w="1276" w:type="dxa"/>
            <w:vAlign w:val="center"/>
          </w:tcPr>
          <w:p>
            <w:pPr>
              <w:pStyle w:val="12"/>
            </w:pPr>
            <w:r>
              <w:t>项目单位预计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5386" w:type="dxa"/>
            <w:vAlign w:val="center"/>
          </w:tcPr>
          <w:p>
            <w:pPr>
              <w:pStyle w:val="12"/>
            </w:pPr>
            <w:r>
              <w:t>项目投入资金</w:t>
            </w:r>
          </w:p>
        </w:tc>
        <w:tc>
          <w:tcPr>
            <w:tcW w:w="2268" w:type="dxa"/>
            <w:vAlign w:val="center"/>
          </w:tcPr>
          <w:p>
            <w:pPr>
              <w:pStyle w:val="12"/>
            </w:pPr>
            <w:r>
              <w:t>≥5000万</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带动社会资金投资额</w:t>
            </w:r>
          </w:p>
        </w:tc>
        <w:tc>
          <w:tcPr>
            <w:tcW w:w="5386" w:type="dxa"/>
            <w:vAlign w:val="center"/>
          </w:tcPr>
          <w:p>
            <w:pPr>
              <w:pStyle w:val="12"/>
            </w:pPr>
            <w:r>
              <w:t>带动社会资金数额</w:t>
            </w:r>
          </w:p>
        </w:tc>
        <w:tc>
          <w:tcPr>
            <w:tcW w:w="2268" w:type="dxa"/>
            <w:vAlign w:val="center"/>
          </w:tcPr>
          <w:p>
            <w:pPr>
              <w:pStyle w:val="12"/>
            </w:pPr>
            <w:r>
              <w:t>≥4200万</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5、冀财建[2024]64号/中央资金/粮食仓储设施提升建设绩效目标表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13052524P00000410658H</w:t>
            </w:r>
          </w:p>
        </w:tc>
        <w:tc>
          <w:tcPr>
            <w:tcW w:w="2835" w:type="dxa"/>
            <w:vAlign w:val="center"/>
          </w:tcPr>
          <w:p>
            <w:pPr>
              <w:pStyle w:val="10"/>
            </w:pPr>
            <w:r>
              <w:t>项目名称</w:t>
            </w:r>
          </w:p>
        </w:tc>
        <w:tc>
          <w:tcPr>
            <w:tcW w:w="6095" w:type="dxa"/>
            <w:gridSpan w:val="3"/>
            <w:vAlign w:val="center"/>
          </w:tcPr>
          <w:p>
            <w:pPr>
              <w:pStyle w:val="12"/>
            </w:pPr>
            <w:r>
              <w:t>冀财建[2024]64号/中央资金/粮食仓储设施提升建设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购买仓库调温设备，保障粮食安全，保证粮食质量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1.保障储粮安全，推进绿色储粮，科学储粮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p>
        </w:tc>
        <w:tc>
          <w:tcPr>
            <w:tcW w:w="5386" w:type="dxa"/>
            <w:vAlign w:val="center"/>
          </w:tcPr>
          <w:p>
            <w:pPr>
              <w:pStyle w:val="12"/>
            </w:pPr>
            <w:r>
              <w:t>采购设备数量完成率</w:t>
            </w:r>
          </w:p>
        </w:tc>
        <w:tc>
          <w:tcPr>
            <w:tcW w:w="2268" w:type="dxa"/>
            <w:vAlign w:val="center"/>
          </w:tcPr>
          <w:p>
            <w:pPr>
              <w:pStyle w:val="12"/>
            </w:pPr>
            <w:r>
              <w:t>100%</w:t>
            </w:r>
          </w:p>
        </w:tc>
        <w:tc>
          <w:tcPr>
            <w:tcW w:w="1276" w:type="dxa"/>
            <w:vAlign w:val="center"/>
          </w:tcPr>
          <w:p>
            <w:pPr>
              <w:pStyle w:val="12"/>
            </w:pPr>
            <w:r>
              <w:t>资金申请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采购产品质量要求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采购要求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维护质量安全</w:t>
            </w:r>
          </w:p>
        </w:tc>
        <w:tc>
          <w:tcPr>
            <w:tcW w:w="5386" w:type="dxa"/>
            <w:vAlign w:val="center"/>
          </w:tcPr>
          <w:p>
            <w:pPr>
              <w:pStyle w:val="12"/>
            </w:pPr>
            <w:r>
              <w:t>维护质量安全</w:t>
            </w:r>
          </w:p>
        </w:tc>
        <w:tc>
          <w:tcPr>
            <w:tcW w:w="2268" w:type="dxa"/>
            <w:vAlign w:val="center"/>
          </w:tcPr>
          <w:p>
            <w:pPr>
              <w:pStyle w:val="12"/>
            </w:pPr>
            <w:r>
              <w:t>100%</w:t>
            </w:r>
          </w:p>
        </w:tc>
        <w:tc>
          <w:tcPr>
            <w:tcW w:w="1276" w:type="dxa"/>
            <w:vAlign w:val="center"/>
          </w:tcPr>
          <w:p>
            <w:pPr>
              <w:pStyle w:val="12"/>
            </w:pPr>
            <w:r>
              <w:t>采购产品质量要求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6、冀财建[2024]64号/中央资金/隆尧县粮食仓储建设绩效目标表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13052524P00000410650L</w:t>
            </w:r>
          </w:p>
        </w:tc>
        <w:tc>
          <w:tcPr>
            <w:tcW w:w="2835" w:type="dxa"/>
            <w:vAlign w:val="center"/>
          </w:tcPr>
          <w:p>
            <w:pPr>
              <w:pStyle w:val="10"/>
            </w:pPr>
            <w:r>
              <w:t>项目名称</w:t>
            </w:r>
          </w:p>
        </w:tc>
        <w:tc>
          <w:tcPr>
            <w:tcW w:w="6095" w:type="dxa"/>
            <w:gridSpan w:val="3"/>
            <w:vAlign w:val="center"/>
          </w:tcPr>
          <w:p>
            <w:pPr>
              <w:pStyle w:val="12"/>
            </w:pPr>
            <w:r>
              <w:t>冀财建[2024]64号/中央资金/隆尧县粮食仓储建设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建造仓储设施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1.提振国有粮食企业发展后劲，提升我县粮食安全保障能力，增强我县粮食抗风险能力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建设、改造、修缮工程量（平米、公里、个数、亩等）</w:t>
            </w:r>
          </w:p>
        </w:tc>
        <w:tc>
          <w:tcPr>
            <w:tcW w:w="2268" w:type="dxa"/>
            <w:vAlign w:val="center"/>
          </w:tcPr>
          <w:p>
            <w:pPr>
              <w:pStyle w:val="12"/>
            </w:pPr>
            <w:r>
              <w:t>1470平方米</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建设进度</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项目经营效益</w:t>
            </w:r>
          </w:p>
        </w:tc>
        <w:tc>
          <w:tcPr>
            <w:tcW w:w="5386" w:type="dxa"/>
            <w:vAlign w:val="center"/>
          </w:tcPr>
          <w:p>
            <w:pPr>
              <w:pStyle w:val="12"/>
            </w:pPr>
            <w:r>
              <w:t>总收益收入</w:t>
            </w:r>
          </w:p>
        </w:tc>
        <w:tc>
          <w:tcPr>
            <w:tcW w:w="2268" w:type="dxa"/>
            <w:vAlign w:val="center"/>
          </w:tcPr>
          <w:p>
            <w:pPr>
              <w:pStyle w:val="12"/>
            </w:pPr>
            <w:r>
              <w:t>≥75.7万元</w:t>
            </w:r>
          </w:p>
        </w:tc>
        <w:tc>
          <w:tcPr>
            <w:tcW w:w="1276" w:type="dxa"/>
            <w:vAlign w:val="center"/>
          </w:tcPr>
          <w:p>
            <w:pPr>
              <w:pStyle w:val="12"/>
            </w:pPr>
            <w:r>
              <w:t>事前评估报告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100%</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7、冀财建【2024】207号/超长期特别国债/5.5万锭精梳紧密赛络纺改扩建项目绩效目标表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13052524P000004107331</w:t>
            </w:r>
          </w:p>
        </w:tc>
        <w:tc>
          <w:tcPr>
            <w:tcW w:w="2835" w:type="dxa"/>
            <w:vAlign w:val="center"/>
          </w:tcPr>
          <w:p>
            <w:pPr>
              <w:pStyle w:val="10"/>
            </w:pPr>
            <w:r>
              <w:t>项目名称</w:t>
            </w:r>
          </w:p>
        </w:tc>
        <w:tc>
          <w:tcPr>
            <w:tcW w:w="6095" w:type="dxa"/>
            <w:gridSpan w:val="3"/>
            <w:vAlign w:val="center"/>
          </w:tcPr>
          <w:p>
            <w:pPr>
              <w:pStyle w:val="12"/>
            </w:pPr>
            <w:r>
              <w:t>冀财建【2024】207号/超长期特别国债/5.5万锭精梳紧密赛络纺改扩建项目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283.00</w:t>
            </w:r>
          </w:p>
        </w:tc>
        <w:tc>
          <w:tcPr>
            <w:tcW w:w="2835" w:type="dxa"/>
            <w:vAlign w:val="center"/>
          </w:tcPr>
          <w:p>
            <w:pPr>
              <w:pStyle w:val="10"/>
            </w:pPr>
            <w:r>
              <w:t>其中：财政    资金</w:t>
            </w:r>
          </w:p>
        </w:tc>
        <w:tc>
          <w:tcPr>
            <w:tcW w:w="2551" w:type="dxa"/>
            <w:vAlign w:val="center"/>
          </w:tcPr>
          <w:p>
            <w:pPr>
              <w:pStyle w:val="12"/>
            </w:pPr>
            <w:r>
              <w:t>283.00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支持企业设备改造，提升生产效率，促进企业发展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1.引导企业技术改造，推进更新设备工作，有效改善企业现状。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设备采购数量</w:t>
            </w:r>
          </w:p>
        </w:tc>
        <w:tc>
          <w:tcPr>
            <w:tcW w:w="2268" w:type="dxa"/>
            <w:vAlign w:val="center"/>
          </w:tcPr>
          <w:p>
            <w:pPr>
              <w:pStyle w:val="12"/>
            </w:pPr>
            <w:r>
              <w:t>≥70套</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283万元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生产效率提高率（％）</w:t>
            </w:r>
          </w:p>
        </w:tc>
        <w:tc>
          <w:tcPr>
            <w:tcW w:w="5386" w:type="dxa"/>
            <w:vAlign w:val="center"/>
          </w:tcPr>
          <w:p>
            <w:pPr>
              <w:pStyle w:val="12"/>
            </w:pPr>
            <w:r>
              <w:t>生产效率提高率</w:t>
            </w:r>
          </w:p>
        </w:tc>
        <w:tc>
          <w:tcPr>
            <w:tcW w:w="2268" w:type="dxa"/>
            <w:vAlign w:val="center"/>
          </w:tcPr>
          <w:p>
            <w:pPr>
              <w:pStyle w:val="12"/>
            </w:pPr>
            <w:r>
              <w:t>30%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增加就业</w:t>
            </w:r>
          </w:p>
        </w:tc>
        <w:tc>
          <w:tcPr>
            <w:tcW w:w="5386" w:type="dxa"/>
            <w:vAlign w:val="center"/>
          </w:tcPr>
          <w:p>
            <w:pPr>
              <w:pStyle w:val="12"/>
            </w:pPr>
            <w:r>
              <w:t>增加就业人员</w:t>
            </w:r>
          </w:p>
        </w:tc>
        <w:tc>
          <w:tcPr>
            <w:tcW w:w="2268" w:type="dxa"/>
            <w:vAlign w:val="center"/>
          </w:tcPr>
          <w:p>
            <w:pPr>
              <w:pStyle w:val="12"/>
            </w:pPr>
            <w:r>
              <w:t>60人</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综合成本降低</w:t>
            </w:r>
          </w:p>
        </w:tc>
        <w:tc>
          <w:tcPr>
            <w:tcW w:w="5386" w:type="dxa"/>
            <w:vAlign w:val="center"/>
          </w:tcPr>
          <w:p>
            <w:pPr>
              <w:pStyle w:val="12"/>
            </w:pPr>
            <w:r>
              <w:t>综合成本降低</w:t>
            </w:r>
          </w:p>
        </w:tc>
        <w:tc>
          <w:tcPr>
            <w:tcW w:w="2268" w:type="dxa"/>
            <w:vAlign w:val="center"/>
          </w:tcPr>
          <w:p>
            <w:pPr>
              <w:pStyle w:val="12"/>
            </w:pPr>
            <w:r>
              <w:t>126.52万kWh</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税收增加</w:t>
            </w:r>
          </w:p>
        </w:tc>
        <w:tc>
          <w:tcPr>
            <w:tcW w:w="5386" w:type="dxa"/>
            <w:vAlign w:val="center"/>
          </w:tcPr>
          <w:p>
            <w:pPr>
              <w:pStyle w:val="12"/>
            </w:pPr>
            <w:r>
              <w:t>税收增加</w:t>
            </w:r>
          </w:p>
        </w:tc>
        <w:tc>
          <w:tcPr>
            <w:tcW w:w="2268" w:type="dxa"/>
            <w:vAlign w:val="center"/>
          </w:tcPr>
          <w:p>
            <w:pPr>
              <w:pStyle w:val="12"/>
            </w:pPr>
            <w:r>
              <w:t>50万元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项目建设要求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8、冀财建【2024】207号/超长期特别国债/远大阀门复合制壳设备更新改造项目绩效目标表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13052524P00000410732D</w:t>
            </w:r>
          </w:p>
        </w:tc>
        <w:tc>
          <w:tcPr>
            <w:tcW w:w="2835" w:type="dxa"/>
            <w:vAlign w:val="center"/>
          </w:tcPr>
          <w:p>
            <w:pPr>
              <w:pStyle w:val="10"/>
            </w:pPr>
            <w:r>
              <w:t>项目名称</w:t>
            </w:r>
          </w:p>
        </w:tc>
        <w:tc>
          <w:tcPr>
            <w:tcW w:w="6095" w:type="dxa"/>
            <w:gridSpan w:val="3"/>
            <w:vAlign w:val="center"/>
          </w:tcPr>
          <w:p>
            <w:pPr>
              <w:pStyle w:val="12"/>
            </w:pPr>
            <w:r>
              <w:t>冀财建【2024】207号/超长期特别国债/远大阀门复合制壳设备更新改造项目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引导企业技术改造，推进更新设备工作，有限改善企业用能量减少。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1.引导企业技术改造，推进更新设备工作，有限改善企业用能量减少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设备采购数量</w:t>
            </w:r>
          </w:p>
        </w:tc>
        <w:tc>
          <w:tcPr>
            <w:tcW w:w="2268" w:type="dxa"/>
            <w:vAlign w:val="center"/>
          </w:tcPr>
          <w:p>
            <w:pPr>
              <w:pStyle w:val="12"/>
            </w:pPr>
            <w:r>
              <w:t>≥70套</w:t>
            </w:r>
          </w:p>
        </w:tc>
        <w:tc>
          <w:tcPr>
            <w:tcW w:w="1276" w:type="dxa"/>
            <w:vAlign w:val="center"/>
          </w:tcPr>
          <w:p>
            <w:pPr>
              <w:pStyle w:val="12"/>
            </w:pPr>
            <w:r>
              <w:t>项目建设内容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时效指标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200万元</w:t>
            </w:r>
          </w:p>
        </w:tc>
        <w:tc>
          <w:tcPr>
            <w:tcW w:w="1276" w:type="dxa"/>
            <w:vAlign w:val="center"/>
          </w:tcPr>
          <w:p>
            <w:pPr>
              <w:pStyle w:val="12"/>
            </w:pPr>
            <w:r>
              <w:t>资金文件要求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产值增加</w:t>
            </w:r>
          </w:p>
        </w:tc>
        <w:tc>
          <w:tcPr>
            <w:tcW w:w="5386" w:type="dxa"/>
            <w:vAlign w:val="center"/>
          </w:tcPr>
          <w:p>
            <w:pPr>
              <w:pStyle w:val="12"/>
            </w:pPr>
            <w:r>
              <w:t>产值增加</w:t>
            </w:r>
          </w:p>
        </w:tc>
        <w:tc>
          <w:tcPr>
            <w:tcW w:w="2268" w:type="dxa"/>
            <w:vAlign w:val="center"/>
          </w:tcPr>
          <w:p>
            <w:pPr>
              <w:pStyle w:val="12"/>
            </w:pPr>
            <w:r>
              <w:t>2000万元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能源消耗量减少</w:t>
            </w:r>
          </w:p>
        </w:tc>
        <w:tc>
          <w:tcPr>
            <w:tcW w:w="5386" w:type="dxa"/>
            <w:vAlign w:val="center"/>
          </w:tcPr>
          <w:p>
            <w:pPr>
              <w:pStyle w:val="12"/>
            </w:pPr>
            <w:r>
              <w:t>能源消耗量减少</w:t>
            </w:r>
          </w:p>
        </w:tc>
        <w:tc>
          <w:tcPr>
            <w:tcW w:w="2268" w:type="dxa"/>
            <w:vAlign w:val="center"/>
          </w:tcPr>
          <w:p>
            <w:pPr>
              <w:pStyle w:val="12"/>
            </w:pPr>
            <w:r>
              <w:t>≥126.52万kWh</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增加就业</w:t>
            </w:r>
          </w:p>
        </w:tc>
        <w:tc>
          <w:tcPr>
            <w:tcW w:w="5386" w:type="dxa"/>
            <w:vAlign w:val="center"/>
          </w:tcPr>
          <w:p>
            <w:pPr>
              <w:pStyle w:val="12"/>
            </w:pPr>
            <w:r>
              <w:t>增加就业人员</w:t>
            </w:r>
          </w:p>
        </w:tc>
        <w:tc>
          <w:tcPr>
            <w:tcW w:w="2268" w:type="dxa"/>
            <w:vAlign w:val="center"/>
          </w:tcPr>
          <w:p>
            <w:pPr>
              <w:pStyle w:val="12"/>
            </w:pPr>
            <w:r>
              <w:t>50人</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碳排放总量减少</w:t>
            </w:r>
          </w:p>
        </w:tc>
        <w:tc>
          <w:tcPr>
            <w:tcW w:w="5386" w:type="dxa"/>
            <w:vAlign w:val="center"/>
          </w:tcPr>
          <w:p>
            <w:pPr>
              <w:pStyle w:val="12"/>
            </w:pPr>
            <w:r>
              <w:t>碳排放总量减少</w:t>
            </w:r>
          </w:p>
        </w:tc>
        <w:tc>
          <w:tcPr>
            <w:tcW w:w="2268" w:type="dxa"/>
            <w:vAlign w:val="center"/>
          </w:tcPr>
          <w:p>
            <w:pPr>
              <w:pStyle w:val="12"/>
            </w:pPr>
            <w:r>
              <w:t>≥999.65tCO2</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项目建设要求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9、粮食安全责任制考核及粮食质量安全监测管理及流通执法绩效目标表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13052525P00000410243W</w:t>
            </w:r>
          </w:p>
        </w:tc>
        <w:tc>
          <w:tcPr>
            <w:tcW w:w="2835" w:type="dxa"/>
            <w:vAlign w:val="center"/>
          </w:tcPr>
          <w:p>
            <w:pPr>
              <w:pStyle w:val="10"/>
            </w:pPr>
            <w:r>
              <w:t>项目名称</w:t>
            </w:r>
          </w:p>
        </w:tc>
        <w:tc>
          <w:tcPr>
            <w:tcW w:w="6095" w:type="dxa"/>
            <w:gridSpan w:val="3"/>
            <w:vAlign w:val="center"/>
          </w:tcPr>
          <w:p>
            <w:pPr>
              <w:pStyle w:val="12"/>
            </w:pPr>
            <w:r>
              <w:t>粮食安全责任制考核及粮食质量安全监测管理及流通执法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粮食安全责任制考核及粮食流通检查经费，保障粮食安全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1.对全县粮食流通进行监督检查，做好粮食安全责任制考核，确保粮食安全</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5386" w:type="dxa"/>
            <w:vAlign w:val="center"/>
          </w:tcPr>
          <w:p>
            <w:pPr>
              <w:pStyle w:val="12"/>
            </w:pPr>
            <w:r>
              <w:t>检查企业数量/全县企业数量*100%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5386" w:type="dxa"/>
            <w:vAlign w:val="center"/>
          </w:tcPr>
          <w:p>
            <w:pPr>
              <w:pStyle w:val="12"/>
            </w:pPr>
            <w:r>
              <w:t>安全粮食数量/全县粮食数量*100%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按预算成本支出</w:t>
            </w:r>
          </w:p>
        </w:tc>
        <w:tc>
          <w:tcPr>
            <w:tcW w:w="2268" w:type="dxa"/>
            <w:vAlign w:val="center"/>
          </w:tcPr>
          <w:p>
            <w:pPr>
              <w:pStyle w:val="12"/>
            </w:pPr>
            <w:r>
              <w:t>≤1万元</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5386" w:type="dxa"/>
            <w:vAlign w:val="center"/>
          </w:tcPr>
          <w:p>
            <w:pPr>
              <w:pStyle w:val="12"/>
            </w:pPr>
            <w:r>
              <w:t>安全科学储粮数量占全部粮食数量比例</w:t>
            </w:r>
          </w:p>
        </w:tc>
        <w:tc>
          <w:tcPr>
            <w:tcW w:w="2268" w:type="dxa"/>
            <w:vAlign w:val="center"/>
          </w:tcPr>
          <w:p>
            <w:pPr>
              <w:pStyle w:val="12"/>
            </w:pPr>
            <w:r>
              <w:t>≥95%</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10、隆尧县建设数据子节点项目经费绩效目标表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13052525P000004102429</w:t>
            </w:r>
          </w:p>
        </w:tc>
        <w:tc>
          <w:tcPr>
            <w:tcW w:w="2835" w:type="dxa"/>
            <w:vAlign w:val="center"/>
          </w:tcPr>
          <w:p>
            <w:pPr>
              <w:pStyle w:val="10"/>
            </w:pPr>
            <w:r>
              <w:t>项目名称</w:t>
            </w:r>
          </w:p>
        </w:tc>
        <w:tc>
          <w:tcPr>
            <w:tcW w:w="6095" w:type="dxa"/>
            <w:gridSpan w:val="3"/>
            <w:vAlign w:val="center"/>
          </w:tcPr>
          <w:p>
            <w:pPr>
              <w:pStyle w:val="12"/>
            </w:pPr>
            <w:r>
              <w:t>隆尧县建设数据子节点项目经费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w:t>
            </w:r>
          </w:p>
        </w:tc>
        <w:tc>
          <w:tcPr>
            <w:tcW w:w="2835" w:type="dxa"/>
            <w:vAlign w:val="center"/>
          </w:tcPr>
          <w:p>
            <w:pPr>
              <w:pStyle w:val="10"/>
            </w:pPr>
            <w:r>
              <w:t>其中：财政    资金</w:t>
            </w:r>
          </w:p>
        </w:tc>
        <w:tc>
          <w:tcPr>
            <w:tcW w:w="2551" w:type="dxa"/>
            <w:vAlign w:val="center"/>
          </w:tcPr>
          <w:p>
            <w:pPr>
              <w:pStyle w:val="12"/>
            </w:pPr>
            <w:r>
              <w:t>28.50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建设数据子节点费用，最大程度提升力气便民水平。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1.建设数据汇聚子节点，实现省市数据归集工作的存放和接收，最大程度利企便民。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完成系统建设的数量</w:t>
            </w:r>
          </w:p>
        </w:tc>
        <w:tc>
          <w:tcPr>
            <w:tcW w:w="5386" w:type="dxa"/>
            <w:vAlign w:val="center"/>
          </w:tcPr>
          <w:p>
            <w:pPr>
              <w:pStyle w:val="12"/>
            </w:pPr>
            <w:r>
              <w:t>完成数据归集系统和可视化系统建设的数量</w:t>
            </w:r>
          </w:p>
        </w:tc>
        <w:tc>
          <w:tcPr>
            <w:tcW w:w="2268" w:type="dxa"/>
            <w:vAlign w:val="center"/>
          </w:tcPr>
          <w:p>
            <w:pPr>
              <w:pStyle w:val="12"/>
            </w:pPr>
            <w:r>
              <w:t>2个</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系统验收合格率</w:t>
            </w:r>
          </w:p>
        </w:tc>
        <w:tc>
          <w:tcPr>
            <w:tcW w:w="5386" w:type="dxa"/>
            <w:vAlign w:val="center"/>
          </w:tcPr>
          <w:p>
            <w:pPr>
              <w:pStyle w:val="12"/>
            </w:pPr>
            <w:r>
              <w:t>系统经测试合格率</w:t>
            </w:r>
          </w:p>
        </w:tc>
        <w:tc>
          <w:tcPr>
            <w:tcW w:w="2268" w:type="dxa"/>
            <w:vAlign w:val="center"/>
          </w:tcPr>
          <w:p>
            <w:pPr>
              <w:pStyle w:val="12"/>
            </w:pPr>
            <w:r>
              <w:t>100%</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按合同期限完成率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≤28.5万元</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公共服务水平得到极大提升</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资金申请项目建设的要求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11、隆尧县在建重点项目实施视频全覆盖绩效目标表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13052525P00000410241M</w:t>
            </w:r>
          </w:p>
        </w:tc>
        <w:tc>
          <w:tcPr>
            <w:tcW w:w="2835" w:type="dxa"/>
            <w:vAlign w:val="center"/>
          </w:tcPr>
          <w:p>
            <w:pPr>
              <w:pStyle w:val="10"/>
            </w:pPr>
            <w:r>
              <w:t>项目名称</w:t>
            </w:r>
          </w:p>
        </w:tc>
        <w:tc>
          <w:tcPr>
            <w:tcW w:w="6095" w:type="dxa"/>
            <w:gridSpan w:val="3"/>
            <w:vAlign w:val="center"/>
          </w:tcPr>
          <w:p>
            <w:pPr>
              <w:pStyle w:val="12"/>
            </w:pPr>
            <w:r>
              <w:t>隆尧县在建重点项目实施视频全覆盖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w:t>
            </w:r>
          </w:p>
        </w:tc>
        <w:tc>
          <w:tcPr>
            <w:tcW w:w="2835" w:type="dxa"/>
            <w:vAlign w:val="center"/>
          </w:tcPr>
          <w:p>
            <w:pPr>
              <w:pStyle w:val="10"/>
            </w:pPr>
            <w:r>
              <w:t>其中：财政    资金</w:t>
            </w:r>
          </w:p>
        </w:tc>
        <w:tc>
          <w:tcPr>
            <w:tcW w:w="2551" w:type="dxa"/>
            <w:vAlign w:val="center"/>
          </w:tcPr>
          <w:p>
            <w:pPr>
              <w:pStyle w:val="12"/>
            </w:pPr>
            <w:r>
              <w:t>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重点项目视频监控费用，促进重点项目发展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1.对全县重点在建项目实施视频全覆盖，促进项目建设发展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实施视频覆盖项目数量</w:t>
            </w:r>
          </w:p>
        </w:tc>
        <w:tc>
          <w:tcPr>
            <w:tcW w:w="5386" w:type="dxa"/>
            <w:vAlign w:val="center"/>
          </w:tcPr>
          <w:p>
            <w:pPr>
              <w:pStyle w:val="12"/>
            </w:pPr>
            <w:r>
              <w:t>上级要求实施视频覆盖项目个数（个）</w:t>
            </w:r>
          </w:p>
        </w:tc>
        <w:tc>
          <w:tcPr>
            <w:tcW w:w="2268" w:type="dxa"/>
            <w:vAlign w:val="center"/>
          </w:tcPr>
          <w:p>
            <w:pPr>
              <w:pStyle w:val="12"/>
            </w:pPr>
            <w:r>
              <w:t>11个</w:t>
            </w:r>
          </w:p>
        </w:tc>
        <w:tc>
          <w:tcPr>
            <w:tcW w:w="1276" w:type="dxa"/>
            <w:vAlign w:val="center"/>
          </w:tcPr>
          <w:p>
            <w:pPr>
              <w:pStyle w:val="12"/>
            </w:pPr>
            <w:r>
              <w:t>市重点办文件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5386" w:type="dxa"/>
            <w:vAlign w:val="center"/>
          </w:tcPr>
          <w:p>
            <w:pPr>
              <w:pStyle w:val="12"/>
            </w:pPr>
            <w:r>
              <w:t>视频精准化覆盖完成项目个数/应实施项目个数*100%</w:t>
            </w:r>
          </w:p>
        </w:tc>
        <w:tc>
          <w:tcPr>
            <w:tcW w:w="2268" w:type="dxa"/>
            <w:vAlign w:val="center"/>
          </w:tcPr>
          <w:p>
            <w:pPr>
              <w:pStyle w:val="12"/>
            </w:pPr>
            <w:r>
              <w:t>≥95%</w:t>
            </w:r>
          </w:p>
        </w:tc>
        <w:tc>
          <w:tcPr>
            <w:tcW w:w="1276" w:type="dxa"/>
            <w:vAlign w:val="center"/>
          </w:tcPr>
          <w:p>
            <w:pPr>
              <w:pStyle w:val="12"/>
            </w:pPr>
            <w:r>
              <w:t>市重点办文件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上级要求时间内任务完成及时率</w:t>
            </w:r>
          </w:p>
        </w:tc>
        <w:tc>
          <w:tcPr>
            <w:tcW w:w="2268" w:type="dxa"/>
            <w:vAlign w:val="center"/>
          </w:tcPr>
          <w:p>
            <w:pPr>
              <w:pStyle w:val="12"/>
            </w:pPr>
            <w:r>
              <w:t>≥95%</w:t>
            </w:r>
          </w:p>
        </w:tc>
        <w:tc>
          <w:tcPr>
            <w:tcW w:w="1276" w:type="dxa"/>
            <w:vAlign w:val="center"/>
          </w:tcPr>
          <w:p>
            <w:pPr>
              <w:pStyle w:val="12"/>
            </w:pPr>
            <w:r>
              <w:t>上级要求及合同约定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实施重点项目视频全覆盖的总成本</w:t>
            </w:r>
          </w:p>
        </w:tc>
        <w:tc>
          <w:tcPr>
            <w:tcW w:w="2268" w:type="dxa"/>
            <w:vAlign w:val="center"/>
          </w:tcPr>
          <w:p>
            <w:pPr>
              <w:pStyle w:val="12"/>
            </w:pPr>
            <w:r>
              <w:t>≤7.6万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实施视频全覆盖项目对经济发展的带动作用</w:t>
            </w:r>
          </w:p>
        </w:tc>
        <w:tc>
          <w:tcPr>
            <w:tcW w:w="2268" w:type="dxa"/>
            <w:vAlign w:val="center"/>
          </w:tcPr>
          <w:p>
            <w:pPr>
              <w:pStyle w:val="12"/>
            </w:pPr>
            <w:r>
              <w:t>≥3%</w:t>
            </w:r>
          </w:p>
        </w:tc>
        <w:tc>
          <w:tcPr>
            <w:tcW w:w="1276" w:type="dxa"/>
            <w:vAlign w:val="center"/>
          </w:tcPr>
          <w:p>
            <w:pPr>
              <w:pStyle w:val="12"/>
            </w:pPr>
            <w:r>
              <w:t>依据历史经验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企业对实施重点项目全覆盖的满意度</w:t>
            </w:r>
          </w:p>
        </w:tc>
        <w:tc>
          <w:tcPr>
            <w:tcW w:w="2268" w:type="dxa"/>
            <w:vAlign w:val="center"/>
          </w:tcPr>
          <w:p>
            <w:pPr>
              <w:pStyle w:val="12"/>
            </w:pPr>
            <w:r>
              <w:t>≥90%</w:t>
            </w:r>
          </w:p>
        </w:tc>
        <w:tc>
          <w:tcPr>
            <w:tcW w:w="1276" w:type="dxa"/>
            <w:vAlign w:val="center"/>
          </w:tcPr>
          <w:p>
            <w:pPr>
              <w:pStyle w:val="12"/>
            </w:pPr>
            <w:r>
              <w:t>依据历史经验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12、全县食盐储备资金项目绩效目标表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13052525P000004102402</w:t>
            </w:r>
          </w:p>
        </w:tc>
        <w:tc>
          <w:tcPr>
            <w:tcW w:w="2835" w:type="dxa"/>
            <w:vAlign w:val="center"/>
          </w:tcPr>
          <w:p>
            <w:pPr>
              <w:pStyle w:val="10"/>
            </w:pPr>
            <w:r>
              <w:t>项目名称</w:t>
            </w:r>
          </w:p>
        </w:tc>
        <w:tc>
          <w:tcPr>
            <w:tcW w:w="6095" w:type="dxa"/>
            <w:gridSpan w:val="3"/>
            <w:vAlign w:val="center"/>
          </w:tcPr>
          <w:p>
            <w:pPr>
              <w:pStyle w:val="12"/>
            </w:pPr>
            <w:r>
              <w:t>全县食盐储备资金项目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全县食盐储备费用，维护市场稳定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1.保证食盐储备，促进市场稳定。</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5386" w:type="dxa"/>
            <w:vAlign w:val="center"/>
          </w:tcPr>
          <w:p>
            <w:pPr>
              <w:pStyle w:val="12"/>
            </w:pPr>
            <w:r>
              <w:t>储存食盐数量（吨）</w:t>
            </w:r>
          </w:p>
        </w:tc>
        <w:tc>
          <w:tcPr>
            <w:tcW w:w="2268" w:type="dxa"/>
            <w:vAlign w:val="center"/>
          </w:tcPr>
          <w:p>
            <w:pPr>
              <w:pStyle w:val="12"/>
            </w:pPr>
            <w:r>
              <w:t>≥150吨</w:t>
            </w:r>
          </w:p>
        </w:tc>
        <w:tc>
          <w:tcPr>
            <w:tcW w:w="1276" w:type="dxa"/>
            <w:vAlign w:val="center"/>
          </w:tcPr>
          <w:p>
            <w:pPr>
              <w:pStyle w:val="12"/>
            </w:pPr>
            <w:r>
              <w:t>食盐储备要求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储备食盐合格数量/储备食盐数量*100%</w:t>
            </w:r>
          </w:p>
        </w:tc>
        <w:tc>
          <w:tcPr>
            <w:tcW w:w="2268" w:type="dxa"/>
            <w:vAlign w:val="center"/>
          </w:tcPr>
          <w:p>
            <w:pPr>
              <w:pStyle w:val="12"/>
            </w:pPr>
            <w:r>
              <w:t>100%</w:t>
            </w:r>
          </w:p>
        </w:tc>
        <w:tc>
          <w:tcPr>
            <w:tcW w:w="1276" w:type="dxa"/>
            <w:vAlign w:val="center"/>
          </w:tcPr>
          <w:p>
            <w:pPr>
              <w:pStyle w:val="12"/>
            </w:pPr>
            <w:r>
              <w:t>食盐储备要求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5386" w:type="dxa"/>
            <w:vAlign w:val="center"/>
          </w:tcPr>
          <w:p>
            <w:pPr>
              <w:pStyle w:val="12"/>
            </w:pPr>
            <w:r>
              <w:t>食盐市场价格稳定情况</w:t>
            </w:r>
          </w:p>
        </w:tc>
        <w:tc>
          <w:tcPr>
            <w:tcW w:w="2268" w:type="dxa"/>
            <w:vAlign w:val="center"/>
          </w:tcPr>
          <w:p>
            <w:pPr>
              <w:pStyle w:val="12"/>
            </w:pPr>
            <w:r>
              <w:t>100市场稳定</w:t>
            </w:r>
          </w:p>
        </w:tc>
        <w:tc>
          <w:tcPr>
            <w:tcW w:w="1276" w:type="dxa"/>
            <w:vAlign w:val="center"/>
          </w:tcPr>
          <w:p>
            <w:pPr>
              <w:pStyle w:val="12"/>
            </w:pPr>
            <w:r>
              <w:t>食盐储备目标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食盐储备项目成本</w:t>
            </w:r>
          </w:p>
        </w:tc>
        <w:tc>
          <w:tcPr>
            <w:tcW w:w="2268" w:type="dxa"/>
            <w:vAlign w:val="center"/>
          </w:tcPr>
          <w:p>
            <w:pPr>
              <w:pStyle w:val="12"/>
            </w:pPr>
            <w:r>
              <w:t>7万元</w:t>
            </w:r>
          </w:p>
        </w:tc>
        <w:tc>
          <w:tcPr>
            <w:tcW w:w="1276" w:type="dxa"/>
            <w:vAlign w:val="center"/>
          </w:tcPr>
          <w:p>
            <w:pPr>
              <w:pStyle w:val="12"/>
            </w:pPr>
            <w:r>
              <w:t>2025年初预算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食盐储备应急保障率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13、全县重点项目建设经费绩效目标表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13052525P00000410237F</w:t>
            </w:r>
          </w:p>
        </w:tc>
        <w:tc>
          <w:tcPr>
            <w:tcW w:w="2835" w:type="dxa"/>
            <w:vAlign w:val="center"/>
          </w:tcPr>
          <w:p>
            <w:pPr>
              <w:pStyle w:val="10"/>
            </w:pPr>
            <w:r>
              <w:t>项目名称</w:t>
            </w:r>
          </w:p>
        </w:tc>
        <w:tc>
          <w:tcPr>
            <w:tcW w:w="6095" w:type="dxa"/>
            <w:gridSpan w:val="3"/>
            <w:vAlign w:val="center"/>
          </w:tcPr>
          <w:p>
            <w:pPr>
              <w:pStyle w:val="12"/>
            </w:pPr>
            <w:r>
              <w:t>全县重点项目建设经费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重点项目建设经费，推动项目建设，促进经济发展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1.积极谋划，争列省市重点，积极推动重点项目建设，促进经济发展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5386" w:type="dxa"/>
            <w:vAlign w:val="center"/>
          </w:tcPr>
          <w:p>
            <w:pPr>
              <w:pStyle w:val="12"/>
            </w:pPr>
            <w:r>
              <w:t>全年新开工项目个数</w:t>
            </w:r>
          </w:p>
        </w:tc>
        <w:tc>
          <w:tcPr>
            <w:tcW w:w="2268" w:type="dxa"/>
            <w:vAlign w:val="center"/>
          </w:tcPr>
          <w:p>
            <w:pPr>
              <w:pStyle w:val="12"/>
            </w:pPr>
            <w:r>
              <w:t>≥50个</w:t>
            </w:r>
          </w:p>
        </w:tc>
        <w:tc>
          <w:tcPr>
            <w:tcW w:w="1276" w:type="dxa"/>
            <w:vAlign w:val="center"/>
          </w:tcPr>
          <w:p>
            <w:pPr>
              <w:pStyle w:val="12"/>
            </w:pPr>
            <w:r>
              <w:t>全年计划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项目完工验收合格率</w:t>
            </w:r>
          </w:p>
        </w:tc>
        <w:tc>
          <w:tcPr>
            <w:tcW w:w="2268" w:type="dxa"/>
            <w:vAlign w:val="center"/>
          </w:tcPr>
          <w:p>
            <w:pPr>
              <w:pStyle w:val="12"/>
            </w:pPr>
            <w:r>
              <w:t>≥95%</w:t>
            </w:r>
          </w:p>
        </w:tc>
        <w:tc>
          <w:tcPr>
            <w:tcW w:w="1276" w:type="dxa"/>
            <w:vAlign w:val="center"/>
          </w:tcPr>
          <w:p>
            <w:pPr>
              <w:pStyle w:val="12"/>
            </w:pPr>
            <w:r>
              <w:t>项目验收率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5386" w:type="dxa"/>
            <w:vAlign w:val="center"/>
          </w:tcPr>
          <w:p>
            <w:pPr>
              <w:pStyle w:val="12"/>
            </w:pPr>
            <w:r>
              <w:t>全年项目完工率</w:t>
            </w:r>
          </w:p>
        </w:tc>
        <w:tc>
          <w:tcPr>
            <w:tcW w:w="2268" w:type="dxa"/>
            <w:vAlign w:val="center"/>
          </w:tcPr>
          <w:p>
            <w:pPr>
              <w:pStyle w:val="12"/>
            </w:pPr>
            <w:r>
              <w:t>≥40%</w:t>
            </w:r>
          </w:p>
        </w:tc>
        <w:tc>
          <w:tcPr>
            <w:tcW w:w="1276" w:type="dxa"/>
            <w:vAlign w:val="center"/>
          </w:tcPr>
          <w:p>
            <w:pPr>
              <w:pStyle w:val="12"/>
            </w:pPr>
            <w:r>
              <w:t>项目完工率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5386" w:type="dxa"/>
            <w:vAlign w:val="center"/>
          </w:tcPr>
          <w:p>
            <w:pPr>
              <w:pStyle w:val="12"/>
            </w:pPr>
            <w:r>
              <w:t>全年项目经费总投入</w:t>
            </w:r>
          </w:p>
        </w:tc>
        <w:tc>
          <w:tcPr>
            <w:tcW w:w="2268" w:type="dxa"/>
            <w:vAlign w:val="center"/>
          </w:tcPr>
          <w:p>
            <w:pPr>
              <w:pStyle w:val="12"/>
            </w:pPr>
            <w:r>
              <w:t>≤8万</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5386" w:type="dxa"/>
            <w:vAlign w:val="center"/>
          </w:tcPr>
          <w:p>
            <w:pPr>
              <w:pStyle w:val="12"/>
            </w:pPr>
            <w:r>
              <w:t>拉动经济增长百分比</w:t>
            </w:r>
          </w:p>
        </w:tc>
        <w:tc>
          <w:tcPr>
            <w:tcW w:w="2268" w:type="dxa"/>
            <w:vAlign w:val="center"/>
          </w:tcPr>
          <w:p>
            <w:pPr>
              <w:pStyle w:val="12"/>
            </w:pPr>
            <w:r>
              <w:t>≥3%</w:t>
            </w:r>
          </w:p>
        </w:tc>
        <w:tc>
          <w:tcPr>
            <w:tcW w:w="1276" w:type="dxa"/>
            <w:vAlign w:val="center"/>
          </w:tcPr>
          <w:p>
            <w:pPr>
              <w:pStyle w:val="12"/>
            </w:pPr>
            <w:r>
              <w:t>官方公布经济数据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14、燃气补贴资金绩效目标表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13052525P00000410247B</w:t>
            </w:r>
          </w:p>
        </w:tc>
        <w:tc>
          <w:tcPr>
            <w:tcW w:w="2835" w:type="dxa"/>
            <w:vAlign w:val="center"/>
          </w:tcPr>
          <w:p>
            <w:pPr>
              <w:pStyle w:val="10"/>
            </w:pPr>
            <w:r>
              <w:t>项目名称</w:t>
            </w:r>
          </w:p>
        </w:tc>
        <w:tc>
          <w:tcPr>
            <w:tcW w:w="6095" w:type="dxa"/>
            <w:gridSpan w:val="3"/>
            <w:vAlign w:val="center"/>
          </w:tcPr>
          <w:p>
            <w:pPr>
              <w:pStyle w:val="12"/>
            </w:pPr>
            <w:r>
              <w:t>燃气补贴资金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燃气补贴资金，保障居民取暖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1.保障2025年燃气供应，保障居民正常取暖，维护社会稳定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2268" w:type="dxa"/>
            <w:vAlign w:val="center"/>
          </w:tcPr>
          <w:p>
            <w:pPr>
              <w:pStyle w:val="12"/>
            </w:pPr>
            <w:r>
              <w:t>100%</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邢台市2023-2024年度采暖季燃气补贴企业气价补贴指导意见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15、上年盘活/冀财建[2024]64号/中央资金/隆尧县粮食仓储建设绩效目标表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13052525P00000410225C</w:t>
            </w:r>
          </w:p>
        </w:tc>
        <w:tc>
          <w:tcPr>
            <w:tcW w:w="2835" w:type="dxa"/>
            <w:vAlign w:val="center"/>
          </w:tcPr>
          <w:p>
            <w:pPr>
              <w:pStyle w:val="10"/>
            </w:pPr>
            <w:r>
              <w:t>项目名称</w:t>
            </w:r>
          </w:p>
        </w:tc>
        <w:tc>
          <w:tcPr>
            <w:tcW w:w="6095" w:type="dxa"/>
            <w:gridSpan w:val="3"/>
            <w:vAlign w:val="center"/>
          </w:tcPr>
          <w:p>
            <w:pPr>
              <w:pStyle w:val="12"/>
            </w:pPr>
            <w:r>
              <w:t>上年盘活/冀财建[2024]64号/中央资金/隆尧县粮食仓储建设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建设粮库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1.提振国有粮食企业发展后劲，提升我县粮食安全保障能力，增强我县粮食抗风险能力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建设、改造、修缮工程量（平米、公里、个数、亩等）</w:t>
            </w:r>
          </w:p>
        </w:tc>
        <w:tc>
          <w:tcPr>
            <w:tcW w:w="2268" w:type="dxa"/>
            <w:vAlign w:val="center"/>
          </w:tcPr>
          <w:p>
            <w:pPr>
              <w:pStyle w:val="12"/>
            </w:pPr>
            <w:r>
              <w:t>1470平方米</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项目验收合格情况</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建设进度</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总投资小于等于200万元</w:t>
            </w:r>
          </w:p>
        </w:tc>
        <w:tc>
          <w:tcPr>
            <w:tcW w:w="2268" w:type="dxa"/>
            <w:vAlign w:val="center"/>
          </w:tcPr>
          <w:p>
            <w:pPr>
              <w:pStyle w:val="12"/>
            </w:pPr>
            <w:r>
              <w:t>≤200万元</w:t>
            </w:r>
          </w:p>
        </w:tc>
        <w:tc>
          <w:tcPr>
            <w:tcW w:w="1276" w:type="dxa"/>
            <w:vAlign w:val="center"/>
          </w:tcPr>
          <w:p>
            <w:pPr>
              <w:pStyle w:val="12"/>
            </w:pPr>
            <w:r>
              <w:t>项目立项批复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项目经营效益</w:t>
            </w:r>
          </w:p>
        </w:tc>
        <w:tc>
          <w:tcPr>
            <w:tcW w:w="5386" w:type="dxa"/>
            <w:vAlign w:val="center"/>
          </w:tcPr>
          <w:p>
            <w:pPr>
              <w:pStyle w:val="12"/>
            </w:pPr>
            <w:r>
              <w:t>总收益收入</w:t>
            </w:r>
          </w:p>
        </w:tc>
        <w:tc>
          <w:tcPr>
            <w:tcW w:w="2268" w:type="dxa"/>
            <w:vAlign w:val="center"/>
          </w:tcPr>
          <w:p>
            <w:pPr>
              <w:pStyle w:val="12"/>
            </w:pPr>
            <w:r>
              <w:t>≥75.7万元</w:t>
            </w:r>
          </w:p>
        </w:tc>
        <w:tc>
          <w:tcPr>
            <w:tcW w:w="1276" w:type="dxa"/>
            <w:vAlign w:val="center"/>
          </w:tcPr>
          <w:p>
            <w:pPr>
              <w:pStyle w:val="12"/>
            </w:pPr>
            <w:r>
              <w:t>事前评估报告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100%</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16、县级储备粮利息和储存费用绩效目标表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13052525P00000410251H</w:t>
            </w:r>
          </w:p>
        </w:tc>
        <w:tc>
          <w:tcPr>
            <w:tcW w:w="2835" w:type="dxa"/>
            <w:vAlign w:val="center"/>
          </w:tcPr>
          <w:p>
            <w:pPr>
              <w:pStyle w:val="10"/>
            </w:pPr>
            <w:r>
              <w:t>项目名称</w:t>
            </w:r>
          </w:p>
        </w:tc>
        <w:tc>
          <w:tcPr>
            <w:tcW w:w="6095" w:type="dxa"/>
            <w:gridSpan w:val="3"/>
            <w:vAlign w:val="center"/>
          </w:tcPr>
          <w:p>
            <w:pPr>
              <w:pStyle w:val="12"/>
            </w:pPr>
            <w:r>
              <w:t>县级储备粮利息和储存费用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280.50</w:t>
            </w:r>
          </w:p>
        </w:tc>
        <w:tc>
          <w:tcPr>
            <w:tcW w:w="2835" w:type="dxa"/>
            <w:vAlign w:val="center"/>
          </w:tcPr>
          <w:p>
            <w:pPr>
              <w:pStyle w:val="10"/>
            </w:pPr>
            <w:r>
              <w:t>其中：财政    资金</w:t>
            </w:r>
          </w:p>
        </w:tc>
        <w:tc>
          <w:tcPr>
            <w:tcW w:w="2551" w:type="dxa"/>
            <w:vAlign w:val="center"/>
          </w:tcPr>
          <w:p>
            <w:pPr>
              <w:pStyle w:val="12"/>
            </w:pPr>
            <w:r>
              <w:t>280.50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县级储备粮利息和储存费用，保障粮食安全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1.落实县级储备粮政策，保障粮食安全，维护社会稳定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储备粮食数量</w:t>
            </w:r>
          </w:p>
        </w:tc>
        <w:tc>
          <w:tcPr>
            <w:tcW w:w="5386" w:type="dxa"/>
            <w:vAlign w:val="center"/>
          </w:tcPr>
          <w:p>
            <w:pPr>
              <w:pStyle w:val="12"/>
            </w:pPr>
            <w:r>
              <w:t>落实县级储备粮食数量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≤280.5万元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落实粮食储备政策，维护社会稳定水平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17、县级储备粮轮换费用绩效目标表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13052525P000004102525</w:t>
            </w:r>
          </w:p>
        </w:tc>
        <w:tc>
          <w:tcPr>
            <w:tcW w:w="2835" w:type="dxa"/>
            <w:vAlign w:val="center"/>
          </w:tcPr>
          <w:p>
            <w:pPr>
              <w:pStyle w:val="10"/>
            </w:pPr>
            <w:r>
              <w:t>项目名称</w:t>
            </w:r>
          </w:p>
        </w:tc>
        <w:tc>
          <w:tcPr>
            <w:tcW w:w="6095" w:type="dxa"/>
            <w:gridSpan w:val="3"/>
            <w:vAlign w:val="center"/>
          </w:tcPr>
          <w:p>
            <w:pPr>
              <w:pStyle w:val="12"/>
            </w:pPr>
            <w:r>
              <w:t>县级储备粮轮换费用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85.34</w:t>
            </w:r>
          </w:p>
        </w:tc>
        <w:tc>
          <w:tcPr>
            <w:tcW w:w="2835" w:type="dxa"/>
            <w:vAlign w:val="center"/>
          </w:tcPr>
          <w:p>
            <w:pPr>
              <w:pStyle w:val="10"/>
            </w:pPr>
            <w:r>
              <w:t>其中：财政    资金</w:t>
            </w:r>
          </w:p>
        </w:tc>
        <w:tc>
          <w:tcPr>
            <w:tcW w:w="2551" w:type="dxa"/>
            <w:vAlign w:val="center"/>
          </w:tcPr>
          <w:p>
            <w:pPr>
              <w:pStyle w:val="12"/>
            </w:pPr>
            <w:r>
              <w:t>85.34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储备粮轮换费用，保障粮食安全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1.落实粮食定期轮换政策，维护粮食安全，保障社会稳定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轮换粮食数量</w:t>
            </w:r>
          </w:p>
        </w:tc>
        <w:tc>
          <w:tcPr>
            <w:tcW w:w="5386" w:type="dxa"/>
            <w:vAlign w:val="center"/>
          </w:tcPr>
          <w:p>
            <w:pPr>
              <w:pStyle w:val="12"/>
            </w:pPr>
            <w:r>
              <w:t>定期轮换粮食数量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≤85.33万元</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落实粮食轮换政策，维护社会稳定水平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群众对粮食轮换政策满意度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303001隆尧县发展和改革局本级</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公用经费一</w:t>
            </w:r>
          </w:p>
        </w:tc>
        <w:tc>
          <w:tcPr>
            <w:tcW w:w="964" w:type="dxa"/>
            <w:vAlign w:val="center"/>
          </w:tcPr>
          <w:p>
            <w:pPr>
              <w:pStyle w:val="11"/>
            </w:pPr>
            <w:r>
              <w:t>10.18</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张</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隆尧县发展和改革局本级上年末固定资产金额为0.00万元（详见下表）。本年度拟购置固定资产总额为0.00万元，已按要求列入政府采购预算，详见政府采购预算表。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303001隆尧县发展和改革局本级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33B56"/>
    <w:rsid w:val="002F5288"/>
    <w:rsid w:val="00633B56"/>
    <w:rsid w:val="6AD0729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46</Pages>
  <Words>6187</Words>
  <Characters>35271</Characters>
  <Lines>293</Lines>
  <Paragraphs>82</Paragraphs>
  <TotalTime>0</TotalTime>
  <ScaleCrop>false</ScaleCrop>
  <LinksUpToDate>false</LinksUpToDate>
  <CharactersWithSpaces>41376</CharactersWithSpaces>
  <Application>WPS Office_11.8.2.12300_F1E327BC-269C-435d-A152-05C5408002CA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2025-02-26T06:52:00Z</dcterms:created>
  <dc:creator>Administrator</dc:creator>
  <cp:lastModifiedBy>-.-</cp:lastModifiedBy>
  <dcterms:modified xsi:type="dcterms:W3CDTF">2025-02-26T07:17:00Z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2052-11.8.2.12300</vt:lpwstr>
  </property>
  <property fmtid="{D5CDD505-2E9C-101B-9397-08002B2CF9AE}" pid="3" name="ICV">
    <vt:lpwstr>A0E18C9D4A494A20B7E2527696808AFE</vt:lpwstr>
  </property>
</Properties>
</file>