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713隆尧县妇女联合会</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65.49</w:t>
            </w:r>
          </w:p>
        </w:tc>
        <w:tc>
          <w:tcPr>
            <w:tcW w:w="4535" w:type="dxa"/>
            <w:vAlign w:val="center"/>
          </w:tcPr>
          <w:p>
            <w:pPr>
              <w:pStyle w:val="14"/>
            </w:pPr>
            <w:r>
              <w:t>一、一般公共服务支出</w:t>
            </w:r>
          </w:p>
        </w:tc>
        <w:tc>
          <w:tcPr>
            <w:tcW w:w="2126" w:type="dxa"/>
            <w:vAlign w:val="center"/>
          </w:tcPr>
          <w:p>
            <w:pPr>
              <w:pStyle w:val="13"/>
            </w:pPr>
            <w:r>
              <w:t>53.09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65.49</w:t>
            </w:r>
          </w:p>
        </w:tc>
        <w:tc>
          <w:tcPr>
            <w:tcW w:w="4535" w:type="dxa"/>
            <w:vAlign w:val="center"/>
          </w:tcPr>
          <w:p>
            <w:pPr>
              <w:pStyle w:val="16"/>
            </w:pPr>
            <w:r>
              <w:t>本年支出合计</w:t>
            </w:r>
          </w:p>
        </w:tc>
        <w:tc>
          <w:tcPr>
            <w:tcW w:w="2126" w:type="dxa"/>
            <w:vAlign w:val="center"/>
          </w:tcPr>
          <w:p>
            <w:pPr>
              <w:pStyle w:val="17"/>
            </w:pPr>
            <w:r>
              <w:t>65.49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65.49</w:t>
            </w:r>
          </w:p>
        </w:tc>
        <w:tc>
          <w:tcPr>
            <w:tcW w:w="4535" w:type="dxa"/>
            <w:vAlign w:val="center"/>
          </w:tcPr>
          <w:p>
            <w:pPr>
              <w:pStyle w:val="16"/>
            </w:pPr>
            <w:r>
              <w:t>支出总计</w:t>
            </w:r>
          </w:p>
        </w:tc>
        <w:tc>
          <w:tcPr>
            <w:tcW w:w="2126" w:type="dxa"/>
            <w:vAlign w:val="center"/>
          </w:tcPr>
          <w:p>
            <w:pPr>
              <w:pStyle w:val="17"/>
            </w:pPr>
            <w:r>
              <w:t>65.49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01"/>
        <w:gridCol w:w="1965"/>
        <w:gridCol w:w="810"/>
        <w:gridCol w:w="943"/>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713隆尧县妇女联合会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3066" w:type="dxa"/>
            <w:gridSpan w:val="2"/>
            <w:vAlign w:val="center"/>
          </w:tcPr>
          <w:p>
            <w:pPr>
              <w:pStyle w:val="12"/>
            </w:pPr>
            <w:r>
              <w:t>功能分类科目</w:t>
            </w:r>
          </w:p>
        </w:tc>
        <w:tc>
          <w:tcPr>
            <w:tcW w:w="810" w:type="dxa"/>
            <w:vMerge w:val="restart"/>
            <w:vAlign w:val="center"/>
          </w:tcPr>
          <w:p>
            <w:pPr>
              <w:pStyle w:val="12"/>
            </w:pPr>
            <w:r>
              <w:t>合计</w:t>
            </w:r>
          </w:p>
        </w:tc>
        <w:tc>
          <w:tcPr>
            <w:tcW w:w="888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01" w:type="dxa"/>
            <w:vAlign w:val="center"/>
          </w:tcPr>
          <w:p>
            <w:pPr>
              <w:pStyle w:val="12"/>
            </w:pPr>
            <w:r>
              <w:t>科目    编码</w:t>
            </w:r>
          </w:p>
        </w:tc>
        <w:tc>
          <w:tcPr>
            <w:tcW w:w="1965" w:type="dxa"/>
            <w:vAlign w:val="center"/>
          </w:tcPr>
          <w:p>
            <w:pPr>
              <w:pStyle w:val="12"/>
            </w:pPr>
            <w:r>
              <w:t>科目名称</w:t>
            </w:r>
          </w:p>
        </w:tc>
        <w:tc>
          <w:tcPr>
            <w:tcW w:w="810" w:type="dxa"/>
            <w:vMerge w:val="continue"/>
          </w:tcPr>
          <w:p/>
        </w:tc>
        <w:tc>
          <w:tcPr>
            <w:tcW w:w="943"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1101" w:type="dxa"/>
            <w:vAlign w:val="center"/>
          </w:tcPr>
          <w:p>
            <w:pPr>
              <w:pStyle w:val="12"/>
            </w:pPr>
            <w:r>
              <w:t>1</w:t>
            </w:r>
          </w:p>
        </w:tc>
        <w:tc>
          <w:tcPr>
            <w:tcW w:w="1965" w:type="dxa"/>
            <w:vAlign w:val="center"/>
          </w:tcPr>
          <w:p>
            <w:pPr>
              <w:pStyle w:val="12"/>
            </w:pPr>
            <w:r>
              <w:t>2</w:t>
            </w:r>
          </w:p>
        </w:tc>
        <w:tc>
          <w:tcPr>
            <w:tcW w:w="810" w:type="dxa"/>
            <w:vAlign w:val="center"/>
          </w:tcPr>
          <w:p>
            <w:pPr>
              <w:pStyle w:val="12"/>
            </w:pPr>
            <w:r>
              <w:t>3</w:t>
            </w:r>
          </w:p>
        </w:tc>
        <w:tc>
          <w:tcPr>
            <w:tcW w:w="943"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1101" w:type="dxa"/>
            <w:vAlign w:val="center"/>
          </w:tcPr>
          <w:p>
            <w:pPr>
              <w:pStyle w:val="18"/>
            </w:pPr>
          </w:p>
        </w:tc>
        <w:tc>
          <w:tcPr>
            <w:tcW w:w="1965" w:type="dxa"/>
            <w:vAlign w:val="center"/>
          </w:tcPr>
          <w:p>
            <w:pPr>
              <w:pStyle w:val="16"/>
            </w:pPr>
            <w:r>
              <w:t>合计</w:t>
            </w:r>
          </w:p>
        </w:tc>
        <w:tc>
          <w:tcPr>
            <w:tcW w:w="810" w:type="dxa"/>
            <w:vAlign w:val="center"/>
          </w:tcPr>
          <w:p>
            <w:pPr>
              <w:pStyle w:val="17"/>
            </w:pPr>
            <w:r>
              <w:t>65.49</w:t>
            </w:r>
          </w:p>
        </w:tc>
        <w:tc>
          <w:tcPr>
            <w:tcW w:w="943" w:type="dxa"/>
            <w:vAlign w:val="center"/>
          </w:tcPr>
          <w:p>
            <w:pPr>
              <w:pStyle w:val="17"/>
            </w:pPr>
            <w:r>
              <w:t>65.49</w:t>
            </w:r>
          </w:p>
        </w:tc>
        <w:tc>
          <w:tcPr>
            <w:tcW w:w="1134" w:type="dxa"/>
            <w:vAlign w:val="center"/>
          </w:tcPr>
          <w:p>
            <w:pPr>
              <w:pStyle w:val="17"/>
            </w:pPr>
            <w:r>
              <w:t>65.49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1101" w:type="dxa"/>
            <w:vAlign w:val="center"/>
          </w:tcPr>
          <w:p>
            <w:pPr>
              <w:pStyle w:val="14"/>
            </w:pPr>
            <w:r>
              <w:t>201</w:t>
            </w:r>
          </w:p>
        </w:tc>
        <w:tc>
          <w:tcPr>
            <w:tcW w:w="1965" w:type="dxa"/>
            <w:vAlign w:val="center"/>
          </w:tcPr>
          <w:p>
            <w:pPr>
              <w:pStyle w:val="14"/>
            </w:pPr>
            <w:r>
              <w:t>一般公共服务支出</w:t>
            </w:r>
          </w:p>
        </w:tc>
        <w:tc>
          <w:tcPr>
            <w:tcW w:w="810" w:type="dxa"/>
            <w:vAlign w:val="center"/>
          </w:tcPr>
          <w:p>
            <w:pPr>
              <w:pStyle w:val="13"/>
            </w:pPr>
            <w:r>
              <w:t>53.09</w:t>
            </w:r>
          </w:p>
        </w:tc>
        <w:tc>
          <w:tcPr>
            <w:tcW w:w="943" w:type="dxa"/>
            <w:vAlign w:val="center"/>
          </w:tcPr>
          <w:p>
            <w:pPr>
              <w:pStyle w:val="13"/>
            </w:pPr>
            <w:r>
              <w:t>53.09</w:t>
            </w:r>
          </w:p>
        </w:tc>
        <w:tc>
          <w:tcPr>
            <w:tcW w:w="1134" w:type="dxa"/>
            <w:vAlign w:val="center"/>
          </w:tcPr>
          <w:p>
            <w:pPr>
              <w:pStyle w:val="13"/>
            </w:pPr>
            <w:r>
              <w:t>53.09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1101" w:type="dxa"/>
            <w:vAlign w:val="center"/>
          </w:tcPr>
          <w:p>
            <w:pPr>
              <w:pStyle w:val="14"/>
            </w:pPr>
            <w:r>
              <w:t>20129</w:t>
            </w:r>
          </w:p>
        </w:tc>
        <w:tc>
          <w:tcPr>
            <w:tcW w:w="1965" w:type="dxa"/>
            <w:vAlign w:val="center"/>
          </w:tcPr>
          <w:p>
            <w:pPr>
              <w:pStyle w:val="14"/>
            </w:pPr>
            <w:r>
              <w:t>群众团体事务</w:t>
            </w:r>
          </w:p>
        </w:tc>
        <w:tc>
          <w:tcPr>
            <w:tcW w:w="810" w:type="dxa"/>
            <w:vAlign w:val="center"/>
          </w:tcPr>
          <w:p>
            <w:pPr>
              <w:pStyle w:val="13"/>
            </w:pPr>
            <w:r>
              <w:t>53.09</w:t>
            </w:r>
          </w:p>
        </w:tc>
        <w:tc>
          <w:tcPr>
            <w:tcW w:w="943" w:type="dxa"/>
            <w:vAlign w:val="center"/>
          </w:tcPr>
          <w:p>
            <w:pPr>
              <w:pStyle w:val="13"/>
            </w:pPr>
            <w:r>
              <w:t>53.09</w:t>
            </w:r>
          </w:p>
        </w:tc>
        <w:tc>
          <w:tcPr>
            <w:tcW w:w="1134" w:type="dxa"/>
            <w:vAlign w:val="center"/>
          </w:tcPr>
          <w:p>
            <w:pPr>
              <w:pStyle w:val="13"/>
            </w:pPr>
            <w:r>
              <w:t>53.09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1101" w:type="dxa"/>
            <w:vAlign w:val="center"/>
          </w:tcPr>
          <w:p>
            <w:pPr>
              <w:pStyle w:val="14"/>
            </w:pPr>
            <w:r>
              <w:t>2012901</w:t>
            </w:r>
          </w:p>
        </w:tc>
        <w:tc>
          <w:tcPr>
            <w:tcW w:w="1965" w:type="dxa"/>
            <w:vAlign w:val="center"/>
          </w:tcPr>
          <w:p>
            <w:pPr>
              <w:pStyle w:val="14"/>
            </w:pPr>
            <w:r>
              <w:t>行政运行</w:t>
            </w:r>
          </w:p>
        </w:tc>
        <w:tc>
          <w:tcPr>
            <w:tcW w:w="810" w:type="dxa"/>
            <w:vAlign w:val="center"/>
          </w:tcPr>
          <w:p>
            <w:pPr>
              <w:pStyle w:val="13"/>
            </w:pPr>
            <w:r>
              <w:t>48.09</w:t>
            </w:r>
          </w:p>
        </w:tc>
        <w:tc>
          <w:tcPr>
            <w:tcW w:w="943" w:type="dxa"/>
            <w:vAlign w:val="center"/>
          </w:tcPr>
          <w:p>
            <w:pPr>
              <w:pStyle w:val="13"/>
            </w:pPr>
            <w:r>
              <w:t>48.09</w:t>
            </w:r>
          </w:p>
        </w:tc>
        <w:tc>
          <w:tcPr>
            <w:tcW w:w="1134" w:type="dxa"/>
            <w:vAlign w:val="center"/>
          </w:tcPr>
          <w:p>
            <w:pPr>
              <w:pStyle w:val="13"/>
            </w:pPr>
            <w:r>
              <w:t>48.09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1101" w:type="dxa"/>
            <w:vAlign w:val="center"/>
          </w:tcPr>
          <w:p>
            <w:pPr>
              <w:pStyle w:val="14"/>
            </w:pPr>
            <w:r>
              <w:t>2012902</w:t>
            </w:r>
          </w:p>
        </w:tc>
        <w:tc>
          <w:tcPr>
            <w:tcW w:w="1965" w:type="dxa"/>
            <w:vAlign w:val="center"/>
          </w:tcPr>
          <w:p>
            <w:pPr>
              <w:pStyle w:val="14"/>
            </w:pPr>
            <w:r>
              <w:t>一般行政管理事务</w:t>
            </w:r>
          </w:p>
        </w:tc>
        <w:tc>
          <w:tcPr>
            <w:tcW w:w="810" w:type="dxa"/>
            <w:vAlign w:val="center"/>
          </w:tcPr>
          <w:p>
            <w:pPr>
              <w:pStyle w:val="13"/>
            </w:pPr>
            <w:r>
              <w:t>5.00</w:t>
            </w:r>
          </w:p>
        </w:tc>
        <w:tc>
          <w:tcPr>
            <w:tcW w:w="943"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1101" w:type="dxa"/>
            <w:vAlign w:val="center"/>
          </w:tcPr>
          <w:p>
            <w:pPr>
              <w:pStyle w:val="14"/>
            </w:pPr>
            <w:r>
              <w:t>208</w:t>
            </w:r>
          </w:p>
        </w:tc>
        <w:tc>
          <w:tcPr>
            <w:tcW w:w="1965" w:type="dxa"/>
            <w:vAlign w:val="center"/>
          </w:tcPr>
          <w:p>
            <w:pPr>
              <w:pStyle w:val="14"/>
            </w:pPr>
            <w:r>
              <w:t>社会保障和就业支出</w:t>
            </w:r>
          </w:p>
        </w:tc>
        <w:tc>
          <w:tcPr>
            <w:tcW w:w="810" w:type="dxa"/>
            <w:vAlign w:val="center"/>
          </w:tcPr>
          <w:p>
            <w:pPr>
              <w:pStyle w:val="13"/>
            </w:pPr>
            <w:r>
              <w:t>5.45</w:t>
            </w:r>
          </w:p>
        </w:tc>
        <w:tc>
          <w:tcPr>
            <w:tcW w:w="943" w:type="dxa"/>
            <w:vAlign w:val="center"/>
          </w:tcPr>
          <w:p>
            <w:pPr>
              <w:pStyle w:val="13"/>
            </w:pPr>
            <w:r>
              <w:t>5.45</w:t>
            </w:r>
          </w:p>
        </w:tc>
        <w:tc>
          <w:tcPr>
            <w:tcW w:w="1134" w:type="dxa"/>
            <w:vAlign w:val="center"/>
          </w:tcPr>
          <w:p>
            <w:pPr>
              <w:pStyle w:val="13"/>
            </w:pPr>
            <w:r>
              <w:t>5.45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1101" w:type="dxa"/>
            <w:vAlign w:val="center"/>
          </w:tcPr>
          <w:p>
            <w:pPr>
              <w:pStyle w:val="14"/>
            </w:pPr>
            <w:r>
              <w:t>20805</w:t>
            </w:r>
          </w:p>
        </w:tc>
        <w:tc>
          <w:tcPr>
            <w:tcW w:w="1965" w:type="dxa"/>
            <w:vAlign w:val="center"/>
          </w:tcPr>
          <w:p>
            <w:pPr>
              <w:pStyle w:val="14"/>
            </w:pPr>
            <w:r>
              <w:t>行政事业单位养老支出</w:t>
            </w:r>
          </w:p>
        </w:tc>
        <w:tc>
          <w:tcPr>
            <w:tcW w:w="810" w:type="dxa"/>
            <w:vAlign w:val="center"/>
          </w:tcPr>
          <w:p>
            <w:pPr>
              <w:pStyle w:val="13"/>
            </w:pPr>
            <w:r>
              <w:t>5.45</w:t>
            </w:r>
          </w:p>
        </w:tc>
        <w:tc>
          <w:tcPr>
            <w:tcW w:w="943" w:type="dxa"/>
            <w:vAlign w:val="center"/>
          </w:tcPr>
          <w:p>
            <w:pPr>
              <w:pStyle w:val="13"/>
            </w:pPr>
            <w:r>
              <w:t>5.45</w:t>
            </w:r>
          </w:p>
        </w:tc>
        <w:tc>
          <w:tcPr>
            <w:tcW w:w="1134" w:type="dxa"/>
            <w:vAlign w:val="center"/>
          </w:tcPr>
          <w:p>
            <w:pPr>
              <w:pStyle w:val="13"/>
            </w:pPr>
            <w:r>
              <w:t>5.45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1101" w:type="dxa"/>
            <w:vAlign w:val="center"/>
          </w:tcPr>
          <w:p>
            <w:pPr>
              <w:pStyle w:val="14"/>
            </w:pPr>
            <w:r>
              <w:t>2080505</w:t>
            </w:r>
          </w:p>
        </w:tc>
        <w:tc>
          <w:tcPr>
            <w:tcW w:w="1965" w:type="dxa"/>
            <w:vAlign w:val="center"/>
          </w:tcPr>
          <w:p>
            <w:pPr>
              <w:pStyle w:val="14"/>
            </w:pPr>
            <w:r>
              <w:t>机关事业单位基本养老保险缴费支出</w:t>
            </w:r>
          </w:p>
        </w:tc>
        <w:tc>
          <w:tcPr>
            <w:tcW w:w="810" w:type="dxa"/>
            <w:vAlign w:val="center"/>
          </w:tcPr>
          <w:p>
            <w:pPr>
              <w:pStyle w:val="13"/>
            </w:pPr>
            <w:r>
              <w:t>5.45</w:t>
            </w:r>
          </w:p>
        </w:tc>
        <w:tc>
          <w:tcPr>
            <w:tcW w:w="943" w:type="dxa"/>
            <w:vAlign w:val="center"/>
          </w:tcPr>
          <w:p>
            <w:pPr>
              <w:pStyle w:val="13"/>
            </w:pPr>
            <w:r>
              <w:t>5.45</w:t>
            </w:r>
          </w:p>
        </w:tc>
        <w:tc>
          <w:tcPr>
            <w:tcW w:w="1134" w:type="dxa"/>
            <w:vAlign w:val="center"/>
          </w:tcPr>
          <w:p>
            <w:pPr>
              <w:pStyle w:val="13"/>
            </w:pPr>
            <w:r>
              <w:t>5.45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1101" w:type="dxa"/>
            <w:vAlign w:val="center"/>
          </w:tcPr>
          <w:p>
            <w:pPr>
              <w:pStyle w:val="14"/>
            </w:pPr>
            <w:r>
              <w:t>210</w:t>
            </w:r>
          </w:p>
        </w:tc>
        <w:tc>
          <w:tcPr>
            <w:tcW w:w="1965" w:type="dxa"/>
            <w:vAlign w:val="center"/>
          </w:tcPr>
          <w:p>
            <w:pPr>
              <w:pStyle w:val="14"/>
            </w:pPr>
            <w:r>
              <w:t>卫生健康支出</w:t>
            </w:r>
          </w:p>
        </w:tc>
        <w:tc>
          <w:tcPr>
            <w:tcW w:w="810" w:type="dxa"/>
            <w:vAlign w:val="center"/>
          </w:tcPr>
          <w:p>
            <w:pPr>
              <w:pStyle w:val="13"/>
            </w:pPr>
            <w:r>
              <w:t>2.54</w:t>
            </w:r>
          </w:p>
        </w:tc>
        <w:tc>
          <w:tcPr>
            <w:tcW w:w="943" w:type="dxa"/>
            <w:vAlign w:val="center"/>
          </w:tcPr>
          <w:p>
            <w:pPr>
              <w:pStyle w:val="13"/>
            </w:pPr>
            <w:r>
              <w:t>2.54</w:t>
            </w:r>
          </w:p>
        </w:tc>
        <w:tc>
          <w:tcPr>
            <w:tcW w:w="1134" w:type="dxa"/>
            <w:vAlign w:val="center"/>
          </w:tcPr>
          <w:p>
            <w:pPr>
              <w:pStyle w:val="13"/>
            </w:pPr>
            <w:r>
              <w:t>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1101" w:type="dxa"/>
            <w:vAlign w:val="center"/>
          </w:tcPr>
          <w:p>
            <w:pPr>
              <w:pStyle w:val="14"/>
            </w:pPr>
            <w:r>
              <w:t>21011</w:t>
            </w:r>
          </w:p>
        </w:tc>
        <w:tc>
          <w:tcPr>
            <w:tcW w:w="1965" w:type="dxa"/>
            <w:vAlign w:val="center"/>
          </w:tcPr>
          <w:p>
            <w:pPr>
              <w:pStyle w:val="14"/>
            </w:pPr>
            <w:r>
              <w:t>行政事业单位医疗</w:t>
            </w:r>
          </w:p>
        </w:tc>
        <w:tc>
          <w:tcPr>
            <w:tcW w:w="810" w:type="dxa"/>
            <w:vAlign w:val="center"/>
          </w:tcPr>
          <w:p>
            <w:pPr>
              <w:pStyle w:val="13"/>
            </w:pPr>
            <w:r>
              <w:t>2.54</w:t>
            </w:r>
          </w:p>
        </w:tc>
        <w:tc>
          <w:tcPr>
            <w:tcW w:w="943" w:type="dxa"/>
            <w:vAlign w:val="center"/>
          </w:tcPr>
          <w:p>
            <w:pPr>
              <w:pStyle w:val="13"/>
            </w:pPr>
            <w:r>
              <w:t>2.54</w:t>
            </w:r>
          </w:p>
        </w:tc>
        <w:tc>
          <w:tcPr>
            <w:tcW w:w="1134" w:type="dxa"/>
            <w:vAlign w:val="center"/>
          </w:tcPr>
          <w:p>
            <w:pPr>
              <w:pStyle w:val="13"/>
            </w:pPr>
            <w:r>
              <w:t>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1101" w:type="dxa"/>
            <w:vAlign w:val="center"/>
          </w:tcPr>
          <w:p>
            <w:pPr>
              <w:pStyle w:val="14"/>
            </w:pPr>
            <w:r>
              <w:t>2101101</w:t>
            </w:r>
          </w:p>
        </w:tc>
        <w:tc>
          <w:tcPr>
            <w:tcW w:w="1965" w:type="dxa"/>
            <w:vAlign w:val="center"/>
          </w:tcPr>
          <w:p>
            <w:pPr>
              <w:pStyle w:val="14"/>
            </w:pPr>
            <w:r>
              <w:t>行政单位医疗</w:t>
            </w:r>
          </w:p>
        </w:tc>
        <w:tc>
          <w:tcPr>
            <w:tcW w:w="810" w:type="dxa"/>
            <w:vAlign w:val="center"/>
          </w:tcPr>
          <w:p>
            <w:pPr>
              <w:pStyle w:val="13"/>
            </w:pPr>
            <w:r>
              <w:t>2.54</w:t>
            </w:r>
          </w:p>
        </w:tc>
        <w:tc>
          <w:tcPr>
            <w:tcW w:w="943" w:type="dxa"/>
            <w:vAlign w:val="center"/>
          </w:tcPr>
          <w:p>
            <w:pPr>
              <w:pStyle w:val="13"/>
            </w:pPr>
            <w:r>
              <w:t>2.54</w:t>
            </w:r>
          </w:p>
        </w:tc>
        <w:tc>
          <w:tcPr>
            <w:tcW w:w="1134" w:type="dxa"/>
            <w:vAlign w:val="center"/>
          </w:tcPr>
          <w:p>
            <w:pPr>
              <w:pStyle w:val="13"/>
            </w:pPr>
            <w:r>
              <w:t>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1101" w:type="dxa"/>
            <w:vAlign w:val="center"/>
          </w:tcPr>
          <w:p>
            <w:pPr>
              <w:pStyle w:val="14"/>
            </w:pPr>
            <w:r>
              <w:t>221</w:t>
            </w:r>
          </w:p>
        </w:tc>
        <w:tc>
          <w:tcPr>
            <w:tcW w:w="1965" w:type="dxa"/>
            <w:vAlign w:val="center"/>
          </w:tcPr>
          <w:p>
            <w:pPr>
              <w:pStyle w:val="14"/>
            </w:pPr>
            <w:r>
              <w:t>住房保障支出</w:t>
            </w:r>
          </w:p>
        </w:tc>
        <w:tc>
          <w:tcPr>
            <w:tcW w:w="810" w:type="dxa"/>
            <w:vAlign w:val="center"/>
          </w:tcPr>
          <w:p>
            <w:pPr>
              <w:pStyle w:val="13"/>
            </w:pPr>
            <w:r>
              <w:t>4.41</w:t>
            </w:r>
          </w:p>
        </w:tc>
        <w:tc>
          <w:tcPr>
            <w:tcW w:w="943" w:type="dxa"/>
            <w:vAlign w:val="center"/>
          </w:tcPr>
          <w:p>
            <w:pPr>
              <w:pStyle w:val="13"/>
            </w:pPr>
            <w:r>
              <w:t>4.41</w:t>
            </w:r>
          </w:p>
        </w:tc>
        <w:tc>
          <w:tcPr>
            <w:tcW w:w="1134" w:type="dxa"/>
            <w:vAlign w:val="center"/>
          </w:tcPr>
          <w:p>
            <w:pPr>
              <w:pStyle w:val="13"/>
            </w:pPr>
            <w:r>
              <w:t>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1101" w:type="dxa"/>
            <w:vAlign w:val="center"/>
          </w:tcPr>
          <w:p>
            <w:pPr>
              <w:pStyle w:val="14"/>
            </w:pPr>
            <w:r>
              <w:t>22102</w:t>
            </w:r>
          </w:p>
        </w:tc>
        <w:tc>
          <w:tcPr>
            <w:tcW w:w="1965" w:type="dxa"/>
            <w:vAlign w:val="center"/>
          </w:tcPr>
          <w:p>
            <w:pPr>
              <w:pStyle w:val="14"/>
            </w:pPr>
            <w:r>
              <w:t>住房改革支出</w:t>
            </w:r>
          </w:p>
        </w:tc>
        <w:tc>
          <w:tcPr>
            <w:tcW w:w="810" w:type="dxa"/>
            <w:vAlign w:val="center"/>
          </w:tcPr>
          <w:p>
            <w:pPr>
              <w:pStyle w:val="13"/>
            </w:pPr>
            <w:r>
              <w:t>4.41</w:t>
            </w:r>
          </w:p>
        </w:tc>
        <w:tc>
          <w:tcPr>
            <w:tcW w:w="943" w:type="dxa"/>
            <w:vAlign w:val="center"/>
          </w:tcPr>
          <w:p>
            <w:pPr>
              <w:pStyle w:val="13"/>
            </w:pPr>
            <w:r>
              <w:t>4.41</w:t>
            </w:r>
          </w:p>
        </w:tc>
        <w:tc>
          <w:tcPr>
            <w:tcW w:w="1134" w:type="dxa"/>
            <w:vAlign w:val="center"/>
          </w:tcPr>
          <w:p>
            <w:pPr>
              <w:pStyle w:val="13"/>
            </w:pPr>
            <w:r>
              <w:t>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1101" w:type="dxa"/>
            <w:vAlign w:val="center"/>
          </w:tcPr>
          <w:p>
            <w:pPr>
              <w:pStyle w:val="14"/>
            </w:pPr>
            <w:r>
              <w:t>2210201</w:t>
            </w:r>
          </w:p>
        </w:tc>
        <w:tc>
          <w:tcPr>
            <w:tcW w:w="1965" w:type="dxa"/>
            <w:vAlign w:val="center"/>
          </w:tcPr>
          <w:p>
            <w:pPr>
              <w:pStyle w:val="14"/>
            </w:pPr>
            <w:r>
              <w:t>住房公积金</w:t>
            </w:r>
          </w:p>
        </w:tc>
        <w:tc>
          <w:tcPr>
            <w:tcW w:w="810" w:type="dxa"/>
            <w:vAlign w:val="center"/>
          </w:tcPr>
          <w:p>
            <w:pPr>
              <w:pStyle w:val="13"/>
            </w:pPr>
            <w:r>
              <w:t>4.41</w:t>
            </w:r>
          </w:p>
        </w:tc>
        <w:tc>
          <w:tcPr>
            <w:tcW w:w="943" w:type="dxa"/>
            <w:vAlign w:val="center"/>
          </w:tcPr>
          <w:p>
            <w:pPr>
              <w:pStyle w:val="13"/>
            </w:pPr>
            <w:r>
              <w:t>4.41</w:t>
            </w:r>
          </w:p>
        </w:tc>
        <w:tc>
          <w:tcPr>
            <w:tcW w:w="1134" w:type="dxa"/>
            <w:vAlign w:val="center"/>
          </w:tcPr>
          <w:p>
            <w:pPr>
              <w:pStyle w:val="13"/>
            </w:pPr>
            <w:r>
              <w:t>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097"/>
        <w:gridCol w:w="4430"/>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097" w:type="dxa"/>
            <w:vAlign w:val="center"/>
          </w:tcPr>
          <w:p>
            <w:pPr>
              <w:pStyle w:val="12"/>
            </w:pPr>
            <w:r>
              <w:t>科目    编码</w:t>
            </w:r>
          </w:p>
        </w:tc>
        <w:tc>
          <w:tcPr>
            <w:tcW w:w="4430"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097" w:type="dxa"/>
            <w:vAlign w:val="center"/>
          </w:tcPr>
          <w:p>
            <w:pPr>
              <w:pStyle w:val="12"/>
            </w:pPr>
            <w:r>
              <w:t>1</w:t>
            </w:r>
          </w:p>
        </w:tc>
        <w:tc>
          <w:tcPr>
            <w:tcW w:w="4430"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097" w:type="dxa"/>
            <w:vAlign w:val="center"/>
          </w:tcPr>
          <w:p>
            <w:pPr>
              <w:pStyle w:val="18"/>
            </w:pPr>
          </w:p>
        </w:tc>
        <w:tc>
          <w:tcPr>
            <w:tcW w:w="4430" w:type="dxa"/>
            <w:vAlign w:val="center"/>
          </w:tcPr>
          <w:p>
            <w:pPr>
              <w:pStyle w:val="16"/>
            </w:pPr>
            <w:r>
              <w:t>合计</w:t>
            </w:r>
          </w:p>
        </w:tc>
        <w:tc>
          <w:tcPr>
            <w:tcW w:w="1361" w:type="dxa"/>
            <w:vAlign w:val="center"/>
          </w:tcPr>
          <w:p>
            <w:pPr>
              <w:pStyle w:val="17"/>
            </w:pPr>
            <w:r>
              <w:t>65.49</w:t>
            </w:r>
          </w:p>
        </w:tc>
        <w:tc>
          <w:tcPr>
            <w:tcW w:w="1361" w:type="dxa"/>
            <w:vAlign w:val="center"/>
          </w:tcPr>
          <w:p>
            <w:pPr>
              <w:pStyle w:val="17"/>
            </w:pPr>
            <w:r>
              <w:t>60.49</w:t>
            </w:r>
          </w:p>
        </w:tc>
        <w:tc>
          <w:tcPr>
            <w:tcW w:w="1361" w:type="dxa"/>
            <w:vAlign w:val="center"/>
          </w:tcPr>
          <w:p>
            <w:pPr>
              <w:pStyle w:val="17"/>
            </w:pPr>
            <w:r>
              <w:t>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097" w:type="dxa"/>
            <w:vAlign w:val="center"/>
          </w:tcPr>
          <w:p>
            <w:pPr>
              <w:pStyle w:val="14"/>
            </w:pPr>
            <w:r>
              <w:t>201</w:t>
            </w:r>
          </w:p>
        </w:tc>
        <w:tc>
          <w:tcPr>
            <w:tcW w:w="4430" w:type="dxa"/>
            <w:vAlign w:val="center"/>
          </w:tcPr>
          <w:p>
            <w:pPr>
              <w:pStyle w:val="14"/>
            </w:pPr>
            <w:r>
              <w:t>一般公共服务支出</w:t>
            </w:r>
          </w:p>
        </w:tc>
        <w:tc>
          <w:tcPr>
            <w:tcW w:w="1361" w:type="dxa"/>
            <w:vAlign w:val="center"/>
          </w:tcPr>
          <w:p>
            <w:pPr>
              <w:pStyle w:val="13"/>
            </w:pPr>
            <w:r>
              <w:t>53.09</w:t>
            </w:r>
          </w:p>
        </w:tc>
        <w:tc>
          <w:tcPr>
            <w:tcW w:w="1361" w:type="dxa"/>
            <w:vAlign w:val="center"/>
          </w:tcPr>
          <w:p>
            <w:pPr>
              <w:pStyle w:val="13"/>
            </w:pPr>
            <w:r>
              <w:t>48.09</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097" w:type="dxa"/>
            <w:vAlign w:val="center"/>
          </w:tcPr>
          <w:p>
            <w:pPr>
              <w:pStyle w:val="14"/>
            </w:pPr>
            <w:r>
              <w:t>20129</w:t>
            </w:r>
          </w:p>
        </w:tc>
        <w:tc>
          <w:tcPr>
            <w:tcW w:w="4430" w:type="dxa"/>
            <w:vAlign w:val="center"/>
          </w:tcPr>
          <w:p>
            <w:pPr>
              <w:pStyle w:val="14"/>
            </w:pPr>
            <w:r>
              <w:t>群众团体事务</w:t>
            </w:r>
          </w:p>
        </w:tc>
        <w:tc>
          <w:tcPr>
            <w:tcW w:w="1361" w:type="dxa"/>
            <w:vAlign w:val="center"/>
          </w:tcPr>
          <w:p>
            <w:pPr>
              <w:pStyle w:val="13"/>
            </w:pPr>
            <w:r>
              <w:t>53.09</w:t>
            </w:r>
          </w:p>
        </w:tc>
        <w:tc>
          <w:tcPr>
            <w:tcW w:w="1361" w:type="dxa"/>
            <w:vAlign w:val="center"/>
          </w:tcPr>
          <w:p>
            <w:pPr>
              <w:pStyle w:val="13"/>
            </w:pPr>
            <w:r>
              <w:t>48.09</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097" w:type="dxa"/>
            <w:vAlign w:val="center"/>
          </w:tcPr>
          <w:p>
            <w:pPr>
              <w:pStyle w:val="14"/>
            </w:pPr>
            <w:r>
              <w:t>2012901</w:t>
            </w:r>
          </w:p>
        </w:tc>
        <w:tc>
          <w:tcPr>
            <w:tcW w:w="4430" w:type="dxa"/>
            <w:vAlign w:val="center"/>
          </w:tcPr>
          <w:p>
            <w:pPr>
              <w:pStyle w:val="14"/>
            </w:pPr>
            <w:r>
              <w:t>行政运行</w:t>
            </w:r>
          </w:p>
        </w:tc>
        <w:tc>
          <w:tcPr>
            <w:tcW w:w="1361" w:type="dxa"/>
            <w:vAlign w:val="center"/>
          </w:tcPr>
          <w:p>
            <w:pPr>
              <w:pStyle w:val="13"/>
            </w:pPr>
            <w:r>
              <w:t>48.09</w:t>
            </w:r>
          </w:p>
        </w:tc>
        <w:tc>
          <w:tcPr>
            <w:tcW w:w="1361" w:type="dxa"/>
            <w:vAlign w:val="center"/>
          </w:tcPr>
          <w:p>
            <w:pPr>
              <w:pStyle w:val="13"/>
            </w:pPr>
            <w:r>
              <w:t>48.09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097" w:type="dxa"/>
            <w:vAlign w:val="center"/>
          </w:tcPr>
          <w:p>
            <w:pPr>
              <w:pStyle w:val="14"/>
            </w:pPr>
            <w:r>
              <w:t>2012902</w:t>
            </w:r>
          </w:p>
        </w:tc>
        <w:tc>
          <w:tcPr>
            <w:tcW w:w="4430" w:type="dxa"/>
            <w:vAlign w:val="center"/>
          </w:tcPr>
          <w:p>
            <w:pPr>
              <w:pStyle w:val="14"/>
            </w:pPr>
            <w:r>
              <w:t>一般行政管理事务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097" w:type="dxa"/>
            <w:vAlign w:val="center"/>
          </w:tcPr>
          <w:p>
            <w:pPr>
              <w:pStyle w:val="14"/>
            </w:pPr>
            <w:r>
              <w:t>208</w:t>
            </w:r>
          </w:p>
        </w:tc>
        <w:tc>
          <w:tcPr>
            <w:tcW w:w="4430" w:type="dxa"/>
            <w:vAlign w:val="center"/>
          </w:tcPr>
          <w:p>
            <w:pPr>
              <w:pStyle w:val="14"/>
            </w:pPr>
            <w:r>
              <w:t>社会保障和就业支出</w:t>
            </w:r>
          </w:p>
        </w:tc>
        <w:tc>
          <w:tcPr>
            <w:tcW w:w="1361" w:type="dxa"/>
            <w:vAlign w:val="center"/>
          </w:tcPr>
          <w:p>
            <w:pPr>
              <w:pStyle w:val="13"/>
            </w:pPr>
            <w:r>
              <w:t>5.45</w:t>
            </w:r>
          </w:p>
        </w:tc>
        <w:tc>
          <w:tcPr>
            <w:tcW w:w="1361" w:type="dxa"/>
            <w:vAlign w:val="center"/>
          </w:tcPr>
          <w:p>
            <w:pPr>
              <w:pStyle w:val="13"/>
            </w:pPr>
            <w:r>
              <w:t>5.45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097" w:type="dxa"/>
            <w:vAlign w:val="center"/>
          </w:tcPr>
          <w:p>
            <w:pPr>
              <w:pStyle w:val="14"/>
            </w:pPr>
            <w:r>
              <w:t>20805</w:t>
            </w:r>
          </w:p>
        </w:tc>
        <w:tc>
          <w:tcPr>
            <w:tcW w:w="4430" w:type="dxa"/>
            <w:vAlign w:val="center"/>
          </w:tcPr>
          <w:p>
            <w:pPr>
              <w:pStyle w:val="14"/>
            </w:pPr>
            <w:r>
              <w:t>行政事业单位养老支出</w:t>
            </w:r>
          </w:p>
        </w:tc>
        <w:tc>
          <w:tcPr>
            <w:tcW w:w="1361" w:type="dxa"/>
            <w:vAlign w:val="center"/>
          </w:tcPr>
          <w:p>
            <w:pPr>
              <w:pStyle w:val="13"/>
            </w:pPr>
            <w:r>
              <w:t>5.45</w:t>
            </w:r>
          </w:p>
        </w:tc>
        <w:tc>
          <w:tcPr>
            <w:tcW w:w="1361" w:type="dxa"/>
            <w:vAlign w:val="center"/>
          </w:tcPr>
          <w:p>
            <w:pPr>
              <w:pStyle w:val="13"/>
            </w:pPr>
            <w:r>
              <w:t>5.45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097" w:type="dxa"/>
            <w:vAlign w:val="center"/>
          </w:tcPr>
          <w:p>
            <w:pPr>
              <w:pStyle w:val="14"/>
            </w:pPr>
            <w:r>
              <w:t>2080505</w:t>
            </w:r>
          </w:p>
        </w:tc>
        <w:tc>
          <w:tcPr>
            <w:tcW w:w="4430" w:type="dxa"/>
            <w:vAlign w:val="center"/>
          </w:tcPr>
          <w:p>
            <w:pPr>
              <w:pStyle w:val="14"/>
            </w:pPr>
            <w:r>
              <w:t>机关事业单位基本养老保险缴费支出</w:t>
            </w:r>
          </w:p>
        </w:tc>
        <w:tc>
          <w:tcPr>
            <w:tcW w:w="1361" w:type="dxa"/>
            <w:vAlign w:val="center"/>
          </w:tcPr>
          <w:p>
            <w:pPr>
              <w:pStyle w:val="13"/>
            </w:pPr>
            <w:r>
              <w:t>5.45</w:t>
            </w:r>
          </w:p>
        </w:tc>
        <w:tc>
          <w:tcPr>
            <w:tcW w:w="1361" w:type="dxa"/>
            <w:vAlign w:val="center"/>
          </w:tcPr>
          <w:p>
            <w:pPr>
              <w:pStyle w:val="13"/>
            </w:pPr>
            <w:r>
              <w:t>5.45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097" w:type="dxa"/>
            <w:vAlign w:val="center"/>
          </w:tcPr>
          <w:p>
            <w:pPr>
              <w:pStyle w:val="14"/>
            </w:pPr>
            <w:r>
              <w:t>210</w:t>
            </w:r>
          </w:p>
        </w:tc>
        <w:tc>
          <w:tcPr>
            <w:tcW w:w="4430" w:type="dxa"/>
            <w:vAlign w:val="center"/>
          </w:tcPr>
          <w:p>
            <w:pPr>
              <w:pStyle w:val="14"/>
            </w:pPr>
            <w:r>
              <w:t>卫生健康支出</w:t>
            </w:r>
          </w:p>
        </w:tc>
        <w:tc>
          <w:tcPr>
            <w:tcW w:w="1361" w:type="dxa"/>
            <w:vAlign w:val="center"/>
          </w:tcPr>
          <w:p>
            <w:pPr>
              <w:pStyle w:val="13"/>
            </w:pPr>
            <w:r>
              <w:t>2.54</w:t>
            </w:r>
          </w:p>
        </w:tc>
        <w:tc>
          <w:tcPr>
            <w:tcW w:w="1361" w:type="dxa"/>
            <w:vAlign w:val="center"/>
          </w:tcPr>
          <w:p>
            <w:pPr>
              <w:pStyle w:val="13"/>
            </w:pPr>
            <w:r>
              <w:t>2.54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097" w:type="dxa"/>
            <w:vAlign w:val="center"/>
          </w:tcPr>
          <w:p>
            <w:pPr>
              <w:pStyle w:val="14"/>
            </w:pPr>
            <w:r>
              <w:t>21011</w:t>
            </w:r>
          </w:p>
        </w:tc>
        <w:tc>
          <w:tcPr>
            <w:tcW w:w="4430" w:type="dxa"/>
            <w:vAlign w:val="center"/>
          </w:tcPr>
          <w:p>
            <w:pPr>
              <w:pStyle w:val="14"/>
            </w:pPr>
            <w:r>
              <w:t>行政事业单位医疗</w:t>
            </w:r>
          </w:p>
        </w:tc>
        <w:tc>
          <w:tcPr>
            <w:tcW w:w="1361" w:type="dxa"/>
            <w:vAlign w:val="center"/>
          </w:tcPr>
          <w:p>
            <w:pPr>
              <w:pStyle w:val="13"/>
            </w:pPr>
            <w:r>
              <w:t>2.54</w:t>
            </w:r>
          </w:p>
        </w:tc>
        <w:tc>
          <w:tcPr>
            <w:tcW w:w="1361" w:type="dxa"/>
            <w:vAlign w:val="center"/>
          </w:tcPr>
          <w:p>
            <w:pPr>
              <w:pStyle w:val="13"/>
            </w:pPr>
            <w:r>
              <w:t>2.54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097" w:type="dxa"/>
            <w:vAlign w:val="center"/>
          </w:tcPr>
          <w:p>
            <w:pPr>
              <w:pStyle w:val="14"/>
            </w:pPr>
            <w:r>
              <w:t>2101101</w:t>
            </w:r>
          </w:p>
        </w:tc>
        <w:tc>
          <w:tcPr>
            <w:tcW w:w="4430" w:type="dxa"/>
            <w:vAlign w:val="center"/>
          </w:tcPr>
          <w:p>
            <w:pPr>
              <w:pStyle w:val="14"/>
            </w:pPr>
            <w:r>
              <w:t>行政单位医疗</w:t>
            </w:r>
          </w:p>
        </w:tc>
        <w:tc>
          <w:tcPr>
            <w:tcW w:w="1361" w:type="dxa"/>
            <w:vAlign w:val="center"/>
          </w:tcPr>
          <w:p>
            <w:pPr>
              <w:pStyle w:val="13"/>
            </w:pPr>
            <w:r>
              <w:t>2.54</w:t>
            </w:r>
          </w:p>
        </w:tc>
        <w:tc>
          <w:tcPr>
            <w:tcW w:w="1361" w:type="dxa"/>
            <w:vAlign w:val="center"/>
          </w:tcPr>
          <w:p>
            <w:pPr>
              <w:pStyle w:val="13"/>
            </w:pPr>
            <w:r>
              <w:t>2.54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097" w:type="dxa"/>
            <w:vAlign w:val="center"/>
          </w:tcPr>
          <w:p>
            <w:pPr>
              <w:pStyle w:val="14"/>
            </w:pPr>
            <w:r>
              <w:t>221</w:t>
            </w:r>
          </w:p>
        </w:tc>
        <w:tc>
          <w:tcPr>
            <w:tcW w:w="4430" w:type="dxa"/>
            <w:vAlign w:val="center"/>
          </w:tcPr>
          <w:p>
            <w:pPr>
              <w:pStyle w:val="14"/>
            </w:pPr>
            <w:r>
              <w:t>住房保障支出</w:t>
            </w:r>
          </w:p>
        </w:tc>
        <w:tc>
          <w:tcPr>
            <w:tcW w:w="1361" w:type="dxa"/>
            <w:vAlign w:val="center"/>
          </w:tcPr>
          <w:p>
            <w:pPr>
              <w:pStyle w:val="13"/>
            </w:pPr>
            <w:r>
              <w:t>4.41</w:t>
            </w:r>
          </w:p>
        </w:tc>
        <w:tc>
          <w:tcPr>
            <w:tcW w:w="1361" w:type="dxa"/>
            <w:vAlign w:val="center"/>
          </w:tcPr>
          <w:p>
            <w:pPr>
              <w:pStyle w:val="13"/>
            </w:pPr>
            <w:r>
              <w:t>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097" w:type="dxa"/>
            <w:vAlign w:val="center"/>
          </w:tcPr>
          <w:p>
            <w:pPr>
              <w:pStyle w:val="14"/>
            </w:pPr>
            <w:r>
              <w:t>22102</w:t>
            </w:r>
          </w:p>
        </w:tc>
        <w:tc>
          <w:tcPr>
            <w:tcW w:w="4430" w:type="dxa"/>
            <w:vAlign w:val="center"/>
          </w:tcPr>
          <w:p>
            <w:pPr>
              <w:pStyle w:val="14"/>
            </w:pPr>
            <w:r>
              <w:t>住房改革支出</w:t>
            </w:r>
          </w:p>
        </w:tc>
        <w:tc>
          <w:tcPr>
            <w:tcW w:w="1361" w:type="dxa"/>
            <w:vAlign w:val="center"/>
          </w:tcPr>
          <w:p>
            <w:pPr>
              <w:pStyle w:val="13"/>
            </w:pPr>
            <w:r>
              <w:t>4.41</w:t>
            </w:r>
          </w:p>
        </w:tc>
        <w:tc>
          <w:tcPr>
            <w:tcW w:w="1361" w:type="dxa"/>
            <w:vAlign w:val="center"/>
          </w:tcPr>
          <w:p>
            <w:pPr>
              <w:pStyle w:val="13"/>
            </w:pPr>
            <w:r>
              <w:t>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097" w:type="dxa"/>
            <w:vAlign w:val="center"/>
          </w:tcPr>
          <w:p>
            <w:pPr>
              <w:pStyle w:val="14"/>
            </w:pPr>
            <w:r>
              <w:t>2210201</w:t>
            </w:r>
          </w:p>
        </w:tc>
        <w:tc>
          <w:tcPr>
            <w:tcW w:w="4430" w:type="dxa"/>
            <w:vAlign w:val="center"/>
          </w:tcPr>
          <w:p>
            <w:pPr>
              <w:pStyle w:val="14"/>
            </w:pPr>
            <w:r>
              <w:t>住房公积金</w:t>
            </w:r>
          </w:p>
        </w:tc>
        <w:tc>
          <w:tcPr>
            <w:tcW w:w="1361" w:type="dxa"/>
            <w:vAlign w:val="center"/>
          </w:tcPr>
          <w:p>
            <w:pPr>
              <w:pStyle w:val="13"/>
            </w:pPr>
            <w:r>
              <w:t>4.41</w:t>
            </w:r>
          </w:p>
        </w:tc>
        <w:tc>
          <w:tcPr>
            <w:tcW w:w="1361" w:type="dxa"/>
            <w:vAlign w:val="center"/>
          </w:tcPr>
          <w:p>
            <w:pPr>
              <w:pStyle w:val="13"/>
            </w:pPr>
            <w:r>
              <w:t>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65.49</w:t>
            </w:r>
          </w:p>
        </w:tc>
        <w:tc>
          <w:tcPr>
            <w:tcW w:w="3402" w:type="dxa"/>
            <w:vAlign w:val="center"/>
          </w:tcPr>
          <w:p>
            <w:pPr>
              <w:pStyle w:val="14"/>
            </w:pPr>
            <w:r>
              <w:t>一、一般公共服务支出</w:t>
            </w:r>
          </w:p>
        </w:tc>
        <w:tc>
          <w:tcPr>
            <w:tcW w:w="1474" w:type="dxa"/>
            <w:vAlign w:val="center"/>
          </w:tcPr>
          <w:p>
            <w:pPr>
              <w:pStyle w:val="13"/>
            </w:pPr>
            <w:r>
              <w:t>53.09</w:t>
            </w:r>
          </w:p>
        </w:tc>
        <w:tc>
          <w:tcPr>
            <w:tcW w:w="1474" w:type="dxa"/>
            <w:vAlign w:val="center"/>
          </w:tcPr>
          <w:p>
            <w:pPr>
              <w:pStyle w:val="13"/>
            </w:pPr>
            <w:r>
              <w:t>53.09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5.45</w:t>
            </w:r>
          </w:p>
        </w:tc>
        <w:tc>
          <w:tcPr>
            <w:tcW w:w="1474" w:type="dxa"/>
            <w:vAlign w:val="center"/>
          </w:tcPr>
          <w:p>
            <w:pPr>
              <w:pStyle w:val="13"/>
            </w:pPr>
            <w:r>
              <w:t>5.45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2.54</w:t>
            </w:r>
          </w:p>
        </w:tc>
        <w:tc>
          <w:tcPr>
            <w:tcW w:w="1474" w:type="dxa"/>
            <w:vAlign w:val="center"/>
          </w:tcPr>
          <w:p>
            <w:pPr>
              <w:pStyle w:val="13"/>
            </w:pPr>
            <w:r>
              <w:t>2.54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4.41</w:t>
            </w:r>
          </w:p>
        </w:tc>
        <w:tc>
          <w:tcPr>
            <w:tcW w:w="1474" w:type="dxa"/>
            <w:vAlign w:val="center"/>
          </w:tcPr>
          <w:p>
            <w:pPr>
              <w:pStyle w:val="13"/>
            </w:pPr>
            <w:r>
              <w:t>4.41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65.49</w:t>
            </w:r>
          </w:p>
        </w:tc>
        <w:tc>
          <w:tcPr>
            <w:tcW w:w="3402" w:type="dxa"/>
            <w:vAlign w:val="center"/>
          </w:tcPr>
          <w:p>
            <w:pPr>
              <w:pStyle w:val="16"/>
            </w:pPr>
            <w:r>
              <w:t>本年支出合计</w:t>
            </w:r>
          </w:p>
        </w:tc>
        <w:tc>
          <w:tcPr>
            <w:tcW w:w="1474" w:type="dxa"/>
            <w:vAlign w:val="center"/>
          </w:tcPr>
          <w:p>
            <w:pPr>
              <w:pStyle w:val="17"/>
            </w:pPr>
            <w:r>
              <w:t>65.49</w:t>
            </w:r>
          </w:p>
        </w:tc>
        <w:tc>
          <w:tcPr>
            <w:tcW w:w="1474" w:type="dxa"/>
            <w:vAlign w:val="center"/>
          </w:tcPr>
          <w:p>
            <w:pPr>
              <w:pStyle w:val="17"/>
            </w:pPr>
            <w:r>
              <w:t>65.49</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65.49</w:t>
            </w:r>
          </w:p>
        </w:tc>
        <w:tc>
          <w:tcPr>
            <w:tcW w:w="3402" w:type="dxa"/>
            <w:vAlign w:val="center"/>
          </w:tcPr>
          <w:p>
            <w:pPr>
              <w:pStyle w:val="16"/>
            </w:pPr>
            <w:r>
              <w:t>支出总计</w:t>
            </w:r>
          </w:p>
        </w:tc>
        <w:tc>
          <w:tcPr>
            <w:tcW w:w="1474" w:type="dxa"/>
            <w:vAlign w:val="center"/>
          </w:tcPr>
          <w:p>
            <w:pPr>
              <w:pStyle w:val="17"/>
            </w:pPr>
            <w:r>
              <w:t>65.49</w:t>
            </w:r>
          </w:p>
        </w:tc>
        <w:tc>
          <w:tcPr>
            <w:tcW w:w="1474" w:type="dxa"/>
            <w:vAlign w:val="center"/>
          </w:tcPr>
          <w:p>
            <w:pPr>
              <w:pStyle w:val="17"/>
            </w:pPr>
            <w:r>
              <w:t>65.49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65.49</w:t>
            </w:r>
          </w:p>
        </w:tc>
        <w:tc>
          <w:tcPr>
            <w:tcW w:w="2551" w:type="dxa"/>
            <w:vAlign w:val="center"/>
          </w:tcPr>
          <w:p>
            <w:pPr>
              <w:pStyle w:val="17"/>
            </w:pPr>
            <w:r>
              <w:t>60.49</w:t>
            </w:r>
          </w:p>
        </w:tc>
        <w:tc>
          <w:tcPr>
            <w:tcW w:w="2551" w:type="dxa"/>
            <w:vAlign w:val="center"/>
          </w:tcPr>
          <w:p>
            <w:pPr>
              <w:pStyle w:val="17"/>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53.09</w:t>
            </w:r>
          </w:p>
        </w:tc>
        <w:tc>
          <w:tcPr>
            <w:tcW w:w="2551" w:type="dxa"/>
            <w:vAlign w:val="center"/>
          </w:tcPr>
          <w:p>
            <w:pPr>
              <w:pStyle w:val="13"/>
            </w:pPr>
            <w:r>
              <w:t>48.09</w:t>
            </w:r>
          </w:p>
        </w:tc>
        <w:tc>
          <w:tcPr>
            <w:tcW w:w="2551" w:type="dxa"/>
            <w:vAlign w:val="center"/>
          </w:tcPr>
          <w:p>
            <w:pPr>
              <w:pStyle w:val="13"/>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53.09</w:t>
            </w:r>
          </w:p>
        </w:tc>
        <w:tc>
          <w:tcPr>
            <w:tcW w:w="2551" w:type="dxa"/>
            <w:vAlign w:val="center"/>
          </w:tcPr>
          <w:p>
            <w:pPr>
              <w:pStyle w:val="13"/>
            </w:pPr>
            <w:r>
              <w:t>48.09</w:t>
            </w:r>
          </w:p>
        </w:tc>
        <w:tc>
          <w:tcPr>
            <w:tcW w:w="2551" w:type="dxa"/>
            <w:vAlign w:val="center"/>
          </w:tcPr>
          <w:p>
            <w:pPr>
              <w:pStyle w:val="13"/>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48.09</w:t>
            </w:r>
          </w:p>
        </w:tc>
        <w:tc>
          <w:tcPr>
            <w:tcW w:w="2551" w:type="dxa"/>
            <w:vAlign w:val="center"/>
          </w:tcPr>
          <w:p>
            <w:pPr>
              <w:pStyle w:val="13"/>
            </w:pPr>
            <w:r>
              <w:t>48.09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5.45</w:t>
            </w:r>
          </w:p>
        </w:tc>
        <w:tc>
          <w:tcPr>
            <w:tcW w:w="2551" w:type="dxa"/>
            <w:vAlign w:val="center"/>
          </w:tcPr>
          <w:p>
            <w:pPr>
              <w:pStyle w:val="13"/>
            </w:pPr>
            <w:r>
              <w:t>5.45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5.45</w:t>
            </w:r>
          </w:p>
        </w:tc>
        <w:tc>
          <w:tcPr>
            <w:tcW w:w="2551" w:type="dxa"/>
            <w:vAlign w:val="center"/>
          </w:tcPr>
          <w:p>
            <w:pPr>
              <w:pStyle w:val="13"/>
            </w:pPr>
            <w:r>
              <w:t>5.45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5.45</w:t>
            </w:r>
          </w:p>
        </w:tc>
        <w:tc>
          <w:tcPr>
            <w:tcW w:w="2551" w:type="dxa"/>
            <w:vAlign w:val="center"/>
          </w:tcPr>
          <w:p>
            <w:pPr>
              <w:pStyle w:val="13"/>
            </w:pPr>
            <w:r>
              <w:t>5.45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2.54</w:t>
            </w:r>
          </w:p>
        </w:tc>
        <w:tc>
          <w:tcPr>
            <w:tcW w:w="2551" w:type="dxa"/>
            <w:vAlign w:val="center"/>
          </w:tcPr>
          <w:p>
            <w:pPr>
              <w:pStyle w:val="13"/>
            </w:pPr>
            <w:r>
              <w:t>2.54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2.54</w:t>
            </w:r>
          </w:p>
        </w:tc>
        <w:tc>
          <w:tcPr>
            <w:tcW w:w="2551" w:type="dxa"/>
            <w:vAlign w:val="center"/>
          </w:tcPr>
          <w:p>
            <w:pPr>
              <w:pStyle w:val="13"/>
            </w:pPr>
            <w:r>
              <w:t>2.54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2.54</w:t>
            </w:r>
          </w:p>
        </w:tc>
        <w:tc>
          <w:tcPr>
            <w:tcW w:w="2551" w:type="dxa"/>
            <w:vAlign w:val="center"/>
          </w:tcPr>
          <w:p>
            <w:pPr>
              <w:pStyle w:val="13"/>
            </w:pPr>
            <w:r>
              <w:t>2.54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4.41</w:t>
            </w:r>
          </w:p>
        </w:tc>
        <w:tc>
          <w:tcPr>
            <w:tcW w:w="2551" w:type="dxa"/>
            <w:vAlign w:val="center"/>
          </w:tcPr>
          <w:p>
            <w:pPr>
              <w:pStyle w:val="13"/>
            </w:pPr>
            <w:r>
              <w:t>4.41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4.41</w:t>
            </w:r>
          </w:p>
        </w:tc>
        <w:tc>
          <w:tcPr>
            <w:tcW w:w="2551" w:type="dxa"/>
            <w:vAlign w:val="center"/>
          </w:tcPr>
          <w:p>
            <w:pPr>
              <w:pStyle w:val="13"/>
            </w:pPr>
            <w:r>
              <w:t>4.41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4.41</w:t>
            </w:r>
          </w:p>
        </w:tc>
        <w:tc>
          <w:tcPr>
            <w:tcW w:w="2551" w:type="dxa"/>
            <w:vAlign w:val="center"/>
          </w:tcPr>
          <w:p>
            <w:pPr>
              <w:pStyle w:val="13"/>
            </w:pPr>
            <w:r>
              <w:t>4.41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60.49</w:t>
            </w:r>
          </w:p>
        </w:tc>
        <w:tc>
          <w:tcPr>
            <w:tcW w:w="2551" w:type="dxa"/>
            <w:vAlign w:val="center"/>
          </w:tcPr>
          <w:p>
            <w:pPr>
              <w:pStyle w:val="17"/>
            </w:pPr>
            <w:r>
              <w:t>55.07</w:t>
            </w:r>
          </w:p>
        </w:tc>
        <w:tc>
          <w:tcPr>
            <w:tcW w:w="2551" w:type="dxa"/>
            <w:vAlign w:val="center"/>
          </w:tcPr>
          <w:p>
            <w:pPr>
              <w:pStyle w:val="17"/>
            </w:pPr>
            <w:r>
              <w:t>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54.71</w:t>
            </w:r>
          </w:p>
        </w:tc>
        <w:tc>
          <w:tcPr>
            <w:tcW w:w="2551" w:type="dxa"/>
            <w:vAlign w:val="center"/>
          </w:tcPr>
          <w:p>
            <w:pPr>
              <w:pStyle w:val="13"/>
            </w:pPr>
            <w:r>
              <w:t>54.71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26.32</w:t>
            </w:r>
          </w:p>
        </w:tc>
        <w:tc>
          <w:tcPr>
            <w:tcW w:w="2551" w:type="dxa"/>
            <w:vAlign w:val="center"/>
          </w:tcPr>
          <w:p>
            <w:pPr>
              <w:pStyle w:val="13"/>
            </w:pPr>
            <w:r>
              <w:t>26.32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8.27</w:t>
            </w:r>
          </w:p>
        </w:tc>
        <w:tc>
          <w:tcPr>
            <w:tcW w:w="2551" w:type="dxa"/>
            <w:vAlign w:val="center"/>
          </w:tcPr>
          <w:p>
            <w:pPr>
              <w:pStyle w:val="13"/>
            </w:pPr>
            <w:r>
              <w:t>8.27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7.57</w:t>
            </w:r>
          </w:p>
        </w:tc>
        <w:tc>
          <w:tcPr>
            <w:tcW w:w="2551" w:type="dxa"/>
            <w:vAlign w:val="center"/>
          </w:tcPr>
          <w:p>
            <w:pPr>
              <w:pStyle w:val="13"/>
            </w:pPr>
            <w:r>
              <w:t>7.57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5.45</w:t>
            </w:r>
          </w:p>
        </w:tc>
        <w:tc>
          <w:tcPr>
            <w:tcW w:w="2551" w:type="dxa"/>
            <w:vAlign w:val="center"/>
          </w:tcPr>
          <w:p>
            <w:pPr>
              <w:pStyle w:val="13"/>
            </w:pPr>
            <w:r>
              <w:t>5.45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2.54</w:t>
            </w:r>
          </w:p>
        </w:tc>
        <w:tc>
          <w:tcPr>
            <w:tcW w:w="2551" w:type="dxa"/>
            <w:vAlign w:val="center"/>
          </w:tcPr>
          <w:p>
            <w:pPr>
              <w:pStyle w:val="13"/>
            </w:pPr>
            <w:r>
              <w:t>2.54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0.15</w:t>
            </w:r>
          </w:p>
        </w:tc>
        <w:tc>
          <w:tcPr>
            <w:tcW w:w="2551" w:type="dxa"/>
            <w:vAlign w:val="center"/>
          </w:tcPr>
          <w:p>
            <w:pPr>
              <w:pStyle w:val="13"/>
            </w:pPr>
            <w:r>
              <w:t>0.15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4.41</w:t>
            </w:r>
          </w:p>
        </w:tc>
        <w:tc>
          <w:tcPr>
            <w:tcW w:w="2551" w:type="dxa"/>
            <w:vAlign w:val="center"/>
          </w:tcPr>
          <w:p>
            <w:pPr>
              <w:pStyle w:val="13"/>
            </w:pPr>
            <w:r>
              <w:t>4.41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5.22</w:t>
            </w:r>
          </w:p>
        </w:tc>
        <w:tc>
          <w:tcPr>
            <w:tcW w:w="2551" w:type="dxa"/>
            <w:vAlign w:val="center"/>
          </w:tcPr>
          <w:p>
            <w:pPr>
              <w:pStyle w:val="13"/>
            </w:pPr>
          </w:p>
        </w:tc>
        <w:tc>
          <w:tcPr>
            <w:tcW w:w="2551" w:type="dxa"/>
            <w:vAlign w:val="center"/>
          </w:tcPr>
          <w:p>
            <w:pPr>
              <w:pStyle w:val="13"/>
            </w:pPr>
            <w:r>
              <w:t>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0.75</w:t>
            </w:r>
          </w:p>
        </w:tc>
        <w:tc>
          <w:tcPr>
            <w:tcW w:w="2551" w:type="dxa"/>
            <w:vAlign w:val="center"/>
          </w:tcPr>
          <w:p>
            <w:pPr>
              <w:pStyle w:val="13"/>
            </w:pPr>
          </w:p>
        </w:tc>
        <w:tc>
          <w:tcPr>
            <w:tcW w:w="2551" w:type="dxa"/>
            <w:vAlign w:val="center"/>
          </w:tcPr>
          <w:p>
            <w:pPr>
              <w:pStyle w:val="13"/>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3.42</w:t>
            </w:r>
          </w:p>
        </w:tc>
        <w:tc>
          <w:tcPr>
            <w:tcW w:w="2551" w:type="dxa"/>
            <w:vAlign w:val="center"/>
          </w:tcPr>
          <w:p>
            <w:pPr>
              <w:pStyle w:val="13"/>
            </w:pPr>
          </w:p>
        </w:tc>
        <w:tc>
          <w:tcPr>
            <w:tcW w:w="2551" w:type="dxa"/>
            <w:vAlign w:val="center"/>
          </w:tcPr>
          <w:p>
            <w:pPr>
              <w:pStyle w:val="13"/>
            </w:pPr>
            <w:r>
              <w:t>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0.36</w:t>
            </w:r>
          </w:p>
        </w:tc>
        <w:tc>
          <w:tcPr>
            <w:tcW w:w="2551" w:type="dxa"/>
            <w:vAlign w:val="center"/>
          </w:tcPr>
          <w:p>
            <w:pPr>
              <w:pStyle w:val="13"/>
            </w:pPr>
            <w:r>
              <w:t>0.36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0.36</w:t>
            </w:r>
          </w:p>
        </w:tc>
        <w:tc>
          <w:tcPr>
            <w:tcW w:w="2551" w:type="dxa"/>
            <w:vAlign w:val="center"/>
          </w:tcPr>
          <w:p>
            <w:pPr>
              <w:pStyle w:val="13"/>
            </w:pPr>
            <w:r>
              <w:t>0.36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隆尧县妇女联合会2025年部门预算信息公开情况说明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隆尧县妇女联合会2025年部门预算信息公开情况说明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按照《中华人民共和国预算法》、《地方预决算公开操作规程》和《关于进一步推进预算公开工作的实施意见》规定，现将隆尧县妇女联合会2025年部门预算公开如下：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7"/>
      </w:pPr>
      <w:r>
        <w:rPr>
          <w:rFonts w:hint="eastAsia"/>
          <w:lang w:eastAsia="zh-CN"/>
        </w:rPr>
        <w:t>（</w:t>
      </w:r>
      <w:r>
        <w:t>一</w:t>
      </w:r>
      <w:r>
        <w:rPr>
          <w:rFonts w:hint="eastAsia"/>
          <w:lang w:eastAsia="zh-CN"/>
        </w:rPr>
        <w:t>）</w:t>
      </w:r>
      <w:r>
        <w:t>组织引导妇女学习贯彻习近平新时代中国特色社会主义思想和党的路线方针政策，用中国特色社会主义共同理想凝聚妇女。</w:t>
      </w:r>
    </w:p>
    <w:p>
      <w:pPr>
        <w:pStyle w:val="27"/>
      </w:pPr>
      <w:r>
        <w:rPr>
          <w:rFonts w:hint="eastAsia"/>
          <w:lang w:eastAsia="zh-CN"/>
        </w:rPr>
        <w:t>（</w:t>
      </w:r>
      <w:r>
        <w:t>二</w:t>
      </w:r>
      <w:r>
        <w:rPr>
          <w:rFonts w:hint="eastAsia"/>
          <w:lang w:eastAsia="zh-CN"/>
        </w:rPr>
        <w:t>）</w:t>
      </w:r>
      <w:r>
        <w:t>团结动员妇女投身改革开放和社会主义经济建设、政治建设、文化建设、社会建设和生态文明建设，注重发挥妇女在社会生活和家庭生活中的独特作用，为中国特色社会主义伟大实践作贡献。</w:t>
      </w:r>
    </w:p>
    <w:p>
      <w:pPr>
        <w:pStyle w:val="27"/>
      </w:pPr>
      <w:r>
        <w:rPr>
          <w:rFonts w:hint="eastAsia"/>
          <w:lang w:eastAsia="zh-CN"/>
        </w:rPr>
        <w:t>（</w:t>
      </w:r>
      <w:r>
        <w:t>三</w:t>
      </w:r>
      <w:r>
        <w:rPr>
          <w:rFonts w:hint="eastAsia"/>
          <w:lang w:eastAsia="zh-CN"/>
        </w:rPr>
        <w:t>）</w:t>
      </w:r>
      <w:r>
        <w:t>教育、引导广大妇女，增强自尊、自信</w:t>
      </w:r>
      <w:r>
        <w:rPr>
          <w:rFonts w:hint="eastAsia"/>
          <w:lang w:eastAsia="zh-CN"/>
        </w:rPr>
        <w:t>、</w:t>
      </w:r>
      <w:r>
        <w:t>自立</w:t>
      </w:r>
      <w:r>
        <w:rPr>
          <w:rFonts w:hint="eastAsia"/>
          <w:lang w:eastAsia="zh-CN"/>
        </w:rPr>
        <w:t>、</w:t>
      </w:r>
      <w:r>
        <w:t>自强的精神，全面提高素质，促进妇女人才成长。</w:t>
      </w:r>
    </w:p>
    <w:p>
      <w:pPr>
        <w:pStyle w:val="27"/>
      </w:pPr>
      <w:r>
        <w:rPr>
          <w:rFonts w:hint="eastAsia"/>
          <w:lang w:eastAsia="zh-CN"/>
        </w:rPr>
        <w:t>（</w:t>
      </w:r>
      <w:r>
        <w:t>四</w:t>
      </w:r>
      <w:r>
        <w:rPr>
          <w:rFonts w:hint="eastAsia"/>
          <w:lang w:eastAsia="zh-CN"/>
        </w:rPr>
        <w:t>）</w:t>
      </w:r>
      <w:r>
        <w:t>代表妇女参与有关国家和社会事务的民主管理、民主监督，维护妇女儿童合法权益。</w:t>
      </w:r>
    </w:p>
    <w:p>
      <w:pPr>
        <w:pStyle w:val="27"/>
      </w:pPr>
      <w:r>
        <w:rPr>
          <w:rFonts w:hint="eastAsia"/>
          <w:lang w:eastAsia="zh-CN"/>
        </w:rPr>
        <w:t>（</w:t>
      </w:r>
      <w:r>
        <w:t>五</w:t>
      </w:r>
      <w:r>
        <w:rPr>
          <w:rFonts w:hint="eastAsia"/>
          <w:lang w:eastAsia="zh-CN"/>
        </w:rPr>
        <w:t>）</w:t>
      </w:r>
      <w:r>
        <w:t>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pStyle w:val="27"/>
      </w:pPr>
      <w:r>
        <w:rPr>
          <w:rFonts w:hint="eastAsia"/>
          <w:lang w:eastAsia="zh-CN"/>
        </w:rPr>
        <w:t>（</w:t>
      </w:r>
      <w:r>
        <w:t>六</w:t>
      </w:r>
      <w:r>
        <w:rPr>
          <w:rFonts w:hint="eastAsia"/>
          <w:lang w:eastAsia="zh-CN"/>
        </w:rPr>
        <w:t>）</w:t>
      </w:r>
      <w:r>
        <w:t>带领广大妇女在贯彻新发展理念构建新发展格局、推动高质量发展中建功立业，充分发挥家庭家教家风在基层社会治理中的重要作用。</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隆尧县妇女联合会本级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部门预算的编制实行综合预算管理，即全部收入和支出都反映在预算中。隆尧县妇女联合会的收支包含在部门预算中。</w:t>
      </w:r>
    </w:p>
    <w:p>
      <w:pPr>
        <w:pStyle w:val="20"/>
      </w:pPr>
      <w:r>
        <w:t>1、收入说明</w:t>
      </w:r>
    </w:p>
    <w:p>
      <w:pPr>
        <w:pStyle w:val="20"/>
      </w:pPr>
      <w:r>
        <w:t>反映本部门当年全部收入。202</w:t>
      </w:r>
      <w:r>
        <w:rPr>
          <w:rFonts w:hint="eastAsia"/>
          <w:lang w:val="en-US" w:eastAsia="zh-CN"/>
        </w:rPr>
        <w:t>5</w:t>
      </w:r>
      <w:r>
        <w:t>年预算收入</w:t>
      </w:r>
      <w:r>
        <w:rPr>
          <w:rFonts w:hint="eastAsia"/>
          <w:lang w:val="en-US" w:eastAsia="zh-CN"/>
        </w:rPr>
        <w:t>65.49</w:t>
      </w:r>
      <w:r>
        <w:t>万元，其中：一般公共预算收入</w:t>
      </w:r>
      <w:r>
        <w:rPr>
          <w:rFonts w:hint="eastAsia"/>
          <w:lang w:val="en-US" w:eastAsia="zh-CN"/>
        </w:rPr>
        <w:t>65.49</w:t>
      </w:r>
      <w:r>
        <w:t>万元，基金预算收入0万元，国有资本经营预算收入0万元，财政专户核拨收入0万元，单位资金收入0万元，上年结转结余0万元。</w:t>
      </w:r>
    </w:p>
    <w:p>
      <w:pPr>
        <w:pStyle w:val="20"/>
      </w:pPr>
      <w:r>
        <w:t>2、支出说明</w:t>
      </w:r>
    </w:p>
    <w:p>
      <w:pPr>
        <w:pStyle w:val="20"/>
        <w:rPr>
          <w:rFonts w:hint="default" w:eastAsia="方正仿宋_GBK"/>
          <w:lang w:val="en-US" w:eastAsia="zh-CN"/>
        </w:rPr>
      </w:pPr>
      <w:r>
        <w:t>收支预算总表支出栏、基本支出表、项目支出表按经济分类和支出功能分类科目编制，反映隆尧县妇女联合会年度部门预算中支出预算的总体情况。202</w:t>
      </w:r>
      <w:r>
        <w:rPr>
          <w:rFonts w:hint="eastAsia"/>
          <w:lang w:val="en-US" w:eastAsia="zh-CN"/>
        </w:rPr>
        <w:t>5</w:t>
      </w:r>
      <w:r>
        <w:t>年部门支出预算为</w:t>
      </w:r>
      <w:r>
        <w:rPr>
          <w:rFonts w:hint="eastAsia"/>
          <w:lang w:val="en-US" w:eastAsia="zh-CN"/>
        </w:rPr>
        <w:t>65.49</w:t>
      </w:r>
      <w:r>
        <w:t>万元，其中</w:t>
      </w:r>
      <w:r>
        <w:rPr>
          <w:rFonts w:hint="eastAsia"/>
          <w:lang w:eastAsia="zh-CN"/>
        </w:rPr>
        <w:t>：</w:t>
      </w:r>
      <w:r>
        <w:t>基本支出</w:t>
      </w:r>
      <w:r>
        <w:rPr>
          <w:rFonts w:hint="eastAsia"/>
          <w:lang w:val="en-US" w:eastAsia="zh-CN"/>
        </w:rPr>
        <w:t>60.49</w:t>
      </w:r>
      <w:r>
        <w:t>万元，包括人员经费</w:t>
      </w:r>
      <w:r>
        <w:rPr>
          <w:rFonts w:hint="eastAsia"/>
          <w:lang w:val="en-US" w:eastAsia="zh-CN"/>
        </w:rPr>
        <w:t>55.07</w:t>
      </w:r>
      <w:r>
        <w:t>万元和日常公用经费</w:t>
      </w:r>
      <w:r>
        <w:rPr>
          <w:rFonts w:hint="eastAsia"/>
          <w:lang w:val="en-US" w:eastAsia="zh-CN"/>
        </w:rPr>
        <w:t>5.42</w:t>
      </w:r>
      <w:r>
        <w:t>万元；项目支出</w:t>
      </w:r>
      <w:r>
        <w:rPr>
          <w:rFonts w:hint="eastAsia"/>
          <w:lang w:val="en-US" w:eastAsia="zh-CN"/>
        </w:rPr>
        <w:t>5</w:t>
      </w:r>
      <w:r>
        <w:t>万元</w:t>
      </w:r>
      <w:r>
        <w:rPr>
          <w:rFonts w:hint="eastAsia"/>
          <w:lang w:eastAsia="zh-CN"/>
        </w:rPr>
        <w:t>，主要包括美丽庭院、家庭教育、女性素质提升</w:t>
      </w:r>
      <w:r>
        <w:rPr>
          <w:rFonts w:hint="eastAsia" w:ascii="方正仿宋_GBK" w:hAnsi="方正仿宋_GBK" w:cs="方正仿宋_GBK"/>
          <w:color w:val="000000"/>
          <w:sz w:val="28"/>
          <w:lang w:val="en-US" w:eastAsia="zh-CN"/>
        </w:rPr>
        <w:t>。</w:t>
      </w:r>
    </w:p>
    <w:p>
      <w:pPr>
        <w:pStyle w:val="20"/>
      </w:pPr>
      <w:r>
        <w:t>3、比上年增减情况</w:t>
      </w:r>
    </w:p>
    <w:p>
      <w:pPr>
        <w:pStyle w:val="20"/>
      </w:pPr>
      <w:r>
        <w:t>202</w:t>
      </w:r>
      <w:r>
        <w:rPr>
          <w:rFonts w:hint="eastAsia"/>
          <w:lang w:val="en-US" w:eastAsia="zh-CN"/>
        </w:rPr>
        <w:t>5</w:t>
      </w:r>
      <w:r>
        <w:t>年部门预算收支安排</w:t>
      </w:r>
      <w:r>
        <w:rPr>
          <w:rFonts w:hint="eastAsia"/>
          <w:lang w:val="en-US" w:eastAsia="zh-CN"/>
        </w:rPr>
        <w:t>65.49</w:t>
      </w:r>
      <w:r>
        <w:t>万元，较202</w:t>
      </w:r>
      <w:r>
        <w:rPr>
          <w:rFonts w:hint="eastAsia"/>
          <w:lang w:val="en-US" w:eastAsia="zh-CN"/>
        </w:rPr>
        <w:t>4</w:t>
      </w:r>
      <w:r>
        <w:t>年</w:t>
      </w:r>
      <w:r>
        <w:rPr>
          <w:rFonts w:hint="eastAsia"/>
          <w:lang w:val="en-US" w:eastAsia="zh-CN"/>
        </w:rPr>
        <w:t>减少4.64</w:t>
      </w:r>
      <w:r>
        <w:t>万元，其中：基本支出</w:t>
      </w:r>
      <w:r>
        <w:rPr>
          <w:rFonts w:hint="eastAsia"/>
          <w:lang w:val="en-US" w:eastAsia="zh-CN"/>
        </w:rPr>
        <w:t>增加17.26</w:t>
      </w:r>
      <w:r>
        <w:t>万元，主要为</w:t>
      </w:r>
      <w:r>
        <w:rPr>
          <w:rFonts w:hint="eastAsia"/>
          <w:lang w:val="en-US" w:eastAsia="zh-CN"/>
        </w:rPr>
        <w:t>增加</w:t>
      </w:r>
      <w:r>
        <w:t>一名公务员</w:t>
      </w:r>
      <w:r>
        <w:rPr>
          <w:rFonts w:hint="eastAsia"/>
          <w:lang w:eastAsia="zh-CN"/>
        </w:rPr>
        <w:t>及工资调整</w:t>
      </w:r>
      <w:r>
        <w:t>；项目支出</w:t>
      </w:r>
      <w:r>
        <w:rPr>
          <w:rFonts w:hint="eastAsia"/>
          <w:lang w:val="en-US" w:eastAsia="zh-CN"/>
        </w:rPr>
        <w:t>减少21.9</w:t>
      </w:r>
      <w:r>
        <w:t>万元，主要为</w:t>
      </w:r>
      <w:r>
        <w:rPr>
          <w:rFonts w:hint="eastAsia"/>
          <w:lang w:val="en-US" w:eastAsia="zh-CN"/>
        </w:rPr>
        <w:t>减少</w:t>
      </w:r>
      <w:r>
        <w:rPr>
          <w:rFonts w:ascii="方正仿宋_GBK" w:hAnsi="方正仿宋_GBK" w:eastAsia="方正仿宋_GBK" w:cs="方正仿宋_GBK"/>
          <w:color w:val="000000"/>
          <w:sz w:val="28"/>
        </w:rPr>
        <w:t>省级妇女之家建设专项资金</w:t>
      </w:r>
      <w:r>
        <w:rPr>
          <w:rFonts w:hint="eastAsia" w:ascii="方正仿宋_GBK" w:hAnsi="方正仿宋_GBK" w:cs="方正仿宋_GBK"/>
          <w:color w:val="000000"/>
          <w:sz w:val="28"/>
          <w:lang w:val="en-US" w:eastAsia="zh-CN"/>
        </w:rPr>
        <w:t>8.5万元，</w:t>
      </w:r>
      <w:r>
        <w:rPr>
          <w:rFonts w:hint="eastAsia"/>
          <w:lang w:val="en-US" w:eastAsia="zh-CN"/>
        </w:rPr>
        <w:t>其他项目经费减少13.4万元</w:t>
      </w:r>
      <w:r>
        <w:t>。</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w:t>
      </w:r>
      <w:r>
        <w:rPr>
          <w:rFonts w:hint="eastAsia"/>
          <w:lang w:val="en-US" w:eastAsia="zh-CN"/>
        </w:rPr>
        <w:t>5</w:t>
      </w:r>
      <w:r>
        <w:t>年，我部门机关运行经费共计安排</w:t>
      </w:r>
      <w:r>
        <w:rPr>
          <w:rFonts w:hint="eastAsia"/>
          <w:lang w:val="en-US" w:eastAsia="zh-CN"/>
        </w:rPr>
        <w:t>5.42</w:t>
      </w:r>
      <w:r>
        <w:t>万元，主要用于保证机关正常运转的办公费、</w:t>
      </w:r>
      <w:r>
        <w:rPr>
          <w:rFonts w:hint="eastAsia"/>
          <w:lang w:eastAsia="zh-CN"/>
        </w:rPr>
        <w:t>印刷费、</w:t>
      </w:r>
      <w:r>
        <w:rPr>
          <w:rFonts w:hint="eastAsia"/>
          <w:lang w:val="en-US" w:eastAsia="zh-CN"/>
        </w:rPr>
        <w:t>水费、电费、取暖费、差旅费、维修（护）费</w:t>
      </w:r>
      <w:r>
        <w:t>、其他交通</w:t>
      </w:r>
      <w:r>
        <w:rPr>
          <w:rFonts w:hint="eastAsia"/>
          <w:lang w:val="en-US" w:eastAsia="zh-CN"/>
        </w:rPr>
        <w:t>费、其他商品和服务支出、办公设备购置。</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w:t>
      </w:r>
      <w:r>
        <w:rPr>
          <w:rFonts w:hint="eastAsia"/>
          <w:lang w:val="en-US" w:eastAsia="zh-CN"/>
        </w:rPr>
        <w:t>5</w:t>
      </w:r>
      <w:r>
        <w:t>年，我部门财政拨款“三公”经费预算安排0万元，其中：因公出国（境）费0万元；公务用车购置及运维费0万元（其中：公务用车购置费0万元，公务用车运行维护费0万元)；公务接待费0万元。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一是美丽庭院示范创建工作。对12个乡镇美丽庭院建设加大宣传力度，高质量完成创建任务。</w:t>
      </w:r>
    </w:p>
    <w:p>
      <w:pPr>
        <w:pStyle w:val="23"/>
      </w:pPr>
      <w:r>
        <w:t>二是“河北福嫂、燕赵家政”提质扩容工程。开展巾帼家政宣讲进社区（乡村）宣讲活动，培树巾帼家政基地及系列福嫂典型。</w:t>
      </w:r>
    </w:p>
    <w:p>
      <w:pPr>
        <w:pStyle w:val="23"/>
      </w:pPr>
      <w:r>
        <w:t>三是做好家庭教育建设。提升家庭教育质量，开展智慧父母研修班3期。开展亲子阅读，举办心理健康讲座。</w:t>
      </w:r>
    </w:p>
    <w:p>
      <w:pPr>
        <w:pStyle w:val="23"/>
      </w:pPr>
      <w:r>
        <w:t>四是持续开展关爱城乡大龄未婚青年活动。组织巾帼志愿者深入乡镇、社区开展宣传活动，宣讲移风易俗新政策，抵制天价彩礼，让移风易俗新倡导走进百姓家中、进入群众心中。在元旦、春节、“5.20”、七夕、元旦等时间节点，举办婚恋交友主题活动，为全县城乡大龄未婚青年搭建交友平台，提供婚恋服务。</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1、加强普法宣传力度，创建美丽庭院。</w:t>
      </w:r>
    </w:p>
    <w:p>
      <w:pPr>
        <w:pStyle w:val="2"/>
        <w:spacing w:before="182" w:line="285" w:lineRule="auto"/>
        <w:ind w:right="139" w:firstLine="563"/>
      </w:pPr>
      <w:r>
        <w:t>绩效目标：</w:t>
      </w:r>
      <w:r>
        <w:rPr>
          <w:spacing w:val="-2"/>
        </w:rPr>
        <w:t>坚持“人美”核心，</w:t>
      </w:r>
      <w:r>
        <w:rPr>
          <w:spacing w:val="-40"/>
        </w:rPr>
        <w:t xml:space="preserve"> </w:t>
      </w:r>
      <w:r>
        <w:rPr>
          <w:spacing w:val="-2"/>
        </w:rPr>
        <w:t>以引领妇女和家庭改变</w:t>
      </w:r>
      <w:r>
        <w:rPr>
          <w:spacing w:val="-3"/>
        </w:rPr>
        <w:t>生活陋习、建立科学文明生活方式为重点</w:t>
      </w:r>
      <w:r>
        <w:rPr>
          <w:spacing w:val="-34"/>
        </w:rPr>
        <w:t xml:space="preserve"> </w:t>
      </w:r>
      <w:r>
        <w:rPr>
          <w:spacing w:val="-3"/>
        </w:rPr>
        <w:t>，充分调动广大农</w:t>
      </w:r>
      <w:r>
        <w:t xml:space="preserve"> </w:t>
      </w:r>
      <w:r>
        <w:rPr>
          <w:spacing w:val="-1"/>
        </w:rPr>
        <w:t>村家庭成员创建美丽庭院的主动性和创造性</w:t>
      </w:r>
      <w:r>
        <w:rPr>
          <w:spacing w:val="-34"/>
        </w:rPr>
        <w:t xml:space="preserve"> </w:t>
      </w:r>
      <w:r>
        <w:rPr>
          <w:spacing w:val="-1"/>
        </w:rPr>
        <w:t>，努力培育农村</w:t>
      </w:r>
      <w:r>
        <w:rPr>
          <w:spacing w:val="-2"/>
        </w:rPr>
        <w:t>家庭成员在建设美丽乡村活动中的主人翁意识。</w:t>
      </w:r>
    </w:p>
    <w:p>
      <w:pPr>
        <w:pStyle w:val="24"/>
      </w:pPr>
      <w:r>
        <w:rPr>
          <w:rFonts w:hint="eastAsia"/>
          <w:lang w:val="en-US" w:eastAsia="zh-CN"/>
        </w:rPr>
        <w:t>绩效指标：</w:t>
      </w:r>
      <w:r>
        <w:t>普法宣讲妇女维权、法律宣传5场次，创建美丽庭院4800户。</w:t>
      </w:r>
    </w:p>
    <w:p>
      <w:pPr>
        <w:pStyle w:val="24"/>
      </w:pPr>
      <w:r>
        <w:t>2、</w:t>
      </w:r>
      <w:r>
        <w:rPr>
          <w:rFonts w:hint="eastAsia"/>
          <w:lang w:val="en-US" w:eastAsia="zh-CN"/>
        </w:rPr>
        <w:t>实施巾帼创新创业行动</w:t>
      </w:r>
      <w:r>
        <w:t>。</w:t>
      </w:r>
    </w:p>
    <w:p>
      <w:pPr>
        <w:pStyle w:val="2"/>
        <w:spacing w:before="120" w:line="200" w:lineRule="auto"/>
        <w:ind w:left="5" w:right="237" w:firstLine="563"/>
        <w:jc w:val="both"/>
      </w:pPr>
      <w:r>
        <w:t>绩效目标：在全</w:t>
      </w:r>
      <w:r>
        <w:rPr>
          <w:rFonts w:hint="eastAsia"/>
          <w:lang w:val="en-US" w:eastAsia="zh-CN"/>
        </w:rPr>
        <w:t>县</w:t>
      </w:r>
      <w:r>
        <w:t>开展“</w:t>
      </w:r>
      <w:r>
        <w:rPr>
          <w:spacing w:val="-55"/>
        </w:rPr>
        <w:t xml:space="preserve"> </w:t>
      </w:r>
      <w:r>
        <w:t>河北福嫂</w:t>
      </w:r>
      <w:r>
        <w:rPr>
          <w:spacing w:val="32"/>
        </w:rPr>
        <w:t xml:space="preserve"> </w:t>
      </w:r>
      <w:r>
        <w:t>·</w:t>
      </w:r>
      <w:r>
        <w:rPr>
          <w:spacing w:val="-57"/>
        </w:rPr>
        <w:t xml:space="preserve"> </w:t>
      </w:r>
      <w:r>
        <w:t>燕赵家政”提</w:t>
      </w:r>
      <w:r>
        <w:rPr>
          <w:spacing w:val="-1"/>
        </w:rPr>
        <w:t>质扩容工程。培育星级巾帼家政基地</w:t>
      </w:r>
      <w:r>
        <w:rPr>
          <w:spacing w:val="-34"/>
        </w:rPr>
        <w:t xml:space="preserve"> </w:t>
      </w:r>
      <w:r>
        <w:rPr>
          <w:spacing w:val="-1"/>
        </w:rPr>
        <w:t>，依托我</w:t>
      </w:r>
      <w:r>
        <w:rPr>
          <w:rFonts w:hint="eastAsia"/>
          <w:spacing w:val="-1"/>
          <w:lang w:val="en-US" w:eastAsia="zh-CN"/>
        </w:rPr>
        <w:t>县</w:t>
      </w:r>
      <w:r>
        <w:rPr>
          <w:spacing w:val="-1"/>
        </w:rPr>
        <w:t>各类基地在全</w:t>
      </w:r>
      <w:r>
        <w:rPr>
          <w:rFonts w:hint="eastAsia"/>
          <w:spacing w:val="-1"/>
          <w:lang w:val="en-US" w:eastAsia="zh-CN"/>
        </w:rPr>
        <w:t>县</w:t>
      </w:r>
      <w:r>
        <w:rPr>
          <w:spacing w:val="-2"/>
        </w:rPr>
        <w:t>开展家政、月嫂等妇女技能培训</w:t>
      </w:r>
      <w:r>
        <w:rPr>
          <w:spacing w:val="-34"/>
        </w:rPr>
        <w:t xml:space="preserve"> </w:t>
      </w:r>
      <w:r>
        <w:rPr>
          <w:spacing w:val="-2"/>
        </w:rPr>
        <w:t>，通过培训帮助妇女提高就业技能</w:t>
      </w:r>
      <w:r>
        <w:rPr>
          <w:spacing w:val="-36"/>
        </w:rPr>
        <w:t xml:space="preserve"> </w:t>
      </w:r>
      <w:r>
        <w:rPr>
          <w:spacing w:val="-2"/>
        </w:rPr>
        <w:t>，提高妇女科技</w:t>
      </w:r>
      <w:r>
        <w:rPr>
          <w:spacing w:val="-3"/>
        </w:rPr>
        <w:t>素质、经营管理能力为实</w:t>
      </w:r>
      <w:r>
        <w:t xml:space="preserve"> </w:t>
      </w:r>
      <w:r>
        <w:rPr>
          <w:spacing w:val="-1"/>
        </w:rPr>
        <w:t>现妇女创业就业打下良好基础。</w:t>
      </w:r>
    </w:p>
    <w:p>
      <w:pPr>
        <w:pStyle w:val="24"/>
        <w:rPr>
          <w:rFonts w:hint="default" w:eastAsia="方正仿宋_GBK"/>
          <w:lang w:val="en-US" w:eastAsia="zh-CN"/>
        </w:rPr>
      </w:pPr>
      <w:r>
        <w:rPr>
          <w:rFonts w:hint="eastAsia"/>
          <w:lang w:val="en-US" w:eastAsia="zh-CN"/>
        </w:rPr>
        <w:t>绩效指标：全县开展</w:t>
      </w:r>
      <w:r>
        <w:t>举办妇女家政培训、讲座3场次。</w:t>
      </w:r>
      <w:r>
        <w:rPr>
          <w:rFonts w:hint="eastAsia"/>
          <w:lang w:val="en-US" w:eastAsia="zh-CN"/>
        </w:rPr>
        <w:t>引领妇女创业就业人数不少于100人。</w:t>
      </w:r>
    </w:p>
    <w:p>
      <w:pPr>
        <w:pStyle w:val="24"/>
        <w:rPr>
          <w:rFonts w:hint="eastAsia" w:eastAsia="方正仿宋_GBK"/>
          <w:lang w:eastAsia="zh-CN"/>
        </w:rPr>
      </w:pPr>
      <w:r>
        <w:t>3、</w:t>
      </w:r>
      <w:r>
        <w:rPr>
          <w:rFonts w:hint="eastAsia"/>
          <w:lang w:val="en-US" w:eastAsia="zh-CN"/>
        </w:rPr>
        <w:t>做好家庭教育建设</w:t>
      </w:r>
      <w:r>
        <w:rPr>
          <w:rFonts w:hint="eastAsia"/>
          <w:lang w:eastAsia="zh-CN"/>
        </w:rPr>
        <w:t>。</w:t>
      </w:r>
    </w:p>
    <w:p>
      <w:pPr>
        <w:pStyle w:val="24"/>
      </w:pPr>
      <w:r>
        <w:t>绩效目标：依托“家长学校”、“知子花开”巾帼家教服务站，宣传立德树人家庭典型事迹，弘扬好家风、好家训、好家教进社区、进学校、进家庭</w:t>
      </w:r>
      <w:r>
        <w:rPr>
          <w:rFonts w:hint="eastAsia"/>
          <w:lang w:eastAsia="zh-CN"/>
        </w:rPr>
        <w:t>。</w:t>
      </w:r>
    </w:p>
    <w:p>
      <w:pPr>
        <w:pStyle w:val="24"/>
        <w:rPr>
          <w:rFonts w:hint="eastAsia" w:eastAsia="方正仿宋_GBK"/>
          <w:lang w:val="en-US" w:eastAsia="zh-CN"/>
        </w:rPr>
      </w:pPr>
      <w:r>
        <w:rPr>
          <w:rFonts w:hint="eastAsia"/>
          <w:lang w:val="en-US" w:eastAsia="zh-CN"/>
        </w:rPr>
        <w:t>绩效指标：</w:t>
      </w:r>
      <w:r>
        <w:t>提升家庭教育质量，开展智慧父母研修班3期。开展亲子阅读，举办心理健康讲座</w:t>
      </w:r>
      <w:r>
        <w:rPr>
          <w:rFonts w:hint="eastAsia"/>
          <w:lang w:val="en-US" w:eastAsia="zh-CN"/>
        </w:rPr>
        <w:t>3场次</w:t>
      </w:r>
      <w:r>
        <w:rPr>
          <w:rFonts w:hint="eastAsia"/>
          <w:lang w:eastAsia="zh-CN"/>
        </w:rPr>
        <w:t>。</w:t>
      </w:r>
    </w:p>
    <w:p>
      <w:pPr>
        <w:pStyle w:val="24"/>
        <w:rPr>
          <w:rFonts w:hint="default" w:eastAsia="方正仿宋_GBK"/>
          <w:lang w:val="en-US" w:eastAsia="zh-CN"/>
        </w:rPr>
      </w:pPr>
      <w:r>
        <w:t>4、</w:t>
      </w:r>
      <w:r>
        <w:rPr>
          <w:rFonts w:hint="eastAsia"/>
          <w:lang w:val="en-US" w:eastAsia="zh-CN"/>
        </w:rPr>
        <w:t>妇联服务妇女儿童工作有序运行。</w:t>
      </w:r>
    </w:p>
    <w:p>
      <w:pPr>
        <w:pStyle w:val="24"/>
      </w:pPr>
      <w:r>
        <w:rPr>
          <w:rFonts w:hint="eastAsia"/>
          <w:lang w:val="en-US" w:eastAsia="zh-CN"/>
        </w:rPr>
        <w:t>绩效目标：</w:t>
      </w:r>
      <w:r>
        <w:t>积极维护妇女儿童合法权益。围绕三八维权周、国际消除家庭暴力日、国家宪法日等节日节点开展普法宣传、增强妇女维权意识，积极开展救助困境妇女儿童，为妇女儿童办好事办实事。</w:t>
      </w:r>
    </w:p>
    <w:p>
      <w:pPr>
        <w:pStyle w:val="2"/>
        <w:spacing w:line="283" w:lineRule="auto"/>
        <w:ind w:left="10" w:right="395" w:firstLine="623"/>
      </w:pPr>
      <w:r>
        <w:t>绩效</w:t>
      </w:r>
      <w:r>
        <w:rPr>
          <w:rFonts w:hint="eastAsia"/>
          <w:lang w:val="en-US" w:eastAsia="zh-CN"/>
        </w:rPr>
        <w:t>指标</w:t>
      </w:r>
      <w:r>
        <w:t>：</w:t>
      </w:r>
      <w:r>
        <w:rPr>
          <w:rFonts w:hint="eastAsia"/>
          <w:lang w:val="en-US" w:eastAsia="zh-CN"/>
        </w:rPr>
        <w:t>召开</w:t>
      </w:r>
      <w:r>
        <w:t>妇女活动</w:t>
      </w:r>
      <w:r>
        <w:rPr>
          <w:rFonts w:hint="eastAsia"/>
          <w:lang w:val="en-US" w:eastAsia="zh-CN"/>
        </w:rPr>
        <w:t>会议不少于3场次，</w:t>
      </w:r>
      <w:r>
        <w:rPr>
          <w:spacing w:val="-6"/>
        </w:rPr>
        <w:t>妇女来电来访答复率</w:t>
      </w:r>
      <w:r>
        <w:rPr>
          <w:spacing w:val="-36"/>
        </w:rPr>
        <w:t xml:space="preserve"> </w:t>
      </w:r>
      <w:r>
        <w:rPr>
          <w:rFonts w:hint="eastAsia"/>
          <w:spacing w:val="-36"/>
          <w:lang w:eastAsia="zh-CN"/>
        </w:rPr>
        <w:t>，</w:t>
      </w:r>
      <w:r>
        <w:rPr>
          <w:spacing w:val="-6"/>
        </w:rPr>
        <w:t xml:space="preserve">不低于 </w:t>
      </w:r>
      <w:r>
        <w:rPr>
          <w:rFonts w:ascii="Times New Roman" w:hAnsi="Times New Roman" w:eastAsia="Times New Roman" w:cs="Times New Roman"/>
          <w:spacing w:val="-6"/>
        </w:rPr>
        <w:t>90%</w:t>
      </w:r>
      <w:r>
        <w:rPr>
          <w:rFonts w:ascii="Times New Roman" w:hAnsi="Times New Roman" w:eastAsia="Times New Roman" w:cs="Times New Roman"/>
          <w:spacing w:val="-20"/>
        </w:rPr>
        <w:t xml:space="preserve"> </w:t>
      </w:r>
      <w:r>
        <w:rPr>
          <w:spacing w:val="-6"/>
        </w:rPr>
        <w:t>；来电来访妇女满意度</w:t>
      </w:r>
      <w:r>
        <w:rPr>
          <w:spacing w:val="-34"/>
        </w:rPr>
        <w:t xml:space="preserve"> </w:t>
      </w:r>
      <w:r>
        <w:rPr>
          <w:spacing w:val="-7"/>
        </w:rPr>
        <w:t xml:space="preserve">，达到 </w:t>
      </w:r>
      <w:r>
        <w:rPr>
          <w:rFonts w:ascii="Times New Roman" w:hAnsi="Times New Roman" w:eastAsia="Times New Roman" w:cs="Times New Roman"/>
          <w:spacing w:val="-7"/>
        </w:rPr>
        <w:t>9</w:t>
      </w:r>
      <w:r>
        <w:rPr>
          <w:rFonts w:hint="eastAsia" w:ascii="Times New Roman" w:hAnsi="Times New Roman" w:eastAsia="宋体" w:cs="Times New Roman"/>
          <w:spacing w:val="-7"/>
          <w:lang w:val="en-US" w:eastAsia="zh-CN"/>
        </w:rPr>
        <w:t>5</w:t>
      </w:r>
      <w:r>
        <w:rPr>
          <w:rFonts w:ascii="Times New Roman" w:hAnsi="Times New Roman" w:eastAsia="Times New Roman" w:cs="Times New Roman"/>
          <w:spacing w:val="-7"/>
        </w:rPr>
        <w:t>%</w:t>
      </w:r>
      <w:r>
        <w:rPr>
          <w:spacing w:val="-7"/>
        </w:rPr>
        <w:t>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3、加强内部监督。加强内部监督制度建设，对绩效运行、重大支出事项、资产处置及其他重要经济业务事项决策和执行进行监督，确保财政资金使用安全合规。</w:t>
      </w:r>
    </w:p>
    <w:p>
      <w:pPr>
        <w:pStyle w:val="25"/>
      </w:pPr>
      <w:r>
        <w:t>4、加强绩效监控。积极开展绩效运行监控，发现问题及时采取措施，确保绩效目标如期保质保量实现。</w:t>
      </w:r>
    </w:p>
    <w:p>
      <w:pPr>
        <w:pStyle w:val="25"/>
      </w:pPr>
      <w:r>
        <w:t>5、做好绩效自评。按要求开展部门预算绩效自评和重点项目评价工作，对评价中发现的问题及时整改。</w:t>
      </w:r>
    </w:p>
    <w:p>
      <w:pPr>
        <w:pStyle w:val="25"/>
      </w:pPr>
      <w:r>
        <w:t>6、加强宣传培训。加强人员培训，加大促进预算绩效管理水平提升。效管理意识，促进预算绩效管理水平提升。</w:t>
      </w:r>
    </w:p>
    <w:p>
      <w:pPr>
        <w:pStyle w:val="25"/>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pStyle w:val="25"/>
      </w:pPr>
      <w:r>
        <w:rPr>
          <w:rFonts w:hint="eastAsia" w:ascii="黑体" w:hAnsi="黑体" w:eastAsia="黑体" w:cs="黑体"/>
          <w:color w:val="000000"/>
          <w:sz w:val="32"/>
          <w:lang w:val="en-US" w:eastAsia="zh-CN"/>
        </w:rPr>
        <w:t xml:space="preserve">   </w:t>
      </w:r>
      <w:bookmarkStart w:id="20" w:name="_GoBack"/>
      <w:bookmarkEnd w:id="20"/>
      <w:r>
        <w:rPr>
          <w:rFonts w:hint="eastAsia"/>
          <w:lang w:val="en-US" w:eastAsia="zh-CN"/>
        </w:rPr>
        <w:t>本年度本部门无专项资金预算安排。</w:t>
      </w:r>
    </w:p>
    <w:p>
      <w:pPr>
        <w:numPr>
          <w:ilvl w:val="0"/>
          <w:numId w:val="0"/>
        </w:numPr>
        <w:spacing w:before="10" w:after="10" w:line="360" w:lineRule="auto"/>
        <w:ind w:firstLine="960" w:firstLineChars="300"/>
        <w:jc w:val="left"/>
        <w:outlineLvl w:val="2"/>
        <w:rPr>
          <w:rFonts w:hint="eastAsia" w:ascii="黑体" w:hAnsi="黑体" w:eastAsia="黑体" w:cs="黑体"/>
          <w:color w:val="000000"/>
          <w:sz w:val="32"/>
          <w:lang w:val="en-US" w:eastAsia="zh-CN"/>
        </w:rPr>
      </w:pPr>
    </w:p>
    <w:p>
      <w:pPr>
        <w:numPr>
          <w:ilvl w:val="0"/>
          <w:numId w:val="0"/>
        </w:numPr>
        <w:spacing w:before="10" w:after="10" w:line="360" w:lineRule="auto"/>
        <w:ind w:firstLine="960" w:firstLineChars="300"/>
        <w:jc w:val="left"/>
        <w:outlineLvl w:val="2"/>
        <w:rPr>
          <w:rFonts w:hint="eastAsia" w:ascii="黑体" w:hAnsi="黑体" w:eastAsia="黑体" w:cs="黑体"/>
          <w:color w:val="000000"/>
          <w:sz w:val="32"/>
          <w:lang w:val="en-US" w:eastAsia="zh-CN"/>
        </w:rPr>
      </w:pPr>
    </w:p>
    <w:p>
      <w:pPr>
        <w:numPr>
          <w:ilvl w:val="0"/>
          <w:numId w:val="0"/>
        </w:numPr>
        <w:spacing w:before="10" w:after="10" w:line="360" w:lineRule="auto"/>
        <w:ind w:firstLine="960" w:firstLineChars="3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pPr>
        <w:numPr>
          <w:ilvl w:val="0"/>
          <w:numId w:val="0"/>
        </w:numPr>
        <w:spacing w:before="10" w:after="10" w:line="360" w:lineRule="auto"/>
        <w:jc w:val="left"/>
        <w:outlineLvl w:val="2"/>
        <w:rPr>
          <w:rFonts w:hint="default" w:ascii="黑体" w:hAnsi="黑体" w:eastAsia="黑体" w:cs="黑体"/>
          <w:color w:val="000000"/>
          <w:sz w:val="32"/>
          <w:lang w:val="en-US" w:eastAsia="zh-CN"/>
        </w:rPr>
      </w:pPr>
    </w:p>
    <w:p>
      <w:pPr>
        <w:numPr>
          <w:ilvl w:val="0"/>
          <w:numId w:val="0"/>
        </w:numPr>
        <w:spacing w:before="10" w:after="10" w:line="360" w:lineRule="auto"/>
        <w:jc w:val="left"/>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1、家庭教育经费绩效目标表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13052525P000039101159</w:t>
            </w:r>
          </w:p>
        </w:tc>
        <w:tc>
          <w:tcPr>
            <w:tcW w:w="2835" w:type="dxa"/>
            <w:vAlign w:val="center"/>
          </w:tcPr>
          <w:p>
            <w:pPr>
              <w:pStyle w:val="12"/>
            </w:pPr>
            <w:r>
              <w:t>项目名称</w:t>
            </w:r>
          </w:p>
        </w:tc>
        <w:tc>
          <w:tcPr>
            <w:tcW w:w="6095" w:type="dxa"/>
            <w:gridSpan w:val="3"/>
            <w:vAlign w:val="center"/>
          </w:tcPr>
          <w:p>
            <w:pPr>
              <w:pStyle w:val="14"/>
            </w:pPr>
            <w:r>
              <w:t>家庭教育经费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开展家风、家教、家训系列讲座，“知子花开”示范点建设。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80%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1.开展家风、家教、家训系列讲座，“知子花开”示范点建设。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活动数量</w:t>
            </w:r>
          </w:p>
        </w:tc>
        <w:tc>
          <w:tcPr>
            <w:tcW w:w="5386" w:type="dxa"/>
            <w:vAlign w:val="center"/>
          </w:tcPr>
          <w:p>
            <w:pPr>
              <w:pStyle w:val="14"/>
            </w:pPr>
            <w:r>
              <w:t>家风、家教、家训系列讲座数量</w:t>
            </w:r>
          </w:p>
        </w:tc>
        <w:tc>
          <w:tcPr>
            <w:tcW w:w="2268" w:type="dxa"/>
            <w:vAlign w:val="center"/>
          </w:tcPr>
          <w:p>
            <w:pPr>
              <w:pStyle w:val="14"/>
            </w:pPr>
            <w:r>
              <w:t>≥5场次</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工作完成率</w:t>
            </w:r>
          </w:p>
        </w:tc>
        <w:tc>
          <w:tcPr>
            <w:tcW w:w="5386" w:type="dxa"/>
            <w:vAlign w:val="center"/>
          </w:tcPr>
          <w:p>
            <w:pPr>
              <w:pStyle w:val="14"/>
            </w:pPr>
            <w:r>
              <w:t>实际完成活动/应完成活动*100</w:t>
            </w:r>
          </w:p>
        </w:tc>
        <w:tc>
          <w:tcPr>
            <w:tcW w:w="2268" w:type="dxa"/>
            <w:vAlign w:val="center"/>
          </w:tcPr>
          <w:p>
            <w:pPr>
              <w:pStyle w:val="14"/>
            </w:pPr>
            <w:r>
              <w:t>≥100%</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重点工作完成及时率</w:t>
            </w:r>
          </w:p>
        </w:tc>
        <w:tc>
          <w:tcPr>
            <w:tcW w:w="5386" w:type="dxa"/>
            <w:vAlign w:val="center"/>
          </w:tcPr>
          <w:p>
            <w:pPr>
              <w:pStyle w:val="14"/>
            </w:pPr>
            <w:r>
              <w:t>重点工作及时完成件数/重点工作总件数*100</w:t>
            </w:r>
          </w:p>
        </w:tc>
        <w:tc>
          <w:tcPr>
            <w:tcW w:w="2268" w:type="dxa"/>
            <w:vAlign w:val="center"/>
          </w:tcPr>
          <w:p>
            <w:pPr>
              <w:pStyle w:val="14"/>
            </w:pPr>
            <w:r>
              <w:t>≥100%</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家庭</w:t>
            </w:r>
            <w:r>
              <w:rPr>
                <w:rFonts w:hint="eastAsia"/>
                <w:lang w:val="en-US" w:eastAsia="zh-CN"/>
              </w:rPr>
              <w:t>教育</w:t>
            </w:r>
            <w:r>
              <w:t>经费支出成本不超预算</w:t>
            </w:r>
          </w:p>
        </w:tc>
        <w:tc>
          <w:tcPr>
            <w:tcW w:w="2268" w:type="dxa"/>
            <w:vAlign w:val="center"/>
          </w:tcPr>
          <w:p>
            <w:pPr>
              <w:pStyle w:val="14"/>
            </w:pPr>
            <w:r>
              <w:t>≤1万元</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示范点数量</w:t>
            </w:r>
          </w:p>
        </w:tc>
        <w:tc>
          <w:tcPr>
            <w:tcW w:w="5386" w:type="dxa"/>
            <w:vAlign w:val="center"/>
          </w:tcPr>
          <w:p>
            <w:pPr>
              <w:pStyle w:val="14"/>
            </w:pPr>
            <w:r>
              <w:t>“知子花开”示范点建设数量</w:t>
            </w:r>
          </w:p>
        </w:tc>
        <w:tc>
          <w:tcPr>
            <w:tcW w:w="2268" w:type="dxa"/>
            <w:vAlign w:val="center"/>
          </w:tcPr>
          <w:p>
            <w:pPr>
              <w:pStyle w:val="14"/>
            </w:pPr>
            <w:r>
              <w:t>≥5个</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服务对象对妇女工作满意度</w:t>
            </w:r>
          </w:p>
        </w:tc>
        <w:tc>
          <w:tcPr>
            <w:tcW w:w="2268" w:type="dxa"/>
            <w:vAlign w:val="center"/>
          </w:tcPr>
          <w:p>
            <w:pPr>
              <w:pStyle w:val="14"/>
            </w:pPr>
            <w:r>
              <w:t>≥95%</w:t>
            </w:r>
          </w:p>
        </w:tc>
        <w:tc>
          <w:tcPr>
            <w:tcW w:w="1276" w:type="dxa"/>
            <w:vAlign w:val="center"/>
          </w:tcPr>
          <w:p>
            <w:pPr>
              <w:pStyle w:val="14"/>
            </w:pPr>
            <w:r>
              <w:t>调查反馈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2、女性素质提升绩效目标表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13052525P00003910114M</w:t>
            </w:r>
          </w:p>
        </w:tc>
        <w:tc>
          <w:tcPr>
            <w:tcW w:w="2835" w:type="dxa"/>
            <w:vAlign w:val="center"/>
          </w:tcPr>
          <w:p>
            <w:pPr>
              <w:pStyle w:val="12"/>
            </w:pPr>
            <w:r>
              <w:t>项目名称</w:t>
            </w:r>
          </w:p>
        </w:tc>
        <w:tc>
          <w:tcPr>
            <w:tcW w:w="6095" w:type="dxa"/>
            <w:gridSpan w:val="3"/>
            <w:vAlign w:val="center"/>
          </w:tcPr>
          <w:p>
            <w:pPr>
              <w:pStyle w:val="14"/>
            </w:pPr>
            <w:r>
              <w:t>女性素质提升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举办庆”三八“</w:t>
            </w:r>
            <w:r>
              <w:rPr>
                <w:rFonts w:hint="eastAsia"/>
                <w:lang w:eastAsia="zh-CN"/>
              </w:rPr>
              <w:t>纪念</w:t>
            </w:r>
            <w:r>
              <w:t>大会，开展妇女家政培训及妇女维权宣传。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80%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1.举办庆”三八</w:t>
            </w:r>
            <w:r>
              <w:rPr>
                <w:rFonts w:hint="eastAsia"/>
                <w:lang w:eastAsia="zh-CN"/>
              </w:rPr>
              <w:t>”纪念</w:t>
            </w:r>
            <w:r>
              <w:t>大会，开展妇女家政培训及妇女维权宣传。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举办活动场次</w:t>
            </w:r>
          </w:p>
        </w:tc>
        <w:tc>
          <w:tcPr>
            <w:tcW w:w="5386" w:type="dxa"/>
            <w:vAlign w:val="center"/>
          </w:tcPr>
          <w:p>
            <w:pPr>
              <w:pStyle w:val="14"/>
            </w:pPr>
            <w:r>
              <w:t>举办各类妇女活动场次</w:t>
            </w:r>
          </w:p>
        </w:tc>
        <w:tc>
          <w:tcPr>
            <w:tcW w:w="2268" w:type="dxa"/>
            <w:vAlign w:val="center"/>
          </w:tcPr>
          <w:p>
            <w:pPr>
              <w:pStyle w:val="14"/>
            </w:pPr>
            <w:r>
              <w:t>≥10场次</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工作完成率</w:t>
            </w:r>
          </w:p>
        </w:tc>
        <w:tc>
          <w:tcPr>
            <w:tcW w:w="5386" w:type="dxa"/>
            <w:vAlign w:val="center"/>
          </w:tcPr>
          <w:p>
            <w:pPr>
              <w:pStyle w:val="14"/>
            </w:pPr>
            <w:r>
              <w:t>实际完成工作件数/应完成工作件数</w:t>
            </w:r>
          </w:p>
        </w:tc>
        <w:tc>
          <w:tcPr>
            <w:tcW w:w="2268" w:type="dxa"/>
            <w:vAlign w:val="center"/>
          </w:tcPr>
          <w:p>
            <w:pPr>
              <w:pStyle w:val="14"/>
            </w:pPr>
            <w:r>
              <w:t>≥100%</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重点工作完成及时率</w:t>
            </w:r>
          </w:p>
        </w:tc>
        <w:tc>
          <w:tcPr>
            <w:tcW w:w="5386" w:type="dxa"/>
            <w:vAlign w:val="center"/>
          </w:tcPr>
          <w:p>
            <w:pPr>
              <w:pStyle w:val="14"/>
            </w:pPr>
            <w:r>
              <w:t>重点工作完成及件数/重点工作总件数</w:t>
            </w:r>
          </w:p>
        </w:tc>
        <w:tc>
          <w:tcPr>
            <w:tcW w:w="2268" w:type="dxa"/>
            <w:vAlign w:val="center"/>
          </w:tcPr>
          <w:p>
            <w:pPr>
              <w:pStyle w:val="14"/>
            </w:pPr>
            <w:r>
              <w:t>≥100%</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完成任务支付的资金不超预算</w:t>
            </w:r>
          </w:p>
        </w:tc>
        <w:tc>
          <w:tcPr>
            <w:tcW w:w="2268" w:type="dxa"/>
            <w:vAlign w:val="center"/>
          </w:tcPr>
          <w:p>
            <w:pPr>
              <w:pStyle w:val="14"/>
            </w:pPr>
            <w:r>
              <w:t>≤2万元</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增长率</w:t>
            </w:r>
          </w:p>
        </w:tc>
        <w:tc>
          <w:tcPr>
            <w:tcW w:w="5386" w:type="dxa"/>
            <w:vAlign w:val="center"/>
          </w:tcPr>
          <w:p>
            <w:pPr>
              <w:pStyle w:val="14"/>
            </w:pPr>
            <w:r>
              <w:t>受众对象参与妇女活动增长率</w:t>
            </w:r>
          </w:p>
        </w:tc>
        <w:tc>
          <w:tcPr>
            <w:tcW w:w="2268" w:type="dxa"/>
            <w:vAlign w:val="center"/>
          </w:tcPr>
          <w:p>
            <w:pPr>
              <w:pStyle w:val="14"/>
            </w:pPr>
            <w:r>
              <w:t>≥5%</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服务对象对妇联工作满意度</w:t>
            </w:r>
          </w:p>
        </w:tc>
        <w:tc>
          <w:tcPr>
            <w:tcW w:w="2268" w:type="dxa"/>
            <w:vAlign w:val="center"/>
          </w:tcPr>
          <w:p>
            <w:pPr>
              <w:pStyle w:val="14"/>
            </w:pPr>
            <w:r>
              <w:t>≥95%</w:t>
            </w:r>
          </w:p>
        </w:tc>
        <w:tc>
          <w:tcPr>
            <w:tcW w:w="1276" w:type="dxa"/>
            <w:vAlign w:val="center"/>
          </w:tcPr>
          <w:p>
            <w:pPr>
              <w:pStyle w:val="14"/>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3、普法宣讲、人居环境整治绩效目标表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13052525P000039101280</w:t>
            </w:r>
          </w:p>
        </w:tc>
        <w:tc>
          <w:tcPr>
            <w:tcW w:w="2835" w:type="dxa"/>
            <w:vAlign w:val="center"/>
          </w:tcPr>
          <w:p>
            <w:pPr>
              <w:pStyle w:val="12"/>
            </w:pPr>
            <w:r>
              <w:t>项目名称</w:t>
            </w:r>
          </w:p>
        </w:tc>
        <w:tc>
          <w:tcPr>
            <w:tcW w:w="6095" w:type="dxa"/>
            <w:gridSpan w:val="3"/>
            <w:vAlign w:val="center"/>
          </w:tcPr>
          <w:p>
            <w:pPr>
              <w:pStyle w:val="14"/>
            </w:pPr>
            <w:r>
              <w:t>普法宣讲、人居环境整治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创建美丽庭院，改善人居环境。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80%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1.在全县创建美丽庭院4800户，使人居环境得到较大改善。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创建美丽庭院个数</w:t>
            </w:r>
          </w:p>
        </w:tc>
        <w:tc>
          <w:tcPr>
            <w:tcW w:w="5386" w:type="dxa"/>
            <w:vAlign w:val="center"/>
          </w:tcPr>
          <w:p>
            <w:pPr>
              <w:pStyle w:val="14"/>
            </w:pPr>
            <w:r>
              <w:t>在全县创建美丽庭院的数量</w:t>
            </w:r>
          </w:p>
        </w:tc>
        <w:tc>
          <w:tcPr>
            <w:tcW w:w="2268" w:type="dxa"/>
            <w:vAlign w:val="center"/>
          </w:tcPr>
          <w:p>
            <w:pPr>
              <w:pStyle w:val="14"/>
            </w:pPr>
            <w:r>
              <w:t>≥4800户</w:t>
            </w:r>
          </w:p>
        </w:tc>
        <w:tc>
          <w:tcPr>
            <w:tcW w:w="1276" w:type="dxa"/>
            <w:vAlign w:val="center"/>
          </w:tcPr>
          <w:p>
            <w:pPr>
              <w:pStyle w:val="14"/>
            </w:pPr>
            <w:r>
              <w:t>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美丽庭院合格率</w:t>
            </w:r>
          </w:p>
        </w:tc>
        <w:tc>
          <w:tcPr>
            <w:tcW w:w="5386" w:type="dxa"/>
            <w:vAlign w:val="center"/>
          </w:tcPr>
          <w:p>
            <w:pPr>
              <w:pStyle w:val="14"/>
            </w:pPr>
            <w:r>
              <w:t>美丽庭院合格数量/参与创建美丽庭院数量*100%</w:t>
            </w:r>
          </w:p>
        </w:tc>
        <w:tc>
          <w:tcPr>
            <w:tcW w:w="2268" w:type="dxa"/>
            <w:vAlign w:val="center"/>
          </w:tcPr>
          <w:p>
            <w:pPr>
              <w:pStyle w:val="14"/>
            </w:pPr>
            <w:r>
              <w:t>≥95%</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重点工作完成及时率</w:t>
            </w:r>
          </w:p>
        </w:tc>
        <w:tc>
          <w:tcPr>
            <w:tcW w:w="5386" w:type="dxa"/>
            <w:vAlign w:val="center"/>
          </w:tcPr>
          <w:p>
            <w:pPr>
              <w:pStyle w:val="14"/>
            </w:pPr>
            <w:r>
              <w:t>重点工作完成及时件数/重点工作总件数*100%</w:t>
            </w:r>
          </w:p>
        </w:tc>
        <w:tc>
          <w:tcPr>
            <w:tcW w:w="2268" w:type="dxa"/>
            <w:vAlign w:val="center"/>
          </w:tcPr>
          <w:p>
            <w:pPr>
              <w:pStyle w:val="14"/>
            </w:pPr>
            <w:r>
              <w:t>≥100%</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完成任务支出的资金不超预算</w:t>
            </w:r>
          </w:p>
        </w:tc>
        <w:tc>
          <w:tcPr>
            <w:tcW w:w="2268" w:type="dxa"/>
            <w:vAlign w:val="center"/>
          </w:tcPr>
          <w:p>
            <w:pPr>
              <w:pStyle w:val="14"/>
            </w:pPr>
            <w:r>
              <w:t>≤2万元</w:t>
            </w:r>
          </w:p>
        </w:tc>
        <w:tc>
          <w:tcPr>
            <w:tcW w:w="1276" w:type="dxa"/>
            <w:vAlign w:val="center"/>
          </w:tcPr>
          <w:p>
            <w:pPr>
              <w:pStyle w:val="14"/>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增长率</w:t>
            </w:r>
          </w:p>
        </w:tc>
        <w:tc>
          <w:tcPr>
            <w:tcW w:w="5386" w:type="dxa"/>
            <w:vAlign w:val="center"/>
          </w:tcPr>
          <w:p>
            <w:pPr>
              <w:pStyle w:val="14"/>
            </w:pPr>
            <w:r>
              <w:t>参与美丽庭院创建增长率</w:t>
            </w:r>
          </w:p>
        </w:tc>
        <w:tc>
          <w:tcPr>
            <w:tcW w:w="2268" w:type="dxa"/>
            <w:vAlign w:val="center"/>
          </w:tcPr>
          <w:p>
            <w:pPr>
              <w:pStyle w:val="14"/>
            </w:pPr>
            <w:r>
              <w:t>≥3%</w:t>
            </w:r>
          </w:p>
        </w:tc>
        <w:tc>
          <w:tcPr>
            <w:tcW w:w="1276" w:type="dxa"/>
            <w:vAlign w:val="center"/>
          </w:tcPr>
          <w:p>
            <w:pPr>
              <w:pStyle w:val="14"/>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服务对象对妇联工作的满意度</w:t>
            </w:r>
          </w:p>
        </w:tc>
        <w:tc>
          <w:tcPr>
            <w:tcW w:w="2268" w:type="dxa"/>
            <w:vAlign w:val="center"/>
          </w:tcPr>
          <w:p>
            <w:pPr>
              <w:pStyle w:val="14"/>
            </w:pPr>
            <w:r>
              <w:t>≥95%</w:t>
            </w:r>
          </w:p>
        </w:tc>
        <w:tc>
          <w:tcPr>
            <w:tcW w:w="1276" w:type="dxa"/>
            <w:vAlign w:val="center"/>
          </w:tcPr>
          <w:p>
            <w:pPr>
              <w:pStyle w:val="14"/>
            </w:pPr>
            <w:r>
              <w:t>年初工作计划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713隆尧县妇女联合会</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3.00</w:t>
            </w:r>
          </w:p>
        </w:tc>
        <w:tc>
          <w:tcPr>
            <w:tcW w:w="964" w:type="dxa"/>
            <w:vAlign w:val="center"/>
          </w:tcPr>
          <w:p>
            <w:pPr>
              <w:pStyle w:val="17"/>
            </w:pPr>
            <w:r>
              <w:t>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隆尧县妇女联合会本级小计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3.00</w:t>
            </w:r>
          </w:p>
        </w:tc>
        <w:tc>
          <w:tcPr>
            <w:tcW w:w="964" w:type="dxa"/>
            <w:vAlign w:val="center"/>
          </w:tcPr>
          <w:p>
            <w:pPr>
              <w:pStyle w:val="17"/>
            </w:pPr>
            <w:r>
              <w:t>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1.90</w:t>
            </w:r>
          </w:p>
        </w:tc>
        <w:tc>
          <w:tcPr>
            <w:tcW w:w="1134" w:type="dxa"/>
            <w:vAlign w:val="center"/>
          </w:tcPr>
          <w:p>
            <w:pPr>
              <w:pStyle w:val="14"/>
            </w:pPr>
            <w:r>
              <w:t>其他打印机</w:t>
            </w:r>
          </w:p>
        </w:tc>
        <w:tc>
          <w:tcPr>
            <w:tcW w:w="1134" w:type="dxa"/>
            <w:vAlign w:val="center"/>
          </w:tcPr>
          <w:p>
            <w:pPr>
              <w:pStyle w:val="14"/>
            </w:pPr>
            <w:r>
              <w:t>A02021099</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1.90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0.10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1.90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0.10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家庭教育经费</w:t>
            </w:r>
          </w:p>
        </w:tc>
        <w:tc>
          <w:tcPr>
            <w:tcW w:w="964" w:type="dxa"/>
            <w:vAlign w:val="center"/>
          </w:tcPr>
          <w:p>
            <w:pPr>
              <w:pStyle w:val="13"/>
            </w:pPr>
            <w:r>
              <w:t>1.00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女性素质提升，先进集体、先进个人评选表彰</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1.60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隆尧县妇女联合会（含所属单位）上年末固定资产金额为7.04万元（详见下表）。本年度拟购置固定资产总额为0.20万元，已按要求列入政府采购预算，详见政府采购预算表。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713隆尧县妇女联合会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42</w:t>
            </w:r>
          </w:p>
        </w:tc>
        <w:tc>
          <w:tcPr>
            <w:tcW w:w="2835" w:type="dxa"/>
            <w:vAlign w:val="center"/>
          </w:tcPr>
          <w:p>
            <w:pPr>
              <w:pStyle w:val="13"/>
            </w:pPr>
            <w:r>
              <w:t>7.04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09B9A4"/>
    <w:multiLevelType w:val="singleLevel"/>
    <w:tmpl w:val="0F09B9A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yZWRkODllYjQ3YjJmNWYxZmNmYWYxZmEyMzM0YTYifQ=="/>
  </w:docVars>
  <w:rsids>
    <w:rsidRoot w:val="00000000"/>
    <w:rsid w:val="03F46502"/>
    <w:rsid w:val="077566D6"/>
    <w:rsid w:val="113D3886"/>
    <w:rsid w:val="29EC31BB"/>
    <w:rsid w:val="38593326"/>
    <w:rsid w:val="3BAF144F"/>
    <w:rsid w:val="3CD50946"/>
    <w:rsid w:val="3FEC5F73"/>
    <w:rsid w:val="49F22DB7"/>
    <w:rsid w:val="552154DD"/>
    <w:rsid w:val="63CA082B"/>
    <w:rsid w:val="6E503E2D"/>
    <w:rsid w:val="75F53489"/>
    <w:rsid w:val="7651520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toc 3"/>
    <w:basedOn w:val="1"/>
    <w:qFormat/>
    <w:uiPriority w:val="0"/>
    <w:pPr>
      <w:ind w:left="480"/>
    </w:p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2848</Words>
  <Characters>3831</Characters>
  <TotalTime>1</TotalTime>
  <ScaleCrop>false</ScaleCrop>
  <LinksUpToDate>false</LinksUpToDate>
  <CharactersWithSpaces>3932</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2025-02-25T16:19:00Z</dcterms:created>
  <dc:creator>Lenovo</dc:creator>
  <cp:lastModifiedBy>Administrator</cp:lastModifiedBy>
  <dcterms:modified xsi:type="dcterms:W3CDTF">2025-02-27T02:09:41Z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4E312386EAA94AE9ABB462392CE70532_13</vt:lpwstr>
  </property>
  <property fmtid="{D5CDD505-2E9C-101B-9397-08002B2CF9AE}" pid="4" name="KSOTemplateDocerSaveRecord">
    <vt:lpwstr>eyJoZGlkIjoiMzE5YzkxNmQwMTJiYTVhNzRkMmUyZmI3OWUzY2U1YjMifQ==</vt:lpwstr>
  </property>
</Properties>
</file>