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817隆尧县社区建设服务中心</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504.24</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r>
              <w:t>4.50</w:t>
            </w: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45.01</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28.91</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r>
              <w:t>13.45</w:t>
            </w: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r>
              <w:t>396.38</w:t>
            </w: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20.50</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r>
              <w:t>4.50</w:t>
            </w: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508.74</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508.74</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508.74</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508.74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817隆尧县社区建设服务中心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508.74</w:t>
            </w:r>
          </w:p>
        </w:tc>
        <w:tc>
          <w:tcPr>
            <w:tcW w:w="1134" w:type="dxa"/>
            <w:tcBorders>
              <w:left w:val="single" w:sz="6" w:space="0" w:color="auto"/>
            </w:tcBorders>
            <w:vAlign w:val="center"/>
          </w:tcPr>
          <w:p>
            <w:pPr>
              <w:pStyle w:val="23"/>
            </w:pPr>
            <w:r>
              <w:t>508.74</w:t>
            </w:r>
          </w:p>
        </w:tc>
        <w:tc>
          <w:tcPr>
            <w:tcW w:w="1134" w:type="dxa"/>
            <w:tcBorders>
              <w:left w:val="single" w:sz="6" w:space="0" w:color="auto"/>
            </w:tcBorders>
            <w:vAlign w:val="center"/>
          </w:tcPr>
          <w:p>
            <w:pPr>
              <w:pStyle w:val="23"/>
            </w:pPr>
            <w:r>
              <w:t>508.74</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2101102</w:t>
            </w:r>
          </w:p>
        </w:tc>
        <w:tc>
          <w:tcPr>
            <w:tcW w:w="1559" w:type="dxa"/>
            <w:tcBorders>
              <w:left w:val="single" w:sz="6" w:space="0" w:color="auto"/>
            </w:tcBorders>
            <w:vAlign w:val="center"/>
          </w:tcPr>
          <w:p>
            <w:pPr>
              <w:pStyle w:val="20"/>
            </w:pPr>
            <w:r>
              <w:t>事业单位医疗</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212</w:t>
            </w:r>
          </w:p>
        </w:tc>
        <w:tc>
          <w:tcPr>
            <w:tcW w:w="1559" w:type="dxa"/>
            <w:tcBorders>
              <w:left w:val="single" w:sz="6" w:space="0" w:color="auto"/>
            </w:tcBorders>
            <w:vAlign w:val="center"/>
          </w:tcPr>
          <w:p>
            <w:pPr>
              <w:pStyle w:val="20"/>
            </w:pPr>
            <w:r>
              <w:t>城乡社区支出</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21201</w:t>
            </w:r>
          </w:p>
        </w:tc>
        <w:tc>
          <w:tcPr>
            <w:tcW w:w="1559" w:type="dxa"/>
            <w:tcBorders>
              <w:left w:val="single" w:sz="6" w:space="0" w:color="auto"/>
            </w:tcBorders>
            <w:vAlign w:val="center"/>
          </w:tcPr>
          <w:p>
            <w:pPr>
              <w:pStyle w:val="20"/>
            </w:pPr>
            <w:r>
              <w:t>城乡社区管理事务</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2120101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213</w:t>
            </w:r>
          </w:p>
        </w:tc>
        <w:tc>
          <w:tcPr>
            <w:tcW w:w="1559" w:type="dxa"/>
            <w:tcBorders>
              <w:left w:val="single" w:sz="6" w:space="0" w:color="auto"/>
            </w:tcBorders>
            <w:vAlign w:val="center"/>
          </w:tcPr>
          <w:p>
            <w:pPr>
              <w:pStyle w:val="20"/>
            </w:pPr>
            <w:r>
              <w:t>农林水支出</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21307</w:t>
            </w:r>
          </w:p>
        </w:tc>
        <w:tc>
          <w:tcPr>
            <w:tcW w:w="1559" w:type="dxa"/>
            <w:tcBorders>
              <w:left w:val="single" w:sz="6" w:space="0" w:color="auto"/>
            </w:tcBorders>
            <w:vAlign w:val="center"/>
          </w:tcPr>
          <w:p>
            <w:pPr>
              <w:pStyle w:val="20"/>
            </w:pPr>
            <w:r>
              <w:t>农村综合改革</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2130705</w:t>
            </w:r>
          </w:p>
        </w:tc>
        <w:tc>
          <w:tcPr>
            <w:tcW w:w="1559" w:type="dxa"/>
            <w:tcBorders>
              <w:left w:val="single" w:sz="6" w:space="0" w:color="auto"/>
            </w:tcBorders>
            <w:vAlign w:val="center"/>
          </w:tcPr>
          <w:p>
            <w:pPr>
              <w:pStyle w:val="20"/>
            </w:pPr>
            <w:r>
              <w:t>对村民委员会和村党支部的补助</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223</w:t>
            </w:r>
          </w:p>
        </w:tc>
        <w:tc>
          <w:tcPr>
            <w:tcW w:w="1559" w:type="dxa"/>
            <w:tcBorders>
              <w:left w:val="single" w:sz="6" w:space="0" w:color="auto"/>
            </w:tcBorders>
            <w:vAlign w:val="center"/>
          </w:tcPr>
          <w:p>
            <w:pPr>
              <w:pStyle w:val="20"/>
            </w:pPr>
            <w:r>
              <w:t>国有资本经营预算支出</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22301</w:t>
            </w:r>
          </w:p>
        </w:tc>
        <w:tc>
          <w:tcPr>
            <w:tcW w:w="1559" w:type="dxa"/>
            <w:tcBorders>
              <w:left w:val="single" w:sz="6" w:space="0" w:color="auto"/>
            </w:tcBorders>
            <w:vAlign w:val="center"/>
          </w:tcPr>
          <w:p>
            <w:pPr>
              <w:pStyle w:val="20"/>
            </w:pPr>
            <w:r>
              <w:t>解决历史遗留问题及改革成本支出</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auto"/>
            </w:tcBorders>
            <w:vAlign w:val="center"/>
          </w:tcPr>
          <w:p>
            <w:pPr>
              <w:pStyle w:val="20"/>
            </w:pPr>
            <w:r>
              <w:t>2230105</w:t>
            </w:r>
          </w:p>
        </w:tc>
        <w:tc>
          <w:tcPr>
            <w:tcW w:w="1559" w:type="dxa"/>
            <w:tcBorders>
              <w:left w:val="single" w:sz="6" w:space="0" w:color="auto"/>
            </w:tcBorders>
            <w:vAlign w:val="center"/>
          </w:tcPr>
          <w:p>
            <w:pPr>
              <w:pStyle w:val="20"/>
            </w:pPr>
            <w:r>
              <w:t>国有企业退休人员社会化管理补助支出</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508.74</w:t>
            </w:r>
          </w:p>
        </w:tc>
        <w:tc>
          <w:tcPr>
            <w:tcW w:w="1361" w:type="dxa"/>
            <w:tcBorders>
              <w:left w:val="single" w:sz="6" w:space="0" w:color="auto"/>
            </w:tcBorders>
            <w:vAlign w:val="center"/>
          </w:tcPr>
          <w:p>
            <w:pPr>
              <w:pStyle w:val="23"/>
            </w:pPr>
            <w:r>
              <w:t>355.80</w:t>
            </w:r>
          </w:p>
        </w:tc>
        <w:tc>
          <w:tcPr>
            <w:tcW w:w="1361" w:type="dxa"/>
            <w:tcBorders>
              <w:left w:val="single" w:sz="6" w:space="0" w:color="auto"/>
            </w:tcBorders>
            <w:vAlign w:val="center"/>
          </w:tcPr>
          <w:p>
            <w:pPr>
              <w:pStyle w:val="23"/>
            </w:pPr>
            <w:r>
              <w:t>152.95</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212</w:t>
            </w:r>
          </w:p>
        </w:tc>
        <w:tc>
          <w:tcPr>
            <w:tcW w:w="4535" w:type="dxa"/>
            <w:tcBorders>
              <w:left w:val="single" w:sz="6" w:space="0" w:color="auto"/>
            </w:tcBorders>
            <w:vAlign w:val="center"/>
          </w:tcPr>
          <w:p>
            <w:pPr>
              <w:pStyle w:val="20"/>
            </w:pPr>
            <w:r>
              <w:t>城乡社区支出</w:t>
            </w: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21201</w:t>
            </w:r>
          </w:p>
        </w:tc>
        <w:tc>
          <w:tcPr>
            <w:tcW w:w="4535" w:type="dxa"/>
            <w:tcBorders>
              <w:left w:val="single" w:sz="6" w:space="0" w:color="auto"/>
            </w:tcBorders>
            <w:vAlign w:val="center"/>
          </w:tcPr>
          <w:p>
            <w:pPr>
              <w:pStyle w:val="20"/>
            </w:pPr>
            <w:r>
              <w:t>城乡社区管理事务</w:t>
            </w: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2120101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213</w:t>
            </w:r>
          </w:p>
        </w:tc>
        <w:tc>
          <w:tcPr>
            <w:tcW w:w="4535" w:type="dxa"/>
            <w:tcBorders>
              <w:left w:val="single" w:sz="6" w:space="0" w:color="auto"/>
            </w:tcBorders>
            <w:vAlign w:val="center"/>
          </w:tcPr>
          <w:p>
            <w:pPr>
              <w:pStyle w:val="20"/>
            </w:pPr>
            <w:r>
              <w:t>农林水支出</w:t>
            </w:r>
          </w:p>
        </w:tc>
        <w:tc>
          <w:tcPr>
            <w:tcW w:w="1361" w:type="dxa"/>
            <w:tcBorders>
              <w:left w:val="single" w:sz="6" w:space="0" w:color="auto"/>
            </w:tcBorders>
            <w:vAlign w:val="center"/>
          </w:tcPr>
          <w:p>
            <w:pPr>
              <w:pStyle w:val="19"/>
            </w:pPr>
            <w:r>
              <w:t>396.38</w:t>
            </w:r>
          </w:p>
        </w:tc>
        <w:tc>
          <w:tcPr>
            <w:tcW w:w="1361" w:type="dxa"/>
            <w:tcBorders>
              <w:left w:val="single" w:sz="6" w:space="0" w:color="auto"/>
            </w:tcBorders>
            <w:vAlign w:val="center"/>
          </w:tcPr>
          <w:p>
            <w:pPr>
              <w:pStyle w:val="19"/>
            </w:pPr>
            <w:r>
              <w:t>261.38</w:t>
            </w:r>
          </w:p>
        </w:tc>
        <w:tc>
          <w:tcPr>
            <w:tcW w:w="1361" w:type="dxa"/>
            <w:tcBorders>
              <w:left w:val="single" w:sz="6" w:space="0" w:color="auto"/>
            </w:tcBorders>
            <w:vAlign w:val="center"/>
          </w:tcPr>
          <w:p>
            <w:pPr>
              <w:pStyle w:val="19"/>
            </w:pPr>
            <w:r>
              <w:t>135.00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21307</w:t>
            </w:r>
          </w:p>
        </w:tc>
        <w:tc>
          <w:tcPr>
            <w:tcW w:w="4535" w:type="dxa"/>
            <w:tcBorders>
              <w:left w:val="single" w:sz="6" w:space="0" w:color="auto"/>
            </w:tcBorders>
            <w:vAlign w:val="center"/>
          </w:tcPr>
          <w:p>
            <w:pPr>
              <w:pStyle w:val="20"/>
            </w:pPr>
            <w:r>
              <w:t>农村综合改革</w:t>
            </w:r>
          </w:p>
        </w:tc>
        <w:tc>
          <w:tcPr>
            <w:tcW w:w="1361" w:type="dxa"/>
            <w:tcBorders>
              <w:left w:val="single" w:sz="6" w:space="0" w:color="auto"/>
            </w:tcBorders>
            <w:vAlign w:val="center"/>
          </w:tcPr>
          <w:p>
            <w:pPr>
              <w:pStyle w:val="19"/>
            </w:pPr>
            <w:r>
              <w:t>396.38</w:t>
            </w:r>
          </w:p>
        </w:tc>
        <w:tc>
          <w:tcPr>
            <w:tcW w:w="1361" w:type="dxa"/>
            <w:tcBorders>
              <w:left w:val="single" w:sz="6" w:space="0" w:color="auto"/>
            </w:tcBorders>
            <w:vAlign w:val="center"/>
          </w:tcPr>
          <w:p>
            <w:pPr>
              <w:pStyle w:val="19"/>
            </w:pPr>
            <w:r>
              <w:t>261.38</w:t>
            </w:r>
          </w:p>
        </w:tc>
        <w:tc>
          <w:tcPr>
            <w:tcW w:w="1361" w:type="dxa"/>
            <w:tcBorders>
              <w:left w:val="single" w:sz="6" w:space="0" w:color="auto"/>
            </w:tcBorders>
            <w:vAlign w:val="center"/>
          </w:tcPr>
          <w:p>
            <w:pPr>
              <w:pStyle w:val="19"/>
            </w:pPr>
            <w:r>
              <w:t>135.00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2130705</w:t>
            </w:r>
          </w:p>
        </w:tc>
        <w:tc>
          <w:tcPr>
            <w:tcW w:w="4535" w:type="dxa"/>
            <w:tcBorders>
              <w:left w:val="single" w:sz="6" w:space="0" w:color="auto"/>
            </w:tcBorders>
            <w:vAlign w:val="center"/>
          </w:tcPr>
          <w:p>
            <w:pPr>
              <w:pStyle w:val="20"/>
            </w:pPr>
            <w:r>
              <w:t>对村民委员会和村党支部的补助</w:t>
            </w:r>
          </w:p>
        </w:tc>
        <w:tc>
          <w:tcPr>
            <w:tcW w:w="1361" w:type="dxa"/>
            <w:tcBorders>
              <w:left w:val="single" w:sz="6" w:space="0" w:color="auto"/>
            </w:tcBorders>
            <w:vAlign w:val="center"/>
          </w:tcPr>
          <w:p>
            <w:pPr>
              <w:pStyle w:val="19"/>
            </w:pPr>
            <w:r>
              <w:t>396.38</w:t>
            </w:r>
          </w:p>
        </w:tc>
        <w:tc>
          <w:tcPr>
            <w:tcW w:w="1361" w:type="dxa"/>
            <w:tcBorders>
              <w:left w:val="single" w:sz="6" w:space="0" w:color="auto"/>
            </w:tcBorders>
            <w:vAlign w:val="center"/>
          </w:tcPr>
          <w:p>
            <w:pPr>
              <w:pStyle w:val="19"/>
            </w:pPr>
            <w:r>
              <w:t>261.38</w:t>
            </w:r>
          </w:p>
        </w:tc>
        <w:tc>
          <w:tcPr>
            <w:tcW w:w="1361" w:type="dxa"/>
            <w:tcBorders>
              <w:left w:val="single" w:sz="6" w:space="0" w:color="auto"/>
            </w:tcBorders>
            <w:vAlign w:val="center"/>
          </w:tcPr>
          <w:p>
            <w:pPr>
              <w:pStyle w:val="19"/>
            </w:pPr>
            <w:r>
              <w:t>135.00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223</w:t>
            </w:r>
          </w:p>
        </w:tc>
        <w:tc>
          <w:tcPr>
            <w:tcW w:w="4535" w:type="dxa"/>
            <w:tcBorders>
              <w:left w:val="single" w:sz="6" w:space="0" w:color="auto"/>
            </w:tcBorders>
            <w:vAlign w:val="center"/>
          </w:tcPr>
          <w:p>
            <w:pPr>
              <w:pStyle w:val="20"/>
            </w:pPr>
            <w:r>
              <w:t>国有资本经营预算支出</w:t>
            </w: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22301</w:t>
            </w:r>
          </w:p>
        </w:tc>
        <w:tc>
          <w:tcPr>
            <w:tcW w:w="4535" w:type="dxa"/>
            <w:tcBorders>
              <w:left w:val="single" w:sz="6" w:space="0" w:color="auto"/>
            </w:tcBorders>
            <w:vAlign w:val="center"/>
          </w:tcPr>
          <w:p>
            <w:pPr>
              <w:pStyle w:val="20"/>
            </w:pPr>
            <w:r>
              <w:t>解决历史遗留问题及改革成本支出</w:t>
            </w: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auto"/>
            </w:tcBorders>
            <w:vAlign w:val="center"/>
          </w:tcPr>
          <w:p>
            <w:pPr>
              <w:pStyle w:val="20"/>
            </w:pPr>
            <w:r>
              <w:t>2230105</w:t>
            </w:r>
          </w:p>
        </w:tc>
        <w:tc>
          <w:tcPr>
            <w:tcW w:w="4535" w:type="dxa"/>
            <w:tcBorders>
              <w:left w:val="single" w:sz="6" w:space="0" w:color="auto"/>
            </w:tcBorders>
            <w:vAlign w:val="center"/>
          </w:tcPr>
          <w:p>
            <w:pPr>
              <w:pStyle w:val="20"/>
            </w:pPr>
            <w:r>
              <w:t>国有企业退休人员社会化管理补助支出</w:t>
            </w: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504.24</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r>
              <w:t>4.50</w:t>
            </w: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45.01</w:t>
            </w:r>
          </w:p>
        </w:tc>
        <w:tc>
          <w:tcPr>
            <w:tcW w:w="1474" w:type="dxa"/>
            <w:tcBorders>
              <w:left w:val="single" w:sz="6" w:space="0" w:color="auto"/>
            </w:tcBorders>
            <w:vAlign w:val="center"/>
          </w:tcPr>
          <w:p>
            <w:pPr>
              <w:pStyle w:val="19"/>
            </w:pPr>
            <w:r>
              <w:t>45.01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28.91</w:t>
            </w:r>
          </w:p>
        </w:tc>
        <w:tc>
          <w:tcPr>
            <w:tcW w:w="1474" w:type="dxa"/>
            <w:tcBorders>
              <w:left w:val="single" w:sz="6" w:space="0" w:color="auto"/>
            </w:tcBorders>
            <w:vAlign w:val="center"/>
          </w:tcPr>
          <w:p>
            <w:pPr>
              <w:pStyle w:val="19"/>
            </w:pPr>
            <w:r>
              <w:t>28.91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r>
              <w:t>13.45</w:t>
            </w:r>
          </w:p>
        </w:tc>
        <w:tc>
          <w:tcPr>
            <w:tcW w:w="1474" w:type="dxa"/>
            <w:tcBorders>
              <w:left w:val="single" w:sz="6" w:space="0" w:color="auto"/>
            </w:tcBorders>
            <w:vAlign w:val="center"/>
          </w:tcPr>
          <w:p>
            <w:pPr>
              <w:pStyle w:val="19"/>
            </w:pPr>
            <w:r>
              <w:t>13.45</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r>
              <w:t>396.38</w:t>
            </w:r>
          </w:p>
        </w:tc>
        <w:tc>
          <w:tcPr>
            <w:tcW w:w="1474" w:type="dxa"/>
            <w:tcBorders>
              <w:left w:val="single" w:sz="6" w:space="0" w:color="auto"/>
            </w:tcBorders>
            <w:vAlign w:val="center"/>
          </w:tcPr>
          <w:p>
            <w:pPr>
              <w:pStyle w:val="19"/>
            </w:pPr>
            <w:r>
              <w:t>396.38</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20.50</w:t>
            </w:r>
          </w:p>
        </w:tc>
        <w:tc>
          <w:tcPr>
            <w:tcW w:w="1474" w:type="dxa"/>
            <w:tcBorders>
              <w:left w:val="single" w:sz="6" w:space="0" w:color="auto"/>
            </w:tcBorders>
            <w:vAlign w:val="center"/>
          </w:tcPr>
          <w:p>
            <w:pPr>
              <w:pStyle w:val="19"/>
            </w:pPr>
            <w:r>
              <w:t>20.50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r>
              <w:t>4.50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r>
              <w:t>4.50</w:t>
            </w: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508.74</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508.74</w:t>
            </w:r>
          </w:p>
        </w:tc>
        <w:tc>
          <w:tcPr>
            <w:tcW w:w="1474" w:type="dxa"/>
            <w:tcBorders>
              <w:left w:val="single" w:sz="6" w:space="0" w:color="auto"/>
            </w:tcBorders>
            <w:vAlign w:val="center"/>
          </w:tcPr>
          <w:p>
            <w:pPr>
              <w:pStyle w:val="23"/>
            </w:pPr>
            <w:r>
              <w:t>504.24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r>
              <w:t>4.50</w:t>
            </w: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508.74</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508.74</w:t>
            </w:r>
          </w:p>
        </w:tc>
        <w:tc>
          <w:tcPr>
            <w:tcW w:w="1474" w:type="dxa"/>
            <w:tcBorders>
              <w:left w:val="single" w:sz="6" w:space="0" w:color="auto"/>
            </w:tcBorders>
            <w:vAlign w:val="center"/>
          </w:tcPr>
          <w:p>
            <w:pPr>
              <w:pStyle w:val="23"/>
            </w:pPr>
            <w:r>
              <w:t>504.24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r>
              <w:t>4.50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504.24</w:t>
            </w:r>
          </w:p>
        </w:tc>
        <w:tc>
          <w:tcPr>
            <w:tcW w:w="2551" w:type="dxa"/>
            <w:tcBorders>
              <w:left w:val="single" w:sz="6" w:space="0" w:color="auto"/>
            </w:tcBorders>
            <w:vAlign w:val="center"/>
          </w:tcPr>
          <w:p>
            <w:pPr>
              <w:pStyle w:val="23"/>
            </w:pPr>
            <w:r>
              <w:t>355.80</w:t>
            </w:r>
          </w:p>
        </w:tc>
        <w:tc>
          <w:tcPr>
            <w:tcW w:w="2551" w:type="dxa"/>
            <w:tcBorders>
              <w:left w:val="single" w:sz="6" w:space="0" w:color="auto"/>
            </w:tcBorders>
            <w:vAlign w:val="center"/>
          </w:tcPr>
          <w:p>
            <w:pPr>
              <w:pStyle w:val="23"/>
            </w:pPr>
            <w:r>
              <w:t>148.45</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212</w:t>
            </w:r>
          </w:p>
        </w:tc>
        <w:tc>
          <w:tcPr>
            <w:tcW w:w="4535" w:type="dxa"/>
            <w:tcBorders>
              <w:left w:val="single" w:sz="6" w:space="0" w:color="auto"/>
            </w:tcBorders>
            <w:vAlign w:val="center"/>
          </w:tcPr>
          <w:p>
            <w:pPr>
              <w:pStyle w:val="20"/>
            </w:pPr>
            <w:r>
              <w:t>城乡社区支出</w:t>
            </w:r>
          </w:p>
        </w:tc>
        <w:tc>
          <w:tcPr>
            <w:tcW w:w="2551" w:type="dxa"/>
            <w:tcBorders>
              <w:left w:val="single" w:sz="6" w:space="0" w:color="auto"/>
            </w:tcBorders>
            <w:vAlign w:val="center"/>
          </w:tcPr>
          <w:p>
            <w:pPr>
              <w:pStyle w:val="19"/>
            </w:pPr>
            <w:r>
              <w:t>13.45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13.45</w:t>
            </w: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21201</w:t>
            </w:r>
          </w:p>
        </w:tc>
        <w:tc>
          <w:tcPr>
            <w:tcW w:w="4535" w:type="dxa"/>
            <w:tcBorders>
              <w:left w:val="single" w:sz="6" w:space="0" w:color="auto"/>
            </w:tcBorders>
            <w:vAlign w:val="center"/>
          </w:tcPr>
          <w:p>
            <w:pPr>
              <w:pStyle w:val="20"/>
            </w:pPr>
            <w:r>
              <w:t>城乡社区管理事务</w:t>
            </w:r>
          </w:p>
        </w:tc>
        <w:tc>
          <w:tcPr>
            <w:tcW w:w="2551" w:type="dxa"/>
            <w:tcBorders>
              <w:left w:val="single" w:sz="6" w:space="0" w:color="auto"/>
            </w:tcBorders>
            <w:vAlign w:val="center"/>
          </w:tcPr>
          <w:p>
            <w:pPr>
              <w:pStyle w:val="19"/>
            </w:pPr>
            <w:r>
              <w:t>13.45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13.45</w:t>
            </w: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2120101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13.45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13.45</w:t>
            </w: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213</w:t>
            </w:r>
          </w:p>
        </w:tc>
        <w:tc>
          <w:tcPr>
            <w:tcW w:w="4535" w:type="dxa"/>
            <w:tcBorders>
              <w:left w:val="single" w:sz="6" w:space="0" w:color="auto"/>
            </w:tcBorders>
            <w:vAlign w:val="center"/>
          </w:tcPr>
          <w:p>
            <w:pPr>
              <w:pStyle w:val="20"/>
            </w:pPr>
            <w:r>
              <w:t>农林水支出</w:t>
            </w:r>
          </w:p>
        </w:tc>
        <w:tc>
          <w:tcPr>
            <w:tcW w:w="2551" w:type="dxa"/>
            <w:tcBorders>
              <w:left w:val="single" w:sz="6" w:space="0" w:color="auto"/>
            </w:tcBorders>
            <w:vAlign w:val="center"/>
          </w:tcPr>
          <w:p>
            <w:pPr>
              <w:pStyle w:val="19"/>
            </w:pPr>
            <w:r>
              <w:t>396.38</w:t>
            </w:r>
          </w:p>
        </w:tc>
        <w:tc>
          <w:tcPr>
            <w:tcW w:w="2551" w:type="dxa"/>
            <w:tcBorders>
              <w:left w:val="single" w:sz="6" w:space="0" w:color="auto"/>
            </w:tcBorders>
            <w:vAlign w:val="center"/>
          </w:tcPr>
          <w:p>
            <w:pPr>
              <w:pStyle w:val="19"/>
            </w:pPr>
            <w:r>
              <w:t>261.38</w:t>
            </w:r>
          </w:p>
        </w:tc>
        <w:tc>
          <w:tcPr>
            <w:tcW w:w="2551" w:type="dxa"/>
            <w:tcBorders>
              <w:left w:val="single" w:sz="6" w:space="0" w:color="auto"/>
            </w:tcBorders>
            <w:vAlign w:val="center"/>
          </w:tcPr>
          <w:p>
            <w:pPr>
              <w:pStyle w:val="19"/>
            </w:pPr>
            <w:r>
              <w:t>135.00</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21307</w:t>
            </w:r>
          </w:p>
        </w:tc>
        <w:tc>
          <w:tcPr>
            <w:tcW w:w="4535" w:type="dxa"/>
            <w:tcBorders>
              <w:left w:val="single" w:sz="6" w:space="0" w:color="auto"/>
            </w:tcBorders>
            <w:vAlign w:val="center"/>
          </w:tcPr>
          <w:p>
            <w:pPr>
              <w:pStyle w:val="20"/>
            </w:pPr>
            <w:r>
              <w:t>农村综合改革</w:t>
            </w:r>
          </w:p>
        </w:tc>
        <w:tc>
          <w:tcPr>
            <w:tcW w:w="2551" w:type="dxa"/>
            <w:tcBorders>
              <w:left w:val="single" w:sz="6" w:space="0" w:color="auto"/>
            </w:tcBorders>
            <w:vAlign w:val="center"/>
          </w:tcPr>
          <w:p>
            <w:pPr>
              <w:pStyle w:val="19"/>
            </w:pPr>
            <w:r>
              <w:t>396.38</w:t>
            </w:r>
          </w:p>
        </w:tc>
        <w:tc>
          <w:tcPr>
            <w:tcW w:w="2551" w:type="dxa"/>
            <w:tcBorders>
              <w:left w:val="single" w:sz="6" w:space="0" w:color="auto"/>
            </w:tcBorders>
            <w:vAlign w:val="center"/>
          </w:tcPr>
          <w:p>
            <w:pPr>
              <w:pStyle w:val="19"/>
            </w:pPr>
            <w:r>
              <w:t>261.38</w:t>
            </w:r>
          </w:p>
        </w:tc>
        <w:tc>
          <w:tcPr>
            <w:tcW w:w="2551" w:type="dxa"/>
            <w:tcBorders>
              <w:left w:val="single" w:sz="6" w:space="0" w:color="auto"/>
            </w:tcBorders>
            <w:vAlign w:val="center"/>
          </w:tcPr>
          <w:p>
            <w:pPr>
              <w:pStyle w:val="19"/>
            </w:pPr>
            <w:r>
              <w:t>135.00</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2130705</w:t>
            </w:r>
          </w:p>
        </w:tc>
        <w:tc>
          <w:tcPr>
            <w:tcW w:w="4535" w:type="dxa"/>
            <w:tcBorders>
              <w:left w:val="single" w:sz="6" w:space="0" w:color="auto"/>
            </w:tcBorders>
            <w:vAlign w:val="center"/>
          </w:tcPr>
          <w:p>
            <w:pPr>
              <w:pStyle w:val="20"/>
            </w:pPr>
            <w:r>
              <w:t>对村民委员会和村党支部的补助</w:t>
            </w:r>
          </w:p>
        </w:tc>
        <w:tc>
          <w:tcPr>
            <w:tcW w:w="2551" w:type="dxa"/>
            <w:tcBorders>
              <w:left w:val="single" w:sz="6" w:space="0" w:color="auto"/>
            </w:tcBorders>
            <w:vAlign w:val="center"/>
          </w:tcPr>
          <w:p>
            <w:pPr>
              <w:pStyle w:val="19"/>
            </w:pPr>
            <w:r>
              <w:t>396.38</w:t>
            </w:r>
          </w:p>
        </w:tc>
        <w:tc>
          <w:tcPr>
            <w:tcW w:w="2551" w:type="dxa"/>
            <w:tcBorders>
              <w:left w:val="single" w:sz="6" w:space="0" w:color="auto"/>
            </w:tcBorders>
            <w:vAlign w:val="center"/>
          </w:tcPr>
          <w:p>
            <w:pPr>
              <w:pStyle w:val="19"/>
            </w:pPr>
            <w:r>
              <w:t>261.38</w:t>
            </w:r>
          </w:p>
        </w:tc>
        <w:tc>
          <w:tcPr>
            <w:tcW w:w="2551" w:type="dxa"/>
            <w:tcBorders>
              <w:left w:val="single" w:sz="6" w:space="0" w:color="auto"/>
            </w:tcBorders>
            <w:vAlign w:val="center"/>
          </w:tcPr>
          <w:p>
            <w:pPr>
              <w:pStyle w:val="19"/>
            </w:pPr>
            <w:r>
              <w:t>135.00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355.80</w:t>
            </w:r>
          </w:p>
        </w:tc>
        <w:tc>
          <w:tcPr>
            <w:tcW w:w="2551" w:type="dxa"/>
            <w:tcBorders>
              <w:left w:val="single" w:sz="6" w:space="0" w:color="auto"/>
            </w:tcBorders>
            <w:vAlign w:val="center"/>
          </w:tcPr>
          <w:p>
            <w:pPr>
              <w:pStyle w:val="23"/>
            </w:pPr>
            <w:r>
              <w:t>349.96</w:t>
            </w:r>
          </w:p>
        </w:tc>
        <w:tc>
          <w:tcPr>
            <w:tcW w:w="2551" w:type="dxa"/>
            <w:tcBorders>
              <w:left w:val="single" w:sz="6" w:space="0" w:color="auto"/>
            </w:tcBorders>
            <w:vAlign w:val="center"/>
          </w:tcPr>
          <w:p>
            <w:pPr>
              <w:pStyle w:val="23"/>
            </w:pPr>
            <w:r>
              <w:t>5.84</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349.96</w:t>
            </w:r>
          </w:p>
        </w:tc>
        <w:tc>
          <w:tcPr>
            <w:tcW w:w="2551" w:type="dxa"/>
            <w:tcBorders>
              <w:left w:val="single" w:sz="6" w:space="0" w:color="auto"/>
            </w:tcBorders>
            <w:vAlign w:val="center"/>
          </w:tcPr>
          <w:p>
            <w:pPr>
              <w:pStyle w:val="19"/>
            </w:pPr>
            <w:r>
              <w:t>349.96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236.35</w:t>
            </w:r>
          </w:p>
        </w:tc>
        <w:tc>
          <w:tcPr>
            <w:tcW w:w="2551" w:type="dxa"/>
            <w:tcBorders>
              <w:left w:val="single" w:sz="6" w:space="0" w:color="auto"/>
            </w:tcBorders>
            <w:vAlign w:val="center"/>
          </w:tcPr>
          <w:p>
            <w:pPr>
              <w:pStyle w:val="19"/>
            </w:pPr>
            <w:r>
              <w:t>236.35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0.78</w:t>
            </w:r>
          </w:p>
        </w:tc>
        <w:tc>
          <w:tcPr>
            <w:tcW w:w="2551" w:type="dxa"/>
            <w:tcBorders>
              <w:left w:val="single" w:sz="6" w:space="0" w:color="auto"/>
            </w:tcBorders>
            <w:vAlign w:val="center"/>
          </w:tcPr>
          <w:p>
            <w:pPr>
              <w:pStyle w:val="19"/>
            </w:pPr>
            <w:r>
              <w:t>0.78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15.30</w:t>
            </w:r>
          </w:p>
        </w:tc>
        <w:tc>
          <w:tcPr>
            <w:tcW w:w="2551" w:type="dxa"/>
            <w:tcBorders>
              <w:left w:val="single" w:sz="6" w:space="0" w:color="auto"/>
            </w:tcBorders>
            <w:vAlign w:val="center"/>
          </w:tcPr>
          <w:p>
            <w:pPr>
              <w:pStyle w:val="19"/>
            </w:pPr>
            <w:r>
              <w:t>15.30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3.10</w:t>
            </w:r>
          </w:p>
        </w:tc>
        <w:tc>
          <w:tcPr>
            <w:tcW w:w="2551" w:type="dxa"/>
            <w:tcBorders>
              <w:left w:val="single" w:sz="6" w:space="0" w:color="auto"/>
            </w:tcBorders>
            <w:vAlign w:val="center"/>
          </w:tcPr>
          <w:p>
            <w:pPr>
              <w:pStyle w:val="19"/>
            </w:pPr>
            <w:r>
              <w:t>3.10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5.84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5.84</w:t>
            </w: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0.72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0.72</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30202</w:t>
            </w:r>
          </w:p>
        </w:tc>
        <w:tc>
          <w:tcPr>
            <w:tcW w:w="4535" w:type="dxa"/>
            <w:tcBorders>
              <w:left w:val="single" w:sz="6" w:space="0" w:color="auto"/>
            </w:tcBorders>
            <w:vAlign w:val="center"/>
          </w:tcPr>
          <w:p>
            <w:pPr>
              <w:pStyle w:val="20"/>
            </w:pPr>
            <w:r>
              <w:t>印刷费</w:t>
            </w:r>
          </w:p>
        </w:tc>
        <w:tc>
          <w:tcPr>
            <w:tcW w:w="2551" w:type="dxa"/>
            <w:tcBorders>
              <w:left w:val="single" w:sz="6" w:space="0" w:color="auto"/>
            </w:tcBorders>
            <w:vAlign w:val="center"/>
          </w:tcPr>
          <w:p>
            <w:pPr>
              <w:pStyle w:val="19"/>
            </w:pPr>
            <w:r>
              <w:t>0.20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0.20</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30204</w:t>
            </w:r>
          </w:p>
        </w:tc>
        <w:tc>
          <w:tcPr>
            <w:tcW w:w="4535" w:type="dxa"/>
            <w:tcBorders>
              <w:left w:val="single" w:sz="6" w:space="0" w:color="auto"/>
            </w:tcBorders>
            <w:vAlign w:val="center"/>
          </w:tcPr>
          <w:p>
            <w:pPr>
              <w:pStyle w:val="20"/>
            </w:pPr>
            <w:r>
              <w:t>手续费</w:t>
            </w:r>
          </w:p>
        </w:tc>
        <w:tc>
          <w:tcPr>
            <w:tcW w:w="2551" w:type="dxa"/>
            <w:tcBorders>
              <w:left w:val="single" w:sz="6" w:space="0" w:color="auto"/>
            </w:tcBorders>
            <w:vAlign w:val="center"/>
          </w:tcPr>
          <w:p>
            <w:pPr>
              <w:pStyle w:val="19"/>
            </w:pPr>
            <w:r>
              <w:t>0.03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0.03</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30206</w:t>
            </w:r>
          </w:p>
        </w:tc>
        <w:tc>
          <w:tcPr>
            <w:tcW w:w="4535" w:type="dxa"/>
            <w:tcBorders>
              <w:left w:val="single" w:sz="6" w:space="0" w:color="auto"/>
            </w:tcBorders>
            <w:vAlign w:val="center"/>
          </w:tcPr>
          <w:p>
            <w:pPr>
              <w:pStyle w:val="20"/>
            </w:pPr>
            <w:r>
              <w:t>电费</w:t>
            </w:r>
          </w:p>
        </w:tc>
        <w:tc>
          <w:tcPr>
            <w:tcW w:w="2551" w:type="dxa"/>
            <w:tcBorders>
              <w:left w:val="single" w:sz="6" w:space="0" w:color="auto"/>
            </w:tcBorders>
            <w:vAlign w:val="center"/>
          </w:tcPr>
          <w:p>
            <w:pPr>
              <w:pStyle w:val="19"/>
            </w:pPr>
            <w:r>
              <w:t>0.30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0.30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0.12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0.12</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0.05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0.05</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0.48</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0.48</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3.84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3.84</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0.10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4.50</w:t>
            </w:r>
          </w:p>
        </w:tc>
        <w:tc>
          <w:tcPr>
            <w:tcW w:w="2551" w:type="dxa"/>
            <w:tcBorders>
              <w:left w:val="single" w:sz="6" w:space="0" w:color="auto"/>
            </w:tcBorders>
            <w:vAlign w:val="center"/>
          </w:tcPr>
          <w:p>
            <w:pPr>
              <w:pStyle w:val="23"/>
            </w:pPr>
          </w:p>
        </w:tc>
        <w:tc>
          <w:tcPr>
            <w:tcW w:w="2551" w:type="dxa"/>
            <w:tcBorders>
              <w:left w:val="single" w:sz="6" w:space="0" w:color="auto"/>
            </w:tcBorders>
            <w:vAlign w:val="center"/>
          </w:tcPr>
          <w:p>
            <w:pPr>
              <w:pStyle w:val="23"/>
            </w:pPr>
            <w:r>
              <w:t>4.50</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223</w:t>
            </w:r>
          </w:p>
        </w:tc>
        <w:tc>
          <w:tcPr>
            <w:tcW w:w="4535" w:type="dxa"/>
            <w:tcBorders>
              <w:left w:val="single" w:sz="6" w:space="0" w:color="auto"/>
            </w:tcBorders>
            <w:vAlign w:val="center"/>
          </w:tcPr>
          <w:p>
            <w:pPr>
              <w:pStyle w:val="20"/>
            </w:pPr>
            <w:r>
              <w:t>国有资本经营预算支出</w:t>
            </w:r>
          </w:p>
        </w:tc>
        <w:tc>
          <w:tcPr>
            <w:tcW w:w="2551" w:type="dxa"/>
            <w:tcBorders>
              <w:left w:val="single" w:sz="6" w:space="0" w:color="auto"/>
            </w:tcBorders>
            <w:vAlign w:val="center"/>
          </w:tcPr>
          <w:p>
            <w:pPr>
              <w:pStyle w:val="19"/>
            </w:pPr>
            <w:r>
              <w:t>4.50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22301</w:t>
            </w:r>
          </w:p>
        </w:tc>
        <w:tc>
          <w:tcPr>
            <w:tcW w:w="4535" w:type="dxa"/>
            <w:tcBorders>
              <w:left w:val="single" w:sz="6" w:space="0" w:color="auto"/>
            </w:tcBorders>
            <w:vAlign w:val="center"/>
          </w:tcPr>
          <w:p>
            <w:pPr>
              <w:pStyle w:val="20"/>
            </w:pPr>
            <w:r>
              <w:t>解决历史遗留问题及改革成本支出</w:t>
            </w:r>
          </w:p>
        </w:tc>
        <w:tc>
          <w:tcPr>
            <w:tcW w:w="2551" w:type="dxa"/>
            <w:tcBorders>
              <w:left w:val="single" w:sz="6" w:space="0" w:color="auto"/>
            </w:tcBorders>
            <w:vAlign w:val="center"/>
          </w:tcPr>
          <w:p>
            <w:pPr>
              <w:pStyle w:val="19"/>
            </w:pPr>
            <w:r>
              <w:t>4.50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2230105</w:t>
            </w:r>
          </w:p>
        </w:tc>
        <w:tc>
          <w:tcPr>
            <w:tcW w:w="4535" w:type="dxa"/>
            <w:tcBorders>
              <w:left w:val="single" w:sz="6" w:space="0" w:color="auto"/>
            </w:tcBorders>
            <w:vAlign w:val="center"/>
          </w:tcPr>
          <w:p>
            <w:pPr>
              <w:pStyle w:val="20"/>
            </w:pPr>
            <w:r>
              <w:t>国有企业退休人员社会化管理补助支出</w:t>
            </w:r>
          </w:p>
        </w:tc>
        <w:tc>
          <w:tcPr>
            <w:tcW w:w="2551" w:type="dxa"/>
            <w:tcBorders>
              <w:left w:val="single" w:sz="6" w:space="0" w:color="auto"/>
            </w:tcBorders>
            <w:vAlign w:val="center"/>
          </w:tcPr>
          <w:p>
            <w:pPr>
              <w:pStyle w:val="19"/>
            </w:pPr>
            <w:r>
              <w:t>4.50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隆尧县社区建设服务中心2025年部门预算信息公开情况说明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隆尧县社区建设服务中心2025年部门预算信息公开情况说明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按照《中华人民共和国预算法》、《地方预决算公开操作规程》和《关于进一步推进预算公开工作的实施意见》规定，现将隆尧县社区建设服务中心2025年部门预算公开如下：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（一）负责县城社区党的建设方面指导协调工作，对县城社区进行业务指导；</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（二）负责县委、县政府在县城社区的公共服务工作，协助各职能部门办理县城社区内公共服务事项；</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（三）负责制定县城社区建设整体规划的前期调研、分析和论证等工作；</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（四）负责为县城社区建设和管理提供服务保障，推动县城社区物业服务规范化建设；</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（五）负责健全优化社区工作者队伍，逐步探索建立社区工作者职业体系;</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（六）负责建立社区志愿者队伍，加强社区服务队伍建设和管理；</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 xml:space="preserve"> (七)组织开展县城社区便民利民服务，及时了解社情民意，解决存在的问题；</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（八）协调做好县城社区人民调解工作，为县城社区居民调解矛盾纠纷提供法律法规和政策咨询等服务；</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（九）负责县城社区群众信访协调服务工作；</w:t>
      </w:r>
    </w:p>
    <w:p>
      <w:pPr>
        <w:pStyle w:val="25"/>
        <w:pBdr>
          <w:top w:val="none" w:sz="0" w:space="0" w:color="auto"/>
          <w:left w:val="none" w:sz="0" w:space="0" w:color="auto"/>
          <w:bottom w:val="none" w:sz="0" w:space="0" w:color="auto"/>
          <w:right w:val="none" w:sz="0" w:space="0" w:color="auto"/>
        </w:pBdr>
        <w:ind w:firstLine="560"/>
      </w:pPr>
      <w:r>
        <w:rPr>
          <w:rFonts w:hint="eastAsia"/>
        </w:rPr>
        <w:t>（十）承办县委交办的其他相关具体事务性工作。</w:t>
      </w:r>
    </w:p>
    <w:p>
      <w:pPr>
        <w:spacing w:before="0" w:after="0" w:line="240" w:lineRule="auto"/>
        <w:ind w:left="0" w:firstLineChars="200"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隆尧县社区建设服务中心本级</w:t>
            </w:r>
          </w:p>
        </w:tc>
        <w:tc>
          <w:tcPr>
            <w:tcW w:w="1843" w:type="dxa"/>
            <w:tcBorders>
              <w:left w:val="single" w:sz="6" w:space="0" w:color="auto"/>
            </w:tcBorders>
            <w:vAlign w:val="center"/>
          </w:tcPr>
          <w:p>
            <w:pPr>
              <w:pStyle w:val="21"/>
            </w:pPr>
            <w:r>
              <w:t>事业</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按照预算管理有关规定，目前我县部门预算的编制实行综合预算管理，即全部收入和支出都反映在预算中。隆尧县社区建设服务中心及所属事业单位的收支包含在部门预算中。</w:t>
      </w:r>
    </w:p>
    <w:p>
      <w:pPr>
        <w:pStyle w:val="26"/>
      </w:pPr>
      <w:r>
        <w:t>1、收入说明</w:t>
      </w:r>
    </w:p>
    <w:p>
      <w:pPr>
        <w:pStyle w:val="26"/>
      </w:pPr>
      <w:r>
        <w:t>反映本部门当年全部收入。2025年预算收入508.74万元，其中：一般公共预算收入504.24万元，基金预算收入0万元，国有资本经营预算收入4.5万元，财政专户核拨收入0万元，单位资金收入0万元，上年结转结余0万元。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社区建设服务中心年度部门预算中支出预算的总体情况。2025年支出预算508.74万元，其中基本支出355.80万元，包括人员经费349.96万元和日常公用经费5.84万元；项目支出152.95万元，主要为9个社区办公经费、9个社区服务群众专项经费、社区办公专项经费、国有企业退休人员社会化管理补助支出等。</w:t>
      </w:r>
    </w:p>
    <w:p>
      <w:pPr>
        <w:pStyle w:val="26"/>
      </w:pPr>
      <w:r>
        <w:t>3、比上年增减情况</w:t>
      </w:r>
    </w:p>
    <w:p>
      <w:pPr>
        <w:pStyle w:val="26"/>
      </w:pPr>
      <w:r>
        <w:t>2025年部门预算收支安排504.24万元，较2024年预算增加24.58万元，其中：基本支出增加22.74万元，主要为增加人员经费和日常公用经费支出；项目支出增加1.85万元，主要为增加国有企业退休人员社会化管理补助。</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2025年，我单位机关运行经费共计安排8.52万元，主要用于保证机关正常运转的办公费、印刷费、邮电费、办公用房水电费等日常运行支出。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2025年，我部门财政拨款“三公”经费预算安排0万元，其中因公出国（境）费0万元；公务用车购置及运维费0万元（其中：公务用车购置费为0万元，公务用车运行维护费0万元)；公务接待费0万元。与2023年持平。</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在全力抓好、落实好民生事项，做好为民服务的的同时，聚焦社区治理，因地制宜着力打造特色社区、亮点社区、精品社区。</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聚能民生工程。一是持续践行民生承诺，谋划实施年度十项民生实事；配合住建部门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sectPr>
          <w:pgSz w:w="16840" w:h="11900" w:orient="landscape"/>
          <w:pgMar w:top="1361" w:right="1020" w:bottom="1361" w:left="1020" w:header="720" w:footer="720" w:gutter="0"/>
          <w:docGrid w:linePitch="326" w:charSpace="0"/>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4" w:name="_Toc_3_3_0000000015"/>
      <w:r>
        <w:rPr>
          <w:rFonts w:ascii="黑体" w:eastAsia="黑体" w:cs="黑体" w:hAnsi="黑体"/>
          <w:color w:val="000000"/>
          <w:sz w:val="32"/>
        </w:rPr>
        <w:t>六、部门主管专项资金预算安排情况及绩效目标</w:t>
      </w:r>
      <w:bookmarkStart w:id="15" w:name="_GoBack"/>
      <w:bookmarkEnd w:id="14"/>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1、村级支出/社区服务群众专项经费绩效目标表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13052525P00003510002J</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村级支出/社区服务群众专项经费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90.00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90.00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9个社区服务群众专项经费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1.按时拨付社区服务群众专项经费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党建及文化建设工作完成率</w:t>
            </w:r>
          </w:p>
        </w:tc>
        <w:tc>
          <w:tcPr>
            <w:tcW w:w="5386" w:type="dxa"/>
            <w:tcBorders>
              <w:left w:val="single" w:sz="6" w:space="0" w:color="auto"/>
            </w:tcBorders>
            <w:vAlign w:val="center"/>
          </w:tcPr>
          <w:p>
            <w:pPr>
              <w:pStyle w:val="20"/>
            </w:pPr>
            <w:r>
              <w:t>党建及文化建设工作完成率</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开展党建及文化工作完成率不低于90%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保证工作正常开展</w:t>
            </w:r>
          </w:p>
        </w:tc>
        <w:tc>
          <w:tcPr>
            <w:tcW w:w="5386" w:type="dxa"/>
            <w:tcBorders>
              <w:left w:val="single" w:sz="6" w:space="0" w:color="auto"/>
            </w:tcBorders>
            <w:vAlign w:val="center"/>
          </w:tcPr>
          <w:p>
            <w:pPr>
              <w:pStyle w:val="20"/>
            </w:pPr>
            <w:r>
              <w:t>保证工作正常开展</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保障工作完成率不低于90%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按照年度工作计划</w:t>
            </w:r>
          </w:p>
        </w:tc>
        <w:tc>
          <w:tcPr>
            <w:tcW w:w="5386" w:type="dxa"/>
            <w:tcBorders>
              <w:left w:val="single" w:sz="6" w:space="0" w:color="auto"/>
            </w:tcBorders>
            <w:vAlign w:val="center"/>
          </w:tcPr>
          <w:p>
            <w:pPr>
              <w:pStyle w:val="20"/>
            </w:pPr>
            <w:r>
              <w:t>按照年度工作计划</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工按年度完成工作计划不低于90%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预算执行率（%）</w:t>
            </w:r>
          </w:p>
        </w:tc>
        <w:tc>
          <w:tcPr>
            <w:tcW w:w="5386" w:type="dxa"/>
            <w:tcBorders>
              <w:left w:val="single" w:sz="6" w:space="0" w:color="auto"/>
            </w:tcBorders>
            <w:vAlign w:val="center"/>
          </w:tcPr>
          <w:p>
            <w:pPr>
              <w:pStyle w:val="20"/>
            </w:pPr>
            <w:r>
              <w:t>预算执行率（%）</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预算执行率完成不低于90%</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帮扶宣讲持续发挥作用的期限</w:t>
            </w:r>
          </w:p>
        </w:tc>
        <w:tc>
          <w:tcPr>
            <w:tcW w:w="5386" w:type="dxa"/>
            <w:tcBorders>
              <w:left w:val="single" w:sz="6" w:space="0" w:color="auto"/>
            </w:tcBorders>
            <w:vAlign w:val="center"/>
          </w:tcPr>
          <w:p>
            <w:pPr>
              <w:pStyle w:val="20"/>
            </w:pPr>
            <w:r>
              <w:t>帮扶宣讲持续发挥作用的期限</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宣讲持续发挥作用影响力不低于1年</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公益演出场次</w:t>
            </w:r>
          </w:p>
        </w:tc>
        <w:tc>
          <w:tcPr>
            <w:tcW w:w="5386" w:type="dxa"/>
            <w:tcBorders>
              <w:left w:val="single" w:sz="6" w:space="0" w:color="auto"/>
            </w:tcBorders>
            <w:vAlign w:val="center"/>
          </w:tcPr>
          <w:p>
            <w:pPr>
              <w:pStyle w:val="20"/>
            </w:pPr>
            <w:r>
              <w:t>公益演出场次</w:t>
            </w:r>
          </w:p>
        </w:tc>
        <w:tc>
          <w:tcPr>
            <w:tcW w:w="2268" w:type="dxa"/>
            <w:tcBorders>
              <w:left w:val="single" w:sz="6" w:space="0" w:color="auto"/>
            </w:tcBorders>
            <w:vAlign w:val="center"/>
          </w:tcPr>
          <w:p>
            <w:pPr>
              <w:pStyle w:val="20"/>
            </w:pPr>
            <w:r>
              <w:t>≥27场次</w:t>
            </w:r>
          </w:p>
        </w:tc>
        <w:tc>
          <w:tcPr>
            <w:tcW w:w="1276" w:type="dxa"/>
            <w:tcBorders>
              <w:left w:val="single" w:sz="6" w:space="0" w:color="auto"/>
            </w:tcBorders>
            <w:vAlign w:val="center"/>
          </w:tcPr>
          <w:p>
            <w:pPr>
              <w:pStyle w:val="20"/>
            </w:pPr>
            <w:r>
              <w:t>9个社区全年开展各类演出活动不低于27场次</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受益群体满意度</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群众满意度不低于90%</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2、村级支出/社区工作经费绩效目标表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13052525P00003510001Y</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村级支出/社区工作经费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9个社区办公经费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1.保障9个社区经费正常支出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开展集中办公和培训次数</w:t>
            </w:r>
          </w:p>
        </w:tc>
        <w:tc>
          <w:tcPr>
            <w:tcW w:w="5386" w:type="dxa"/>
            <w:tcBorders>
              <w:left w:val="single" w:sz="6" w:space="0" w:color="auto"/>
            </w:tcBorders>
            <w:vAlign w:val="center"/>
          </w:tcPr>
          <w:p>
            <w:pPr>
              <w:pStyle w:val="20"/>
            </w:pPr>
            <w:r>
              <w:t>开展集中办公和培训次数</w:t>
            </w:r>
          </w:p>
        </w:tc>
        <w:tc>
          <w:tcPr>
            <w:tcW w:w="2268" w:type="dxa"/>
            <w:tcBorders>
              <w:left w:val="single" w:sz="6" w:space="0" w:color="auto"/>
            </w:tcBorders>
            <w:vAlign w:val="center"/>
          </w:tcPr>
          <w:p>
            <w:pPr>
              <w:pStyle w:val="20"/>
            </w:pPr>
            <w:r>
              <w:t>≥108次</w:t>
            </w:r>
          </w:p>
        </w:tc>
        <w:tc>
          <w:tcPr>
            <w:tcW w:w="1276" w:type="dxa"/>
            <w:tcBorders>
              <w:left w:val="single" w:sz="6" w:space="0" w:color="auto"/>
            </w:tcBorders>
            <w:vAlign w:val="center"/>
          </w:tcPr>
          <w:p>
            <w:pPr>
              <w:pStyle w:val="20"/>
            </w:pPr>
            <w:r>
              <w:t>9个社区每月至少召开一次会议</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工作完成情况</w:t>
            </w:r>
          </w:p>
        </w:tc>
        <w:tc>
          <w:tcPr>
            <w:tcW w:w="5386" w:type="dxa"/>
            <w:tcBorders>
              <w:left w:val="single" w:sz="6" w:space="0" w:color="auto"/>
            </w:tcBorders>
            <w:vAlign w:val="center"/>
          </w:tcPr>
          <w:p>
            <w:pPr>
              <w:pStyle w:val="20"/>
            </w:pPr>
            <w:r>
              <w:t>工作完成情况</w:t>
            </w:r>
          </w:p>
        </w:tc>
        <w:tc>
          <w:tcPr>
            <w:tcW w:w="2268" w:type="dxa"/>
            <w:tcBorders>
              <w:left w:val="single" w:sz="6" w:space="0" w:color="auto"/>
            </w:tcBorders>
            <w:vAlign w:val="center"/>
          </w:tcPr>
          <w:p>
            <w:pPr>
              <w:pStyle w:val="20"/>
            </w:pPr>
            <w:r>
              <w:t>≥95百分比</w:t>
            </w:r>
          </w:p>
        </w:tc>
        <w:tc>
          <w:tcPr>
            <w:tcW w:w="1276" w:type="dxa"/>
            <w:tcBorders>
              <w:left w:val="single" w:sz="6" w:space="0" w:color="auto"/>
            </w:tcBorders>
            <w:vAlign w:val="center"/>
          </w:tcPr>
          <w:p>
            <w:pPr>
              <w:pStyle w:val="20"/>
            </w:pPr>
            <w:r>
              <w:t>各社区完成工作情况不低于95%</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按年度工作计划完成比例</w:t>
            </w:r>
          </w:p>
        </w:tc>
        <w:tc>
          <w:tcPr>
            <w:tcW w:w="5386" w:type="dxa"/>
            <w:tcBorders>
              <w:left w:val="single" w:sz="6" w:space="0" w:color="auto"/>
            </w:tcBorders>
            <w:vAlign w:val="center"/>
          </w:tcPr>
          <w:p>
            <w:pPr>
              <w:pStyle w:val="20"/>
            </w:pPr>
            <w:r>
              <w:t>按年度工作计划完成比例</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各社区完成年度工作计划不低于90%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控制在批复概算内</w:t>
            </w:r>
          </w:p>
        </w:tc>
        <w:tc>
          <w:tcPr>
            <w:tcW w:w="5386" w:type="dxa"/>
            <w:tcBorders>
              <w:left w:val="single" w:sz="6" w:space="0" w:color="auto"/>
            </w:tcBorders>
            <w:vAlign w:val="center"/>
          </w:tcPr>
          <w:p>
            <w:pPr>
              <w:pStyle w:val="20"/>
            </w:pPr>
            <w:r>
              <w:t>控制在批复概算内</w:t>
            </w:r>
          </w:p>
        </w:tc>
        <w:tc>
          <w:tcPr>
            <w:tcW w:w="2268" w:type="dxa"/>
            <w:tcBorders>
              <w:left w:val="single" w:sz="6" w:space="0" w:color="auto"/>
            </w:tcBorders>
            <w:vAlign w:val="center"/>
          </w:tcPr>
          <w:p>
            <w:pPr>
              <w:pStyle w:val="20"/>
            </w:pPr>
            <w:r>
              <w:t>≥99百分比</w:t>
            </w:r>
          </w:p>
        </w:tc>
        <w:tc>
          <w:tcPr>
            <w:tcW w:w="1276" w:type="dxa"/>
            <w:tcBorders>
              <w:left w:val="single" w:sz="6" w:space="0" w:color="auto"/>
            </w:tcBorders>
            <w:vAlign w:val="center"/>
          </w:tcPr>
          <w:p>
            <w:pPr>
              <w:pStyle w:val="20"/>
            </w:pPr>
            <w:r>
              <w:t>各社区严格控制经费支出</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岗位配置率</w:t>
            </w:r>
          </w:p>
        </w:tc>
        <w:tc>
          <w:tcPr>
            <w:tcW w:w="5386" w:type="dxa"/>
            <w:tcBorders>
              <w:left w:val="single" w:sz="6" w:space="0" w:color="auto"/>
            </w:tcBorders>
            <w:vAlign w:val="center"/>
          </w:tcPr>
          <w:p>
            <w:pPr>
              <w:pStyle w:val="20"/>
            </w:pPr>
            <w:r>
              <w:t>岗位配置率</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保障各社区正常工作运营</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社会影响力</w:t>
            </w:r>
          </w:p>
        </w:tc>
        <w:tc>
          <w:tcPr>
            <w:tcW w:w="2268" w:type="dxa"/>
            <w:tcBorders>
              <w:left w:val="single" w:sz="6" w:space="0" w:color="auto"/>
            </w:tcBorders>
            <w:vAlign w:val="center"/>
          </w:tcPr>
          <w:p>
            <w:pPr>
              <w:pStyle w:val="20"/>
            </w:pPr>
            <w:r>
              <w:t>≥6000人次</w:t>
            </w:r>
          </w:p>
        </w:tc>
        <w:tc>
          <w:tcPr>
            <w:tcW w:w="1276" w:type="dxa"/>
            <w:tcBorders>
              <w:left w:val="single" w:sz="6" w:space="0" w:color="auto"/>
            </w:tcBorders>
            <w:vAlign w:val="center"/>
          </w:tcPr>
          <w:p>
            <w:pPr>
              <w:pStyle w:val="20"/>
            </w:pPr>
            <w:r>
              <w:t>社区全年组织开展各类活动，影响人数不低于6000人</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群众满意度</w:t>
            </w:r>
          </w:p>
        </w:tc>
        <w:tc>
          <w:tcPr>
            <w:tcW w:w="5386" w:type="dxa"/>
            <w:tcBorders>
              <w:left w:val="single" w:sz="6" w:space="0" w:color="auto"/>
            </w:tcBorders>
            <w:vAlign w:val="center"/>
          </w:tcPr>
          <w:p>
            <w:pPr>
              <w:pStyle w:val="20"/>
            </w:pPr>
            <w:r>
              <w:t>群众满意度</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群众满意度指数不低于90%</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3、冀财资[2024]112号/中央/提前下达2025年国有企业退休人员社会化管理补助资金绩效目标表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13052525P000002100456</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冀财资[2024]112号/中央/提前下达2025年国有企业退休人员社会化管理补助资金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国有企业退休人员社会化管理工作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w:t>
            </w:r>
          </w:p>
        </w:tc>
        <w:tc>
          <w:tcPr>
            <w:tcW w:w="2835" w:type="dxa"/>
            <w:tcBorders>
              <w:left w:val="single" w:sz="6" w:space="0" w:color="auto"/>
            </w:tcBorders>
            <w:vAlign w:val="center"/>
          </w:tcPr>
          <w:p>
            <w:pPr>
              <w:pStyle w:val="21"/>
            </w:pPr>
            <w:r>
              <w:t>20%</w:t>
            </w:r>
          </w:p>
        </w:tc>
        <w:tc>
          <w:tcPr>
            <w:tcW w:w="2551" w:type="dxa"/>
            <w:tcBorders>
              <w:left w:val="single" w:sz="6" w:space="0" w:color="auto"/>
            </w:tcBorders>
            <w:vAlign w:val="center"/>
          </w:tcPr>
          <w:p>
            <w:pPr>
              <w:pStyle w:val="21"/>
            </w:pPr>
            <w:r>
              <w:t>50%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退休人员管理服务工作与原企业分离</w:t>
            </w:r>
          </w:p>
        </w:tc>
        <w:tc>
          <w:tcPr>
            <w:tcW w:w="5386" w:type="dxa"/>
            <w:tcBorders>
              <w:left w:val="single" w:sz="6" w:space="0" w:color="auto"/>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成本控制率</w:t>
            </w:r>
          </w:p>
        </w:tc>
        <w:tc>
          <w:tcPr>
            <w:tcW w:w="5386" w:type="dxa"/>
            <w:tcBorders>
              <w:left w:val="single" w:sz="6" w:space="0" w:color="auto"/>
            </w:tcBorders>
            <w:vAlign w:val="center"/>
          </w:tcPr>
          <w:p>
            <w:pPr>
              <w:pStyle w:val="20"/>
            </w:pPr>
            <w:r>
              <w:t>完成项目的成本控制在预算水平</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按期完成资金支付</w:t>
            </w:r>
          </w:p>
        </w:tc>
        <w:tc>
          <w:tcPr>
            <w:tcW w:w="5386" w:type="dxa"/>
            <w:tcBorders>
              <w:left w:val="single" w:sz="6" w:space="0" w:color="auto"/>
            </w:tcBorders>
            <w:vAlign w:val="center"/>
          </w:tcPr>
          <w:p>
            <w:pPr>
              <w:pStyle w:val="20"/>
            </w:pPr>
            <w:r>
              <w:t>按期完成资金支付</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各项支付工作完成率</w:t>
            </w:r>
          </w:p>
        </w:tc>
        <w:tc>
          <w:tcPr>
            <w:tcW w:w="5386" w:type="dxa"/>
            <w:tcBorders>
              <w:left w:val="single" w:sz="6" w:space="0" w:color="auto"/>
            </w:tcBorders>
            <w:vAlign w:val="center"/>
          </w:tcPr>
          <w:p>
            <w:pPr>
              <w:pStyle w:val="20"/>
            </w:pPr>
            <w:r>
              <w:t>各项支付工作完成率</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退休人员社会化管理服务费用</w:t>
            </w:r>
          </w:p>
        </w:tc>
        <w:tc>
          <w:tcPr>
            <w:tcW w:w="5386" w:type="dxa"/>
            <w:tcBorders>
              <w:left w:val="single" w:sz="6" w:space="0" w:color="auto"/>
            </w:tcBorders>
            <w:vAlign w:val="center"/>
          </w:tcPr>
          <w:p>
            <w:pPr>
              <w:pStyle w:val="20"/>
            </w:pPr>
            <w:r>
              <w:t>国有企业不承担移交后的退休人员社会化管理服务费用</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企业满意度指标</w:t>
            </w:r>
          </w:p>
        </w:tc>
        <w:tc>
          <w:tcPr>
            <w:tcW w:w="5386" w:type="dxa"/>
            <w:tcBorders>
              <w:left w:val="single" w:sz="6" w:space="0" w:color="auto"/>
            </w:tcBorders>
            <w:vAlign w:val="center"/>
          </w:tcPr>
          <w:p>
            <w:pPr>
              <w:pStyle w:val="20"/>
            </w:pPr>
            <w:r>
              <w:t>移交企业的综合满意程度，企业满意度=问卷调查平均得分/总分*100%</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4、冀财资〔2024〕124号/省级/提前下达2025年国有企业退休人员社会化管理补助资金绩效目标表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13052525P00000210078L</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冀财资〔2024〕124号/省级/提前下达2025年国有企业退休人员社会化管理补助资金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0.50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0.50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国有企业退休人员社会化管理工作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w:t>
            </w:r>
          </w:p>
        </w:tc>
        <w:tc>
          <w:tcPr>
            <w:tcW w:w="2835" w:type="dxa"/>
            <w:tcBorders>
              <w:left w:val="single" w:sz="6" w:space="0" w:color="auto"/>
            </w:tcBorders>
            <w:vAlign w:val="center"/>
          </w:tcPr>
          <w:p>
            <w:pPr>
              <w:pStyle w:val="21"/>
            </w:pPr>
            <w:r>
              <w:t>5%</w:t>
            </w:r>
          </w:p>
        </w:tc>
        <w:tc>
          <w:tcPr>
            <w:tcW w:w="2551" w:type="dxa"/>
            <w:tcBorders>
              <w:left w:val="single" w:sz="6" w:space="0" w:color="auto"/>
            </w:tcBorders>
            <w:vAlign w:val="center"/>
          </w:tcPr>
          <w:p>
            <w:pPr>
              <w:pStyle w:val="21"/>
            </w:pPr>
            <w:r>
              <w:t>50%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退休人员管理服务工作与原企业分离</w:t>
            </w:r>
          </w:p>
        </w:tc>
        <w:tc>
          <w:tcPr>
            <w:tcW w:w="5386" w:type="dxa"/>
            <w:tcBorders>
              <w:left w:val="single" w:sz="6" w:space="0" w:color="auto"/>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成本控制率</w:t>
            </w:r>
          </w:p>
        </w:tc>
        <w:tc>
          <w:tcPr>
            <w:tcW w:w="5386" w:type="dxa"/>
            <w:tcBorders>
              <w:left w:val="single" w:sz="6" w:space="0" w:color="auto"/>
            </w:tcBorders>
            <w:vAlign w:val="center"/>
          </w:tcPr>
          <w:p>
            <w:pPr>
              <w:pStyle w:val="20"/>
            </w:pPr>
            <w:r>
              <w:t>完成项目的成本控制在预算水平</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按期完成资金支付</w:t>
            </w:r>
          </w:p>
        </w:tc>
        <w:tc>
          <w:tcPr>
            <w:tcW w:w="5386" w:type="dxa"/>
            <w:tcBorders>
              <w:left w:val="single" w:sz="6" w:space="0" w:color="auto"/>
            </w:tcBorders>
            <w:vAlign w:val="center"/>
          </w:tcPr>
          <w:p>
            <w:pPr>
              <w:pStyle w:val="20"/>
            </w:pPr>
            <w:r>
              <w:t>按期完成资金支付</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各项支付工作完成率</w:t>
            </w:r>
          </w:p>
        </w:tc>
        <w:tc>
          <w:tcPr>
            <w:tcW w:w="5386" w:type="dxa"/>
            <w:tcBorders>
              <w:left w:val="single" w:sz="6" w:space="0" w:color="auto"/>
            </w:tcBorders>
            <w:vAlign w:val="center"/>
          </w:tcPr>
          <w:p>
            <w:pPr>
              <w:pStyle w:val="20"/>
            </w:pPr>
            <w:r>
              <w:t>各项支付工作完成率</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退休人员社会化管理服务费用</w:t>
            </w:r>
          </w:p>
        </w:tc>
        <w:tc>
          <w:tcPr>
            <w:tcW w:w="5386" w:type="dxa"/>
            <w:tcBorders>
              <w:left w:val="single" w:sz="6" w:space="0" w:color="auto"/>
            </w:tcBorders>
            <w:vAlign w:val="center"/>
          </w:tcPr>
          <w:p>
            <w:pPr>
              <w:pStyle w:val="20"/>
            </w:pPr>
            <w:r>
              <w:t>国有企业不承担移交后的退休人员社会化管理服务费用</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企业满意度指标</w:t>
            </w:r>
          </w:p>
        </w:tc>
        <w:tc>
          <w:tcPr>
            <w:tcW w:w="5386" w:type="dxa"/>
            <w:tcBorders>
              <w:left w:val="single" w:sz="6" w:space="0" w:color="auto"/>
            </w:tcBorders>
            <w:vAlign w:val="center"/>
          </w:tcPr>
          <w:p>
            <w:pPr>
              <w:pStyle w:val="20"/>
            </w:pPr>
            <w:r>
              <w:t>移交企业的综合满意程度，企业满意度=问卷调查平均得分/总分*100%</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5、社区办公专项经费绩效目标表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13052525P00001610082Q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社区办公专项经费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7.00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7.00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保障社区正常办公、用电、和9个社区日间照料站网费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w:t>
            </w:r>
          </w:p>
        </w:tc>
        <w:tc>
          <w:tcPr>
            <w:tcW w:w="2835" w:type="dxa"/>
            <w:tcBorders>
              <w:left w:val="single" w:sz="6" w:space="0" w:color="auto"/>
            </w:tcBorders>
            <w:vAlign w:val="center"/>
          </w:tcPr>
          <w:p>
            <w:pPr>
              <w:pStyle w:val="21"/>
            </w:pPr>
            <w:r>
              <w:t>30%</w:t>
            </w:r>
          </w:p>
        </w:tc>
        <w:tc>
          <w:tcPr>
            <w:tcW w:w="2551" w:type="dxa"/>
            <w:tcBorders>
              <w:left w:val="single" w:sz="6" w:space="0" w:color="auto"/>
            </w:tcBorders>
            <w:vAlign w:val="center"/>
          </w:tcPr>
          <w:p>
            <w:pPr>
              <w:pStyle w:val="21"/>
            </w:pPr>
            <w:r>
              <w:t>60%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1.用于社区办公电费、社区日间照料站专项网费、党员活动经费、社区办公专项经费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组织开展社区便民活动</w:t>
            </w:r>
          </w:p>
        </w:tc>
        <w:tc>
          <w:tcPr>
            <w:tcW w:w="5386" w:type="dxa"/>
            <w:tcBorders>
              <w:left w:val="single" w:sz="6" w:space="0" w:color="auto"/>
            </w:tcBorders>
            <w:vAlign w:val="center"/>
          </w:tcPr>
          <w:p>
            <w:pPr>
              <w:pStyle w:val="20"/>
            </w:pPr>
            <w:r>
              <w:t>组织社区开展各类服务居民的活动</w:t>
            </w:r>
          </w:p>
        </w:tc>
        <w:tc>
          <w:tcPr>
            <w:tcW w:w="2268" w:type="dxa"/>
            <w:tcBorders>
              <w:left w:val="single" w:sz="6" w:space="0" w:color="auto"/>
            </w:tcBorders>
            <w:vAlign w:val="center"/>
          </w:tcPr>
          <w:p>
            <w:pPr>
              <w:pStyle w:val="20"/>
            </w:pPr>
            <w:r>
              <w:t>≥300次</w:t>
            </w:r>
          </w:p>
        </w:tc>
        <w:tc>
          <w:tcPr>
            <w:tcW w:w="1276" w:type="dxa"/>
            <w:tcBorders>
              <w:left w:val="single" w:sz="6" w:space="0" w:color="auto"/>
            </w:tcBorders>
            <w:vAlign w:val="center"/>
          </w:tcPr>
          <w:p>
            <w:pPr>
              <w:pStyle w:val="20"/>
            </w:pPr>
            <w:r>
              <w:t>组织开展社区开展便民活动全年不低于300次</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保证工作正常开展</w:t>
            </w:r>
          </w:p>
        </w:tc>
        <w:tc>
          <w:tcPr>
            <w:tcW w:w="5386" w:type="dxa"/>
            <w:tcBorders>
              <w:left w:val="single" w:sz="6" w:space="0" w:color="auto"/>
            </w:tcBorders>
            <w:vAlign w:val="center"/>
          </w:tcPr>
          <w:p>
            <w:pPr>
              <w:pStyle w:val="20"/>
            </w:pPr>
            <w:r>
              <w:t>保证工作正常开展</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保障社区建设服务中心的工作正常开展</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按年度工作计划完成比例</w:t>
            </w:r>
          </w:p>
        </w:tc>
        <w:tc>
          <w:tcPr>
            <w:tcW w:w="5386" w:type="dxa"/>
            <w:tcBorders>
              <w:left w:val="single" w:sz="6" w:space="0" w:color="auto"/>
            </w:tcBorders>
            <w:vAlign w:val="center"/>
          </w:tcPr>
          <w:p>
            <w:pPr>
              <w:pStyle w:val="20"/>
            </w:pPr>
            <w:r>
              <w:t>按年度工作计划完成比例</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完成年度计划的90%以上</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用电成本</w:t>
            </w:r>
          </w:p>
        </w:tc>
        <w:tc>
          <w:tcPr>
            <w:tcW w:w="5386" w:type="dxa"/>
            <w:tcBorders>
              <w:left w:val="single" w:sz="6" w:space="0" w:color="auto"/>
            </w:tcBorders>
            <w:vAlign w:val="center"/>
          </w:tcPr>
          <w:p>
            <w:pPr>
              <w:pStyle w:val="20"/>
            </w:pPr>
            <w:r>
              <w:t>用电成本</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倡导节约用电，控制用电成本不超过100%预算</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办公经费、专用材料费</w:t>
            </w:r>
          </w:p>
        </w:tc>
        <w:tc>
          <w:tcPr>
            <w:tcW w:w="5386" w:type="dxa"/>
            <w:tcBorders>
              <w:left w:val="single" w:sz="6" w:space="0" w:color="auto"/>
            </w:tcBorders>
            <w:vAlign w:val="center"/>
          </w:tcPr>
          <w:p>
            <w:pPr>
              <w:pStyle w:val="20"/>
            </w:pPr>
            <w:r>
              <w:t>办公经费、专用材料费</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倡导节约办公，控制办公经费支出不超过100%预算</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对社会发展带来的影响</w:t>
            </w:r>
          </w:p>
          <w:p>
            <w:pPr>
              <w:pStyle w:val="20"/>
            </w:pPr>
          </w:p>
        </w:tc>
        <w:tc>
          <w:tcPr>
            <w:tcW w:w="5386" w:type="dxa"/>
            <w:tcBorders>
              <w:left w:val="single" w:sz="6" w:space="0" w:color="auto"/>
            </w:tcBorders>
            <w:vAlign w:val="center"/>
          </w:tcPr>
          <w:p>
            <w:pPr>
              <w:pStyle w:val="20"/>
            </w:pPr>
            <w:r>
              <w:t>对社会发展带来的影响</w:t>
            </w:r>
          </w:p>
          <w:p>
            <w:pPr>
              <w:pStyle w:val="20"/>
            </w:pPr>
          </w:p>
        </w:tc>
        <w:tc>
          <w:tcPr>
            <w:tcW w:w="2268" w:type="dxa"/>
            <w:tcBorders>
              <w:left w:val="single" w:sz="6" w:space="0" w:color="auto"/>
            </w:tcBorders>
            <w:vAlign w:val="center"/>
          </w:tcPr>
          <w:p>
            <w:pPr>
              <w:pStyle w:val="20"/>
            </w:pPr>
            <w:r>
              <w:t>≥5000人次</w:t>
            </w:r>
          </w:p>
        </w:tc>
        <w:tc>
          <w:tcPr>
            <w:tcW w:w="1276" w:type="dxa"/>
            <w:tcBorders>
              <w:left w:val="single" w:sz="6" w:space="0" w:color="auto"/>
            </w:tcBorders>
            <w:vAlign w:val="center"/>
          </w:tcPr>
          <w:p>
            <w:pPr>
              <w:pStyle w:val="20"/>
            </w:pPr>
            <w:r>
              <w:t>积极组织开展有效的社区活动，达到便民为民的目的，惠及居民不低于5000人次</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社会影响力</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常态化开展人民环境整治工作，让居民满意度超过85%</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6、社区党群服务中心租金绩效目标表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13052525P000016100796</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社区党群服务中心租金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6.45</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6.45</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太行社区、昭庆社区党群服务中心租金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w:t>
            </w:r>
          </w:p>
        </w:tc>
        <w:tc>
          <w:tcPr>
            <w:tcW w:w="2835" w:type="dxa"/>
            <w:tcBorders>
              <w:left w:val="single" w:sz="6" w:space="0" w:color="auto"/>
            </w:tcBorders>
            <w:vAlign w:val="center"/>
          </w:tcPr>
          <w:p>
            <w:pPr>
              <w:pStyle w:val="21"/>
            </w:pPr>
            <w:r>
              <w:t>30%</w:t>
            </w:r>
          </w:p>
        </w:tc>
        <w:tc>
          <w:tcPr>
            <w:tcW w:w="2551" w:type="dxa"/>
            <w:tcBorders>
              <w:left w:val="single" w:sz="6" w:space="0" w:color="auto"/>
            </w:tcBorders>
            <w:vAlign w:val="center"/>
          </w:tcPr>
          <w:p>
            <w:pPr>
              <w:pStyle w:val="21"/>
            </w:pPr>
            <w:r>
              <w:t>60%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1.保障社区租金正常拨付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办公用房租赁</w:t>
            </w:r>
          </w:p>
        </w:tc>
        <w:tc>
          <w:tcPr>
            <w:tcW w:w="5386" w:type="dxa"/>
            <w:tcBorders>
              <w:left w:val="single" w:sz="6" w:space="0" w:color="auto"/>
            </w:tcBorders>
            <w:vAlign w:val="center"/>
          </w:tcPr>
          <w:p>
            <w:pPr>
              <w:pStyle w:val="20"/>
            </w:pPr>
            <w:r>
              <w:t>办公用房租赁</w:t>
            </w:r>
          </w:p>
        </w:tc>
        <w:tc>
          <w:tcPr>
            <w:tcW w:w="2268" w:type="dxa"/>
            <w:tcBorders>
              <w:left w:val="single" w:sz="6" w:space="0" w:color="auto"/>
            </w:tcBorders>
            <w:vAlign w:val="center"/>
          </w:tcPr>
          <w:p>
            <w:pPr>
              <w:pStyle w:val="20"/>
            </w:pPr>
            <w:r>
              <w:t>1项</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办公用房租赁</w:t>
            </w:r>
          </w:p>
        </w:tc>
        <w:tc>
          <w:tcPr>
            <w:tcW w:w="5386" w:type="dxa"/>
            <w:tcBorders>
              <w:left w:val="single" w:sz="6" w:space="0" w:color="auto"/>
            </w:tcBorders>
            <w:vAlign w:val="center"/>
          </w:tcPr>
          <w:p>
            <w:pPr>
              <w:pStyle w:val="20"/>
            </w:pPr>
            <w:r>
              <w:t>办公用房租赁</w:t>
            </w:r>
          </w:p>
        </w:tc>
        <w:tc>
          <w:tcPr>
            <w:tcW w:w="2268" w:type="dxa"/>
            <w:tcBorders>
              <w:left w:val="single" w:sz="6" w:space="0" w:color="auto"/>
            </w:tcBorders>
            <w:vAlign w:val="center"/>
          </w:tcPr>
          <w:p>
            <w:pPr>
              <w:pStyle w:val="20"/>
            </w:pPr>
            <w:r>
              <w:t>1项</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租赁费支付</w:t>
            </w:r>
          </w:p>
        </w:tc>
        <w:tc>
          <w:tcPr>
            <w:tcW w:w="5386" w:type="dxa"/>
            <w:tcBorders>
              <w:left w:val="single" w:sz="6" w:space="0" w:color="auto"/>
            </w:tcBorders>
            <w:vAlign w:val="center"/>
          </w:tcPr>
          <w:p>
            <w:pPr>
              <w:pStyle w:val="20"/>
            </w:pPr>
            <w:r>
              <w:t>租赁费支付</w:t>
            </w:r>
          </w:p>
        </w:tc>
        <w:tc>
          <w:tcPr>
            <w:tcW w:w="2268" w:type="dxa"/>
            <w:tcBorders>
              <w:left w:val="single" w:sz="6" w:space="0" w:color="auto"/>
            </w:tcBorders>
            <w:vAlign w:val="center"/>
          </w:tcPr>
          <w:p>
            <w:pPr>
              <w:pStyle w:val="20"/>
            </w:pPr>
            <w:r>
              <w:t>1次</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租用办公用房所需经费</w:t>
            </w:r>
          </w:p>
        </w:tc>
        <w:tc>
          <w:tcPr>
            <w:tcW w:w="5386" w:type="dxa"/>
            <w:tcBorders>
              <w:left w:val="single" w:sz="6" w:space="0" w:color="auto"/>
            </w:tcBorders>
            <w:vAlign w:val="center"/>
          </w:tcPr>
          <w:p>
            <w:pPr>
              <w:pStyle w:val="20"/>
            </w:pPr>
            <w:r>
              <w:t>租用办公用房所需经费</w:t>
            </w:r>
          </w:p>
        </w:tc>
        <w:tc>
          <w:tcPr>
            <w:tcW w:w="2268" w:type="dxa"/>
            <w:tcBorders>
              <w:left w:val="single" w:sz="6" w:space="0" w:color="auto"/>
            </w:tcBorders>
            <w:vAlign w:val="center"/>
          </w:tcPr>
          <w:p>
            <w:pPr>
              <w:pStyle w:val="20"/>
            </w:pPr>
            <w:r>
              <w:t>1项</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岗位配置率</w:t>
            </w:r>
          </w:p>
        </w:tc>
        <w:tc>
          <w:tcPr>
            <w:tcW w:w="5386" w:type="dxa"/>
            <w:tcBorders>
              <w:left w:val="single" w:sz="6" w:space="0" w:color="auto"/>
            </w:tcBorders>
            <w:vAlign w:val="center"/>
          </w:tcPr>
          <w:p>
            <w:pPr>
              <w:pStyle w:val="20"/>
            </w:pPr>
            <w:r>
              <w:t>岗位配置率</w:t>
            </w:r>
          </w:p>
        </w:tc>
        <w:tc>
          <w:tcPr>
            <w:tcW w:w="2268" w:type="dxa"/>
            <w:tcBorders>
              <w:left w:val="single" w:sz="6" w:space="0" w:color="auto"/>
            </w:tcBorders>
            <w:vAlign w:val="center"/>
          </w:tcPr>
          <w:p>
            <w:pPr>
              <w:pStyle w:val="20"/>
            </w:pPr>
            <w:r>
              <w:t>≥95百分比</w:t>
            </w:r>
          </w:p>
        </w:tc>
        <w:tc>
          <w:tcPr>
            <w:tcW w:w="1276" w:type="dxa"/>
            <w:tcBorders>
              <w:left w:val="single" w:sz="6" w:space="0" w:color="auto"/>
            </w:tcBorders>
            <w:vAlign w:val="center"/>
          </w:tcPr>
          <w:p>
            <w:pPr>
              <w:pStyle w:val="20"/>
            </w:pPr>
            <w:r>
              <w:t>社区岗位配置率大于95%</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社会影响力</w:t>
            </w:r>
          </w:p>
        </w:tc>
        <w:tc>
          <w:tcPr>
            <w:tcW w:w="2268" w:type="dxa"/>
            <w:tcBorders>
              <w:left w:val="single" w:sz="6" w:space="0" w:color="auto"/>
            </w:tcBorders>
            <w:vAlign w:val="center"/>
          </w:tcPr>
          <w:p>
            <w:pPr>
              <w:pStyle w:val="20"/>
            </w:pPr>
            <w:r>
              <w:t>≥1000人次</w:t>
            </w:r>
          </w:p>
        </w:tc>
        <w:tc>
          <w:tcPr>
            <w:tcW w:w="1276" w:type="dxa"/>
            <w:tcBorders>
              <w:left w:val="single" w:sz="6" w:space="0" w:color="auto"/>
            </w:tcBorders>
            <w:vAlign w:val="center"/>
          </w:tcPr>
          <w:p>
            <w:pPr>
              <w:pStyle w:val="20"/>
            </w:pPr>
            <w:r>
              <w:t>社区社会影响力不小于1000人次</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单位满意度</w:t>
            </w:r>
          </w:p>
        </w:tc>
        <w:tc>
          <w:tcPr>
            <w:tcW w:w="5386" w:type="dxa"/>
            <w:tcBorders>
              <w:left w:val="single" w:sz="6" w:space="0" w:color="auto"/>
            </w:tcBorders>
            <w:vAlign w:val="center"/>
          </w:tcPr>
          <w:p>
            <w:pPr>
              <w:pStyle w:val="20"/>
            </w:pPr>
            <w:r>
              <w:t>单位满意度</w:t>
            </w:r>
          </w:p>
        </w:tc>
        <w:tc>
          <w:tcPr>
            <w:tcW w:w="2268" w:type="dxa"/>
            <w:tcBorders>
              <w:left w:val="single" w:sz="6" w:space="0" w:color="auto"/>
            </w:tcBorders>
            <w:vAlign w:val="center"/>
          </w:tcPr>
          <w:p>
            <w:pPr>
              <w:pStyle w:val="20"/>
            </w:pPr>
            <w:r>
              <w:t>≥98百分比</w:t>
            </w:r>
          </w:p>
        </w:tc>
        <w:tc>
          <w:tcPr>
            <w:tcW w:w="1276" w:type="dxa"/>
            <w:tcBorders>
              <w:left w:val="single" w:sz="6" w:space="0" w:color="auto"/>
            </w:tcBorders>
            <w:vAlign w:val="center"/>
          </w:tcPr>
          <w:p>
            <w:pPr>
              <w:pStyle w:val="20"/>
            </w:pPr>
            <w:r>
              <w:t>保障社区租金正常拨付</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817隆尧县社区建设服务中心</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817隆尧县社区建设服务中心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1DAC6A2-E171-42E5-88E2-BDB782B51E8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Yozo_Office27021597764231189</Application>
  <Pages>36</Pages>
  <Words>0</Words>
  <Characters>11028</Characters>
  <Lines>0</Lines>
  <Paragraphs>147</Paragraphs>
  <CharactersWithSpaces>14704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2025-02-25T13:45:49Z</dcterms:created>
  <dcterms:modified xsi:type="dcterms:W3CDTF">2025-02-25T05:44:39Z</dcterms:modified>
</cp:coreProperties>
</file>