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8" w:hRule="atLeast"/>
          <w:tblHeader/>
          <w:jc w:val="center"/>
        </w:trPr>
        <w:tc>
          <w:tcPr>
            <w:tcW w:w="5913" w:type="dxa"/>
            <w:gridSpan w:val="3"/>
            <w:tcBorders>
              <w:top w:val="single" w:color="FFFFFF" w:sz="6" w:space="0"/>
              <w:left w:val="single" w:color="FFFFFF" w:sz="6" w:space="0"/>
              <w:right w:val="single" w:color="FFFFFF" w:sz="6" w:space="0"/>
            </w:tcBorders>
            <w:vAlign w:val="center"/>
          </w:tcPr>
          <w:p>
            <w:pPr>
              <w:pStyle w:val="10"/>
              <w:jc w:val="both"/>
            </w:pPr>
            <w:r>
              <w:t>201中国共产党隆尧县委员会办公室</w:t>
            </w:r>
          </w:p>
        </w:tc>
        <w:tc>
          <w:tcPr>
            <w:tcW w:w="1971" w:type="dxa"/>
            <w:tcBorders>
              <w:top w:val="single" w:color="FFFFFF" w:sz="6" w:space="0"/>
              <w:left w:val="single" w:color="FFFFFF" w:sz="6" w:space="0"/>
              <w:right w:val="single" w:color="FFFFFF" w:sz="6" w:space="0"/>
            </w:tcBorders>
            <w:vAlign w:val="center"/>
          </w:tcPr>
          <w:p>
            <w:pPr>
              <w:pStyle w:val="9"/>
              <w:jc w:val="both"/>
            </w:pPr>
            <w:r>
              <w:t>预算年度：2023</w:t>
            </w:r>
          </w:p>
        </w:tc>
        <w:tc>
          <w:tcPr>
            <w:tcW w:w="1971" w:type="dxa"/>
            <w:tcBorders>
              <w:top w:val="single" w:color="FFFFFF" w:sz="6" w:space="0"/>
              <w:left w:val="single" w:color="FFFFFF"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1971" w:type="dxa"/>
            <w:vAlign w:val="center"/>
          </w:tcPr>
          <w:p>
            <w:pPr>
              <w:pStyle w:val="12"/>
            </w:pPr>
            <w:r>
              <w:t>收入</w:t>
            </w:r>
          </w:p>
        </w:tc>
        <w:tc>
          <w:tcPr>
            <w:tcW w:w="1971" w:type="dxa"/>
          </w:tcPr>
          <w:p/>
        </w:tc>
        <w:tc>
          <w:tcPr>
            <w:tcW w:w="1971" w:type="dxa"/>
            <w:vAlign w:val="center"/>
          </w:tcPr>
          <w:p>
            <w:pPr>
              <w:pStyle w:val="12"/>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1831.66</w:t>
            </w:r>
          </w:p>
        </w:tc>
        <w:tc>
          <w:tcPr>
            <w:tcW w:w="1971" w:type="dxa"/>
            <w:vAlign w:val="center"/>
          </w:tcPr>
          <w:p>
            <w:pPr>
              <w:pStyle w:val="14"/>
            </w:pPr>
            <w:r>
              <w:t>一、一般公共服务支出</w:t>
            </w:r>
          </w:p>
        </w:tc>
        <w:tc>
          <w:tcPr>
            <w:tcW w:w="1971" w:type="dxa"/>
            <w:vAlign w:val="center"/>
          </w:tcPr>
          <w:p>
            <w:pPr>
              <w:pStyle w:val="13"/>
            </w:pPr>
            <w:r>
              <w:t>1727.95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44.35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38.03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三十一、往来性收支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1831.66</w:t>
            </w:r>
          </w:p>
        </w:tc>
        <w:tc>
          <w:tcPr>
            <w:tcW w:w="1971" w:type="dxa"/>
            <w:vAlign w:val="center"/>
          </w:tcPr>
          <w:p>
            <w:pPr>
              <w:pStyle w:val="16"/>
            </w:pPr>
            <w:r>
              <w:t>本年支出合计</w:t>
            </w:r>
          </w:p>
        </w:tc>
        <w:tc>
          <w:tcPr>
            <w:tcW w:w="1971" w:type="dxa"/>
            <w:vAlign w:val="center"/>
          </w:tcPr>
          <w:p>
            <w:pPr>
              <w:pStyle w:val="17"/>
            </w:pPr>
            <w:r>
              <w:t>1831.66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1831.66</w:t>
            </w:r>
          </w:p>
        </w:tc>
        <w:tc>
          <w:tcPr>
            <w:tcW w:w="1971" w:type="dxa"/>
            <w:vAlign w:val="center"/>
          </w:tcPr>
          <w:p>
            <w:pPr>
              <w:pStyle w:val="16"/>
            </w:pPr>
            <w:r>
              <w:t>支出总计</w:t>
            </w:r>
          </w:p>
        </w:tc>
        <w:tc>
          <w:tcPr>
            <w:tcW w:w="1971" w:type="dxa"/>
            <w:vAlign w:val="center"/>
          </w:tcPr>
          <w:p>
            <w:pPr>
              <w:pStyle w:val="17"/>
            </w:pPr>
            <w:r>
              <w:t>1831.66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0" w:type="dxa"/>
            <w:gridSpan w:val="10"/>
            <w:tcBorders>
              <w:top w:val="single" w:color="FFFFFF" w:sz="6" w:space="0"/>
              <w:left w:val="single" w:color="FFFFFF" w:sz="6" w:space="0"/>
              <w:right w:val="single" w:color="FFFFFF" w:sz="6" w:space="0"/>
            </w:tcBorders>
            <w:vAlign w:val="center"/>
          </w:tcPr>
          <w:p>
            <w:pPr>
              <w:rPr>
                <w:b/>
                <w:bCs/>
              </w:rPr>
            </w:pPr>
            <w:r>
              <w:rPr>
                <w:b/>
                <w:bCs/>
              </w:rPr>
              <w:t>201中国共产党隆尧县委员会办公室</w:t>
            </w:r>
            <w:r>
              <w:rPr>
                <w:rFonts w:hint="eastAsia" w:eastAsia="SimSun"/>
                <w:b/>
                <w:bCs/>
                <w:lang w:val="en-US" w:eastAsia="zh-CN"/>
              </w:rPr>
              <w:t xml:space="preserve">                 </w:t>
            </w:r>
            <w:r>
              <w:rPr>
                <w:b/>
                <w:bCs/>
              </w:rPr>
              <w:t>预算年度：2023</w:t>
            </w:r>
          </w:p>
        </w:tc>
        <w:tc>
          <w:tcPr>
            <w:tcW w:w="2274" w:type="dxa"/>
            <w:gridSpan w:val="3"/>
            <w:tcBorders>
              <w:top w:val="single" w:color="FFFFFF" w:sz="6" w:space="0"/>
              <w:left w:val="single" w:color="FFFFFF" w:sz="6" w:space="0"/>
              <w:right w:val="single" w:color="FFFFFF" w:sz="6" w:space="0"/>
            </w:tcBorders>
          </w:tcPr>
          <w:p>
            <w:pPr>
              <w:jc w:val="cente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758" w:type="dxa"/>
            <w:vAlign w:val="center"/>
          </w:tcPr>
          <w:p>
            <w:pPr>
              <w:pStyle w:val="12"/>
            </w:pPr>
            <w:r>
              <w:t>功能分类科目</w:t>
            </w:r>
          </w:p>
        </w:tc>
        <w:tc>
          <w:tcPr>
            <w:tcW w:w="758" w:type="dxa"/>
          </w:tcPr>
          <w:p/>
        </w:tc>
        <w:tc>
          <w:tcPr>
            <w:tcW w:w="758" w:type="dxa"/>
            <w:vMerge w:val="restart"/>
            <w:vAlign w:val="center"/>
          </w:tcPr>
          <w:p>
            <w:pPr>
              <w:pStyle w:val="12"/>
            </w:pPr>
            <w:r>
              <w:t>合计</w:t>
            </w:r>
          </w:p>
        </w:tc>
        <w:tc>
          <w:tcPr>
            <w:tcW w:w="758" w:type="dxa"/>
            <w:vAlign w:val="center"/>
          </w:tcPr>
          <w:p>
            <w:pPr>
              <w:pStyle w:val="12"/>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1831.66</w:t>
            </w:r>
          </w:p>
        </w:tc>
        <w:tc>
          <w:tcPr>
            <w:tcW w:w="758" w:type="dxa"/>
            <w:vAlign w:val="center"/>
          </w:tcPr>
          <w:p>
            <w:pPr>
              <w:pStyle w:val="17"/>
            </w:pPr>
            <w:r>
              <w:t>1831.66</w:t>
            </w:r>
          </w:p>
        </w:tc>
        <w:tc>
          <w:tcPr>
            <w:tcW w:w="758" w:type="dxa"/>
            <w:vAlign w:val="center"/>
          </w:tcPr>
          <w:p>
            <w:pPr>
              <w:pStyle w:val="17"/>
            </w:pPr>
            <w:r>
              <w:t>1831.66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1727.95</w:t>
            </w:r>
          </w:p>
        </w:tc>
        <w:tc>
          <w:tcPr>
            <w:tcW w:w="758" w:type="dxa"/>
            <w:vAlign w:val="center"/>
          </w:tcPr>
          <w:p>
            <w:pPr>
              <w:pStyle w:val="13"/>
            </w:pPr>
            <w:r>
              <w:t>1727.95</w:t>
            </w:r>
          </w:p>
        </w:tc>
        <w:tc>
          <w:tcPr>
            <w:tcW w:w="758" w:type="dxa"/>
            <w:vAlign w:val="center"/>
          </w:tcPr>
          <w:p>
            <w:pPr>
              <w:pStyle w:val="13"/>
            </w:pPr>
            <w:r>
              <w:t>1727.95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20131</w:t>
            </w:r>
          </w:p>
        </w:tc>
        <w:tc>
          <w:tcPr>
            <w:tcW w:w="758" w:type="dxa"/>
            <w:vAlign w:val="center"/>
          </w:tcPr>
          <w:p>
            <w:pPr>
              <w:pStyle w:val="14"/>
            </w:pPr>
            <w:r>
              <w:t>党委办公厅（室）及相关机构事务</w:t>
            </w:r>
          </w:p>
        </w:tc>
        <w:tc>
          <w:tcPr>
            <w:tcW w:w="758" w:type="dxa"/>
            <w:vAlign w:val="center"/>
          </w:tcPr>
          <w:p>
            <w:pPr>
              <w:pStyle w:val="13"/>
            </w:pPr>
            <w:r>
              <w:t>1727.95</w:t>
            </w:r>
          </w:p>
        </w:tc>
        <w:tc>
          <w:tcPr>
            <w:tcW w:w="758" w:type="dxa"/>
            <w:vAlign w:val="center"/>
          </w:tcPr>
          <w:p>
            <w:pPr>
              <w:pStyle w:val="13"/>
            </w:pPr>
            <w:r>
              <w:t>1727.95</w:t>
            </w:r>
          </w:p>
        </w:tc>
        <w:tc>
          <w:tcPr>
            <w:tcW w:w="758" w:type="dxa"/>
            <w:vAlign w:val="center"/>
          </w:tcPr>
          <w:p>
            <w:pPr>
              <w:pStyle w:val="13"/>
            </w:pPr>
            <w:r>
              <w:t>1727.95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2013101</w:t>
            </w:r>
          </w:p>
        </w:tc>
        <w:tc>
          <w:tcPr>
            <w:tcW w:w="758" w:type="dxa"/>
            <w:vAlign w:val="center"/>
          </w:tcPr>
          <w:p>
            <w:pPr>
              <w:pStyle w:val="14"/>
            </w:pPr>
            <w:r>
              <w:t>行政运行</w:t>
            </w:r>
          </w:p>
        </w:tc>
        <w:tc>
          <w:tcPr>
            <w:tcW w:w="758" w:type="dxa"/>
            <w:vAlign w:val="center"/>
          </w:tcPr>
          <w:p>
            <w:pPr>
              <w:pStyle w:val="13"/>
            </w:pPr>
            <w:r>
              <w:t>399.94</w:t>
            </w:r>
          </w:p>
        </w:tc>
        <w:tc>
          <w:tcPr>
            <w:tcW w:w="758" w:type="dxa"/>
            <w:vAlign w:val="center"/>
          </w:tcPr>
          <w:p>
            <w:pPr>
              <w:pStyle w:val="13"/>
            </w:pPr>
            <w:r>
              <w:t>399.94</w:t>
            </w:r>
          </w:p>
        </w:tc>
        <w:tc>
          <w:tcPr>
            <w:tcW w:w="758" w:type="dxa"/>
            <w:vAlign w:val="center"/>
          </w:tcPr>
          <w:p>
            <w:pPr>
              <w:pStyle w:val="13"/>
            </w:pPr>
            <w:r>
              <w:t>399.94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2013102</w:t>
            </w:r>
          </w:p>
        </w:tc>
        <w:tc>
          <w:tcPr>
            <w:tcW w:w="758" w:type="dxa"/>
            <w:vAlign w:val="center"/>
          </w:tcPr>
          <w:p>
            <w:pPr>
              <w:pStyle w:val="14"/>
            </w:pPr>
            <w:r>
              <w:t>一般行政管理事务</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2013105</w:t>
            </w:r>
          </w:p>
        </w:tc>
        <w:tc>
          <w:tcPr>
            <w:tcW w:w="758" w:type="dxa"/>
            <w:vAlign w:val="center"/>
          </w:tcPr>
          <w:p>
            <w:pPr>
              <w:pStyle w:val="14"/>
            </w:pPr>
            <w:r>
              <w:t>专项业务</w:t>
            </w:r>
          </w:p>
        </w:tc>
        <w:tc>
          <w:tcPr>
            <w:tcW w:w="758" w:type="dxa"/>
            <w:vAlign w:val="center"/>
          </w:tcPr>
          <w:p>
            <w:pPr>
              <w:pStyle w:val="13"/>
            </w:pPr>
            <w:r>
              <w:t>535.64</w:t>
            </w:r>
          </w:p>
        </w:tc>
        <w:tc>
          <w:tcPr>
            <w:tcW w:w="758" w:type="dxa"/>
            <w:vAlign w:val="center"/>
          </w:tcPr>
          <w:p>
            <w:pPr>
              <w:pStyle w:val="13"/>
            </w:pPr>
            <w:r>
              <w:t>535.64</w:t>
            </w:r>
          </w:p>
        </w:tc>
        <w:tc>
          <w:tcPr>
            <w:tcW w:w="758" w:type="dxa"/>
            <w:vAlign w:val="center"/>
          </w:tcPr>
          <w:p>
            <w:pPr>
              <w:pStyle w:val="13"/>
            </w:pPr>
            <w:r>
              <w:t>535.64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2013150</w:t>
            </w:r>
          </w:p>
        </w:tc>
        <w:tc>
          <w:tcPr>
            <w:tcW w:w="758" w:type="dxa"/>
            <w:vAlign w:val="center"/>
          </w:tcPr>
          <w:p>
            <w:pPr>
              <w:pStyle w:val="14"/>
            </w:pPr>
            <w:r>
              <w:t>事业运行</w:t>
            </w:r>
          </w:p>
        </w:tc>
        <w:tc>
          <w:tcPr>
            <w:tcW w:w="758" w:type="dxa"/>
            <w:vAlign w:val="center"/>
          </w:tcPr>
          <w:p>
            <w:pPr>
              <w:pStyle w:val="13"/>
            </w:pPr>
            <w:r>
              <w:t>779.38</w:t>
            </w:r>
          </w:p>
        </w:tc>
        <w:tc>
          <w:tcPr>
            <w:tcW w:w="758" w:type="dxa"/>
            <w:vAlign w:val="center"/>
          </w:tcPr>
          <w:p>
            <w:pPr>
              <w:pStyle w:val="13"/>
            </w:pPr>
            <w:r>
              <w:t>779.38</w:t>
            </w:r>
          </w:p>
        </w:tc>
        <w:tc>
          <w:tcPr>
            <w:tcW w:w="758" w:type="dxa"/>
            <w:vAlign w:val="center"/>
          </w:tcPr>
          <w:p>
            <w:pPr>
              <w:pStyle w:val="13"/>
            </w:pPr>
            <w:r>
              <w:t>779.38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r>
              <w:t>44.35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r>
              <w:t>21.33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r>
              <w:t>38.03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5" w:type="dxa"/>
            <w:gridSpan w:val="9"/>
            <w:tcBorders>
              <w:top w:val="single" w:color="FFFFFF" w:sz="6" w:space="0"/>
              <w:left w:val="single" w:color="FFFFFF" w:sz="6" w:space="0"/>
              <w:right w:val="single" w:color="FFFFFF" w:sz="6" w:space="0"/>
            </w:tcBorders>
            <w:vAlign w:val="center"/>
          </w:tcPr>
          <w:p>
            <w:r>
              <w:rPr>
                <w:b/>
                <w:bCs/>
              </w:rPr>
              <w:t>201中国共产党隆尧县委员会办公室</w:t>
            </w:r>
            <w:r>
              <w:rPr>
                <w:rFonts w:hint="eastAsia" w:eastAsia="SimSun"/>
                <w:b/>
                <w:bCs/>
                <w:lang w:val="en-US" w:eastAsia="zh-CN"/>
              </w:rPr>
              <w:t xml:space="preserve">             </w:t>
            </w:r>
            <w:r>
              <w:rPr>
                <w:b/>
                <w:bCs/>
              </w:rPr>
              <w:t>预算年度：2023</w:t>
            </w:r>
            <w:r>
              <w:rPr>
                <w:rFonts w:hint="eastAsia" w:eastAsia="SimSun"/>
                <w:b/>
                <w:bCs/>
                <w:lang w:val="en-US" w:eastAsia="zh-CN"/>
              </w:rPr>
              <w:t xml:space="preserve"> </w:t>
            </w:r>
            <w:r>
              <w:rPr>
                <w:rFonts w:hint="eastAsia" w:eastAsia="SimSun"/>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1095" w:type="dxa"/>
            <w:vAlign w:val="center"/>
          </w:tcPr>
          <w:p>
            <w:pPr>
              <w:pStyle w:val="12"/>
            </w:pPr>
            <w:r>
              <w:t>功能分类科目</w:t>
            </w:r>
          </w:p>
        </w:tc>
        <w:tc>
          <w:tcPr>
            <w:tcW w:w="1095" w:type="dxa"/>
          </w:tcP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1831.66</w:t>
            </w:r>
          </w:p>
        </w:tc>
        <w:tc>
          <w:tcPr>
            <w:tcW w:w="1095" w:type="dxa"/>
            <w:vAlign w:val="center"/>
          </w:tcPr>
          <w:p>
            <w:pPr>
              <w:pStyle w:val="17"/>
            </w:pPr>
            <w:r>
              <w:t>503.64</w:t>
            </w:r>
          </w:p>
        </w:tc>
        <w:tc>
          <w:tcPr>
            <w:tcW w:w="1095" w:type="dxa"/>
            <w:vAlign w:val="center"/>
          </w:tcPr>
          <w:p>
            <w:pPr>
              <w:pStyle w:val="17"/>
            </w:pPr>
            <w:r>
              <w:t>1328.01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1727.95</w:t>
            </w:r>
          </w:p>
        </w:tc>
        <w:tc>
          <w:tcPr>
            <w:tcW w:w="1095" w:type="dxa"/>
            <w:vAlign w:val="center"/>
          </w:tcPr>
          <w:p>
            <w:pPr>
              <w:pStyle w:val="13"/>
            </w:pPr>
            <w:r>
              <w:t>399.94</w:t>
            </w:r>
          </w:p>
        </w:tc>
        <w:tc>
          <w:tcPr>
            <w:tcW w:w="1095" w:type="dxa"/>
            <w:vAlign w:val="center"/>
          </w:tcPr>
          <w:p>
            <w:pPr>
              <w:pStyle w:val="13"/>
            </w:pPr>
            <w:r>
              <w:t>1328.01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20131</w:t>
            </w:r>
          </w:p>
        </w:tc>
        <w:tc>
          <w:tcPr>
            <w:tcW w:w="1095" w:type="dxa"/>
            <w:vAlign w:val="center"/>
          </w:tcPr>
          <w:p>
            <w:pPr>
              <w:pStyle w:val="14"/>
            </w:pPr>
            <w:r>
              <w:t>党委办公厅（室）及相关机构事务</w:t>
            </w:r>
          </w:p>
        </w:tc>
        <w:tc>
          <w:tcPr>
            <w:tcW w:w="1095" w:type="dxa"/>
            <w:vAlign w:val="center"/>
          </w:tcPr>
          <w:p>
            <w:pPr>
              <w:pStyle w:val="13"/>
            </w:pPr>
            <w:r>
              <w:t>1727.95</w:t>
            </w:r>
          </w:p>
        </w:tc>
        <w:tc>
          <w:tcPr>
            <w:tcW w:w="1095" w:type="dxa"/>
            <w:vAlign w:val="center"/>
          </w:tcPr>
          <w:p>
            <w:pPr>
              <w:pStyle w:val="13"/>
            </w:pPr>
            <w:r>
              <w:t>399.94</w:t>
            </w:r>
          </w:p>
        </w:tc>
        <w:tc>
          <w:tcPr>
            <w:tcW w:w="1095" w:type="dxa"/>
            <w:vAlign w:val="center"/>
          </w:tcPr>
          <w:p>
            <w:pPr>
              <w:pStyle w:val="13"/>
            </w:pPr>
            <w:r>
              <w:t>1328.01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2013101</w:t>
            </w:r>
          </w:p>
        </w:tc>
        <w:tc>
          <w:tcPr>
            <w:tcW w:w="1095" w:type="dxa"/>
            <w:vAlign w:val="center"/>
          </w:tcPr>
          <w:p>
            <w:pPr>
              <w:pStyle w:val="14"/>
            </w:pPr>
            <w:r>
              <w:t>行政运行</w:t>
            </w:r>
          </w:p>
        </w:tc>
        <w:tc>
          <w:tcPr>
            <w:tcW w:w="1095" w:type="dxa"/>
            <w:vAlign w:val="center"/>
          </w:tcPr>
          <w:p>
            <w:pPr>
              <w:pStyle w:val="13"/>
            </w:pPr>
            <w:r>
              <w:t>399.94</w:t>
            </w:r>
          </w:p>
        </w:tc>
        <w:tc>
          <w:tcPr>
            <w:tcW w:w="1095" w:type="dxa"/>
            <w:vAlign w:val="center"/>
          </w:tcPr>
          <w:p>
            <w:pPr>
              <w:pStyle w:val="13"/>
            </w:pPr>
            <w:r>
              <w:t>399.94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2013102</w:t>
            </w:r>
          </w:p>
        </w:tc>
        <w:tc>
          <w:tcPr>
            <w:tcW w:w="1095" w:type="dxa"/>
            <w:vAlign w:val="center"/>
          </w:tcPr>
          <w:p>
            <w:pPr>
              <w:pStyle w:val="14"/>
            </w:pPr>
            <w:r>
              <w:t>一般行政管理事务</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2013105</w:t>
            </w:r>
          </w:p>
        </w:tc>
        <w:tc>
          <w:tcPr>
            <w:tcW w:w="1095" w:type="dxa"/>
            <w:vAlign w:val="center"/>
          </w:tcPr>
          <w:p>
            <w:pPr>
              <w:pStyle w:val="14"/>
            </w:pPr>
            <w:r>
              <w:t>专项业务</w:t>
            </w:r>
          </w:p>
        </w:tc>
        <w:tc>
          <w:tcPr>
            <w:tcW w:w="1095" w:type="dxa"/>
            <w:vAlign w:val="center"/>
          </w:tcPr>
          <w:p>
            <w:pPr>
              <w:pStyle w:val="13"/>
            </w:pPr>
            <w:r>
              <w:t>535.64</w:t>
            </w:r>
          </w:p>
        </w:tc>
        <w:tc>
          <w:tcPr>
            <w:tcW w:w="1095" w:type="dxa"/>
            <w:vAlign w:val="center"/>
          </w:tcPr>
          <w:p>
            <w:pPr>
              <w:pStyle w:val="13"/>
            </w:pPr>
          </w:p>
        </w:tc>
        <w:tc>
          <w:tcPr>
            <w:tcW w:w="1095" w:type="dxa"/>
            <w:vAlign w:val="center"/>
          </w:tcPr>
          <w:p>
            <w:pPr>
              <w:pStyle w:val="13"/>
            </w:pPr>
            <w:r>
              <w:t>535.64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2013150</w:t>
            </w:r>
          </w:p>
        </w:tc>
        <w:tc>
          <w:tcPr>
            <w:tcW w:w="1095" w:type="dxa"/>
            <w:vAlign w:val="center"/>
          </w:tcPr>
          <w:p>
            <w:pPr>
              <w:pStyle w:val="14"/>
            </w:pPr>
            <w:r>
              <w:t>事业运行</w:t>
            </w:r>
          </w:p>
        </w:tc>
        <w:tc>
          <w:tcPr>
            <w:tcW w:w="1095" w:type="dxa"/>
            <w:vAlign w:val="center"/>
          </w:tcPr>
          <w:p>
            <w:pPr>
              <w:pStyle w:val="13"/>
            </w:pPr>
            <w:r>
              <w:t>779.38</w:t>
            </w:r>
          </w:p>
        </w:tc>
        <w:tc>
          <w:tcPr>
            <w:tcW w:w="1095" w:type="dxa"/>
            <w:vAlign w:val="center"/>
          </w:tcPr>
          <w:p>
            <w:pPr>
              <w:pStyle w:val="13"/>
            </w:pPr>
          </w:p>
        </w:tc>
        <w:tc>
          <w:tcPr>
            <w:tcW w:w="1095" w:type="dxa"/>
            <w:vAlign w:val="center"/>
          </w:tcPr>
          <w:p>
            <w:pPr>
              <w:pStyle w:val="13"/>
            </w:pPr>
            <w:r>
              <w:t>779.38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44.35</w:t>
            </w:r>
          </w:p>
        </w:tc>
        <w:tc>
          <w:tcPr>
            <w:tcW w:w="1095" w:type="dxa"/>
            <w:vAlign w:val="center"/>
          </w:tcPr>
          <w:p>
            <w:pPr>
              <w:pStyle w:val="13"/>
            </w:pPr>
            <w:r>
              <w:t>44.35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44.35</w:t>
            </w:r>
          </w:p>
        </w:tc>
        <w:tc>
          <w:tcPr>
            <w:tcW w:w="1095" w:type="dxa"/>
            <w:vAlign w:val="center"/>
          </w:tcPr>
          <w:p>
            <w:pPr>
              <w:pStyle w:val="13"/>
            </w:pPr>
            <w:r>
              <w:t>44.35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44.35</w:t>
            </w:r>
          </w:p>
        </w:tc>
        <w:tc>
          <w:tcPr>
            <w:tcW w:w="1095" w:type="dxa"/>
            <w:vAlign w:val="center"/>
          </w:tcPr>
          <w:p>
            <w:pPr>
              <w:pStyle w:val="13"/>
            </w:pPr>
            <w:r>
              <w:t>44.35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21.33</w:t>
            </w:r>
          </w:p>
        </w:tc>
        <w:tc>
          <w:tcPr>
            <w:tcW w:w="1095" w:type="dxa"/>
            <w:vAlign w:val="center"/>
          </w:tcPr>
          <w:p>
            <w:pPr>
              <w:pStyle w:val="13"/>
            </w:pPr>
            <w:r>
              <w:t>21.33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21.33</w:t>
            </w:r>
          </w:p>
        </w:tc>
        <w:tc>
          <w:tcPr>
            <w:tcW w:w="1095" w:type="dxa"/>
            <w:vAlign w:val="center"/>
          </w:tcPr>
          <w:p>
            <w:pPr>
              <w:pStyle w:val="13"/>
            </w:pPr>
            <w:r>
              <w:t>21.33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21.33</w:t>
            </w:r>
          </w:p>
        </w:tc>
        <w:tc>
          <w:tcPr>
            <w:tcW w:w="1095" w:type="dxa"/>
            <w:vAlign w:val="center"/>
          </w:tcPr>
          <w:p>
            <w:pPr>
              <w:pStyle w:val="13"/>
            </w:pPr>
            <w:r>
              <w:t>21.33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38.03</w:t>
            </w:r>
          </w:p>
        </w:tc>
        <w:tc>
          <w:tcPr>
            <w:tcW w:w="1095" w:type="dxa"/>
            <w:vAlign w:val="center"/>
          </w:tcPr>
          <w:p>
            <w:pPr>
              <w:pStyle w:val="13"/>
            </w:pPr>
            <w:r>
              <w:t>38.03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38.03</w:t>
            </w:r>
          </w:p>
        </w:tc>
        <w:tc>
          <w:tcPr>
            <w:tcW w:w="1095" w:type="dxa"/>
            <w:vAlign w:val="center"/>
          </w:tcPr>
          <w:p>
            <w:pPr>
              <w:pStyle w:val="13"/>
            </w:pPr>
            <w:r>
              <w:t>38.03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38.03</w:t>
            </w:r>
          </w:p>
        </w:tc>
        <w:tc>
          <w:tcPr>
            <w:tcW w:w="1095" w:type="dxa"/>
            <w:vAlign w:val="center"/>
          </w:tcPr>
          <w:p>
            <w:pPr>
              <w:pStyle w:val="13"/>
            </w:pPr>
            <w:r>
              <w:t>38.03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92" w:type="dxa"/>
            <w:gridSpan w:val="6"/>
            <w:tcBorders>
              <w:top w:val="single" w:color="FFFFFF" w:sz="6" w:space="0"/>
              <w:left w:val="single" w:color="FFFFFF" w:sz="6" w:space="0"/>
              <w:right w:val="single" w:color="FFFFFF" w:sz="6" w:space="0"/>
            </w:tcBorders>
            <w:vAlign w:val="center"/>
          </w:tcPr>
          <w:p>
            <w:r>
              <w:rPr>
                <w:b/>
                <w:bCs/>
              </w:rPr>
              <w:t>201中国共产党隆尧县委员会办公室</w:t>
            </w:r>
            <w:r>
              <w:rPr>
                <w:rFonts w:hint="eastAsia" w:eastAsia="SimSun"/>
                <w:b/>
                <w:bCs/>
                <w:lang w:val="en-US" w:eastAsia="zh-CN"/>
              </w:rPr>
              <w:t xml:space="preserve">            </w:t>
            </w:r>
            <w:r>
              <w:rPr>
                <w:b/>
                <w:bCs/>
              </w:rPr>
              <w:t>预算年度：2023</w:t>
            </w:r>
          </w:p>
        </w:tc>
        <w:tc>
          <w:tcPr>
            <w:tcW w:w="2464" w:type="dxa"/>
            <w:gridSpan w:val="2"/>
            <w:tcBorders>
              <w:top w:val="single" w:color="FFFFFF" w:sz="6" w:space="0"/>
              <w:left w:val="single" w:color="FFFFFF" w:sz="6" w:space="0"/>
              <w:right w:val="single" w:color="FFFFFF" w:sz="6" w:space="0"/>
            </w:tcBorders>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1232" w:type="dxa"/>
            <w:vAlign w:val="center"/>
          </w:tcPr>
          <w:p>
            <w:pPr>
              <w:pStyle w:val="12"/>
            </w:pPr>
            <w:r>
              <w:t>收入</w:t>
            </w:r>
          </w:p>
        </w:tc>
        <w:tc>
          <w:tcPr>
            <w:tcW w:w="1232" w:type="dxa"/>
          </w:tcPr>
          <w:p/>
        </w:tc>
        <w:tc>
          <w:tcPr>
            <w:tcW w:w="1232" w:type="dxa"/>
            <w:vAlign w:val="center"/>
          </w:tcPr>
          <w:p>
            <w:pPr>
              <w:pStyle w:val="12"/>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1831.66</w:t>
            </w:r>
          </w:p>
        </w:tc>
        <w:tc>
          <w:tcPr>
            <w:tcW w:w="1232" w:type="dxa"/>
            <w:vAlign w:val="center"/>
          </w:tcPr>
          <w:p>
            <w:pPr>
              <w:pStyle w:val="14"/>
            </w:pPr>
            <w:r>
              <w:t>一、一般公共服务支出</w:t>
            </w:r>
          </w:p>
        </w:tc>
        <w:tc>
          <w:tcPr>
            <w:tcW w:w="1232" w:type="dxa"/>
            <w:vAlign w:val="center"/>
          </w:tcPr>
          <w:p>
            <w:pPr>
              <w:pStyle w:val="13"/>
            </w:pPr>
            <w:r>
              <w:t>1727.95</w:t>
            </w:r>
          </w:p>
        </w:tc>
        <w:tc>
          <w:tcPr>
            <w:tcW w:w="1232" w:type="dxa"/>
            <w:vAlign w:val="center"/>
          </w:tcPr>
          <w:p>
            <w:pPr>
              <w:pStyle w:val="13"/>
            </w:pPr>
            <w:r>
              <w:t>1727.95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44.35</w:t>
            </w:r>
          </w:p>
        </w:tc>
        <w:tc>
          <w:tcPr>
            <w:tcW w:w="1232" w:type="dxa"/>
            <w:vAlign w:val="center"/>
          </w:tcPr>
          <w:p>
            <w:pPr>
              <w:pStyle w:val="13"/>
            </w:pPr>
            <w:r>
              <w:t>44.35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21.33</w:t>
            </w:r>
          </w:p>
        </w:tc>
        <w:tc>
          <w:tcPr>
            <w:tcW w:w="1232" w:type="dxa"/>
            <w:vAlign w:val="center"/>
          </w:tcPr>
          <w:p>
            <w:pPr>
              <w:pStyle w:val="13"/>
            </w:pPr>
            <w:r>
              <w:t>21.33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38.03</w:t>
            </w:r>
          </w:p>
        </w:tc>
        <w:tc>
          <w:tcPr>
            <w:tcW w:w="1232" w:type="dxa"/>
            <w:vAlign w:val="center"/>
          </w:tcPr>
          <w:p>
            <w:pPr>
              <w:pStyle w:val="13"/>
            </w:pPr>
            <w:r>
              <w:t>38.03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1831.66</w:t>
            </w:r>
          </w:p>
        </w:tc>
        <w:tc>
          <w:tcPr>
            <w:tcW w:w="1232" w:type="dxa"/>
            <w:vAlign w:val="center"/>
          </w:tcPr>
          <w:p>
            <w:pPr>
              <w:pStyle w:val="16"/>
            </w:pPr>
            <w:r>
              <w:t>本年支出合计</w:t>
            </w:r>
          </w:p>
        </w:tc>
        <w:tc>
          <w:tcPr>
            <w:tcW w:w="1232" w:type="dxa"/>
            <w:vAlign w:val="center"/>
          </w:tcPr>
          <w:p>
            <w:pPr>
              <w:pStyle w:val="17"/>
            </w:pPr>
            <w:r>
              <w:t>1831.66</w:t>
            </w:r>
          </w:p>
        </w:tc>
        <w:tc>
          <w:tcPr>
            <w:tcW w:w="1232" w:type="dxa"/>
            <w:vAlign w:val="center"/>
          </w:tcPr>
          <w:p>
            <w:pPr>
              <w:pStyle w:val="17"/>
            </w:pPr>
            <w:r>
              <w:t>1831.66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1831.66</w:t>
            </w:r>
          </w:p>
        </w:tc>
        <w:tc>
          <w:tcPr>
            <w:tcW w:w="1232" w:type="dxa"/>
            <w:vAlign w:val="center"/>
          </w:tcPr>
          <w:p>
            <w:pPr>
              <w:pStyle w:val="16"/>
            </w:pPr>
            <w:r>
              <w:t>支出总计</w:t>
            </w:r>
          </w:p>
        </w:tc>
        <w:tc>
          <w:tcPr>
            <w:tcW w:w="1232" w:type="dxa"/>
            <w:vAlign w:val="center"/>
          </w:tcPr>
          <w:p>
            <w:pPr>
              <w:pStyle w:val="17"/>
            </w:pPr>
            <w:r>
              <w:t>1831.66</w:t>
            </w:r>
          </w:p>
        </w:tc>
        <w:tc>
          <w:tcPr>
            <w:tcW w:w="1232" w:type="dxa"/>
            <w:vAlign w:val="center"/>
          </w:tcPr>
          <w:p>
            <w:pPr>
              <w:pStyle w:val="17"/>
            </w:pPr>
            <w:r>
              <w:t>1831.66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r>
              <w:rPr>
                <w:b/>
                <w:bCs/>
              </w:rPr>
              <w:t>201中国共产党隆尧县委员会办公室</w:t>
            </w:r>
            <w:r>
              <w:rPr>
                <w:rFonts w:hint="eastAsia" w:eastAsia="SimSun"/>
                <w:b/>
                <w:bCs/>
                <w:lang w:val="en-US" w:eastAsia="zh-CN"/>
              </w:rPr>
              <w:t xml:space="preserve">                 </w:t>
            </w:r>
            <w:r>
              <w:rPr>
                <w:b/>
                <w:bCs/>
              </w:rPr>
              <w:t>预算年度：2023</w:t>
            </w:r>
            <w:r>
              <w:rPr>
                <w:rFonts w:hint="eastAsia" w:eastAsia="SimSun"/>
                <w:b/>
                <w:bCs/>
                <w:lang w:val="en-US" w:eastAsia="zh-CN"/>
              </w:rPr>
              <w:t xml:space="preserve">    </w:t>
            </w:r>
            <w:r>
              <w:rPr>
                <w:rFonts w:hint="eastAsia" w:eastAsia="SimSun"/>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1831.66</w:t>
            </w:r>
          </w:p>
        </w:tc>
        <w:tc>
          <w:tcPr>
            <w:tcW w:w="1643" w:type="dxa"/>
            <w:vAlign w:val="center"/>
          </w:tcPr>
          <w:p>
            <w:pPr>
              <w:pStyle w:val="17"/>
            </w:pPr>
            <w:r>
              <w:t>503.64</w:t>
            </w:r>
          </w:p>
        </w:tc>
        <w:tc>
          <w:tcPr>
            <w:tcW w:w="1643" w:type="dxa"/>
            <w:vAlign w:val="center"/>
          </w:tcPr>
          <w:p>
            <w:pPr>
              <w:pStyle w:val="17"/>
            </w:pPr>
            <w:r>
              <w:t>1328.01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1727.95</w:t>
            </w:r>
          </w:p>
        </w:tc>
        <w:tc>
          <w:tcPr>
            <w:tcW w:w="1643" w:type="dxa"/>
            <w:vAlign w:val="center"/>
          </w:tcPr>
          <w:p>
            <w:pPr>
              <w:pStyle w:val="13"/>
            </w:pPr>
            <w:r>
              <w:t>399.94</w:t>
            </w:r>
          </w:p>
        </w:tc>
        <w:tc>
          <w:tcPr>
            <w:tcW w:w="1643" w:type="dxa"/>
            <w:vAlign w:val="center"/>
          </w:tcPr>
          <w:p>
            <w:pPr>
              <w:pStyle w:val="13"/>
            </w:pPr>
            <w:r>
              <w:t>1328.01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20131</w:t>
            </w:r>
          </w:p>
        </w:tc>
        <w:tc>
          <w:tcPr>
            <w:tcW w:w="1643" w:type="dxa"/>
            <w:vAlign w:val="center"/>
          </w:tcPr>
          <w:p>
            <w:pPr>
              <w:pStyle w:val="14"/>
            </w:pPr>
            <w:r>
              <w:t>党委办公厅（室）及相关机构事务</w:t>
            </w:r>
          </w:p>
        </w:tc>
        <w:tc>
          <w:tcPr>
            <w:tcW w:w="1643" w:type="dxa"/>
            <w:vAlign w:val="center"/>
          </w:tcPr>
          <w:p>
            <w:pPr>
              <w:pStyle w:val="13"/>
            </w:pPr>
            <w:r>
              <w:t>1727.95</w:t>
            </w:r>
          </w:p>
        </w:tc>
        <w:tc>
          <w:tcPr>
            <w:tcW w:w="1643" w:type="dxa"/>
            <w:vAlign w:val="center"/>
          </w:tcPr>
          <w:p>
            <w:pPr>
              <w:pStyle w:val="13"/>
            </w:pPr>
            <w:r>
              <w:t>399.94</w:t>
            </w:r>
          </w:p>
        </w:tc>
        <w:tc>
          <w:tcPr>
            <w:tcW w:w="1643" w:type="dxa"/>
            <w:vAlign w:val="center"/>
          </w:tcPr>
          <w:p>
            <w:pPr>
              <w:pStyle w:val="13"/>
            </w:pPr>
            <w:r>
              <w:t>1328.01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2013101</w:t>
            </w:r>
          </w:p>
        </w:tc>
        <w:tc>
          <w:tcPr>
            <w:tcW w:w="1643" w:type="dxa"/>
            <w:vAlign w:val="center"/>
          </w:tcPr>
          <w:p>
            <w:pPr>
              <w:pStyle w:val="14"/>
            </w:pPr>
            <w:r>
              <w:t>行政运行</w:t>
            </w:r>
          </w:p>
        </w:tc>
        <w:tc>
          <w:tcPr>
            <w:tcW w:w="1643" w:type="dxa"/>
            <w:vAlign w:val="center"/>
          </w:tcPr>
          <w:p>
            <w:pPr>
              <w:pStyle w:val="13"/>
            </w:pPr>
            <w:r>
              <w:t>399.94</w:t>
            </w:r>
          </w:p>
        </w:tc>
        <w:tc>
          <w:tcPr>
            <w:tcW w:w="1643" w:type="dxa"/>
            <w:vAlign w:val="center"/>
          </w:tcPr>
          <w:p>
            <w:pPr>
              <w:pStyle w:val="13"/>
            </w:pPr>
            <w:r>
              <w:t>399.94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2013102</w:t>
            </w:r>
          </w:p>
        </w:tc>
        <w:tc>
          <w:tcPr>
            <w:tcW w:w="1643" w:type="dxa"/>
            <w:vAlign w:val="center"/>
          </w:tcPr>
          <w:p>
            <w:pPr>
              <w:pStyle w:val="14"/>
            </w:pPr>
            <w:r>
              <w:t>一般行政管理事务</w:t>
            </w:r>
          </w:p>
        </w:tc>
        <w:tc>
          <w:tcPr>
            <w:tcW w:w="1643" w:type="dxa"/>
            <w:vAlign w:val="center"/>
          </w:tcPr>
          <w:p>
            <w:pPr>
              <w:pStyle w:val="13"/>
            </w:pPr>
            <w:r>
              <w:t>13.00</w:t>
            </w:r>
          </w:p>
        </w:tc>
        <w:tc>
          <w:tcPr>
            <w:tcW w:w="1643" w:type="dxa"/>
            <w:vAlign w:val="center"/>
          </w:tcPr>
          <w:p>
            <w:pPr>
              <w:pStyle w:val="13"/>
            </w:pPr>
          </w:p>
        </w:tc>
        <w:tc>
          <w:tcPr>
            <w:tcW w:w="164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2013105</w:t>
            </w:r>
          </w:p>
        </w:tc>
        <w:tc>
          <w:tcPr>
            <w:tcW w:w="1643" w:type="dxa"/>
            <w:vAlign w:val="center"/>
          </w:tcPr>
          <w:p>
            <w:pPr>
              <w:pStyle w:val="14"/>
            </w:pPr>
            <w:r>
              <w:t>专项业务</w:t>
            </w:r>
          </w:p>
        </w:tc>
        <w:tc>
          <w:tcPr>
            <w:tcW w:w="1643" w:type="dxa"/>
            <w:vAlign w:val="center"/>
          </w:tcPr>
          <w:p>
            <w:pPr>
              <w:pStyle w:val="13"/>
            </w:pPr>
            <w:r>
              <w:t>535.64</w:t>
            </w:r>
          </w:p>
        </w:tc>
        <w:tc>
          <w:tcPr>
            <w:tcW w:w="1643" w:type="dxa"/>
            <w:vAlign w:val="center"/>
          </w:tcPr>
          <w:p>
            <w:pPr>
              <w:pStyle w:val="13"/>
            </w:pPr>
          </w:p>
        </w:tc>
        <w:tc>
          <w:tcPr>
            <w:tcW w:w="1643" w:type="dxa"/>
            <w:vAlign w:val="center"/>
          </w:tcPr>
          <w:p>
            <w:pPr>
              <w:pStyle w:val="13"/>
            </w:pPr>
            <w:r>
              <w:t>535.64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2013150</w:t>
            </w:r>
          </w:p>
        </w:tc>
        <w:tc>
          <w:tcPr>
            <w:tcW w:w="1643" w:type="dxa"/>
            <w:vAlign w:val="center"/>
          </w:tcPr>
          <w:p>
            <w:pPr>
              <w:pStyle w:val="14"/>
            </w:pPr>
            <w:r>
              <w:t>事业运行</w:t>
            </w:r>
          </w:p>
        </w:tc>
        <w:tc>
          <w:tcPr>
            <w:tcW w:w="1643" w:type="dxa"/>
            <w:vAlign w:val="center"/>
          </w:tcPr>
          <w:p>
            <w:pPr>
              <w:pStyle w:val="13"/>
            </w:pPr>
            <w:r>
              <w:t>779.38</w:t>
            </w:r>
          </w:p>
        </w:tc>
        <w:tc>
          <w:tcPr>
            <w:tcW w:w="1643" w:type="dxa"/>
            <w:vAlign w:val="center"/>
          </w:tcPr>
          <w:p>
            <w:pPr>
              <w:pStyle w:val="13"/>
            </w:pPr>
          </w:p>
        </w:tc>
        <w:tc>
          <w:tcPr>
            <w:tcW w:w="1643" w:type="dxa"/>
            <w:vAlign w:val="center"/>
          </w:tcPr>
          <w:p>
            <w:pPr>
              <w:pStyle w:val="13"/>
            </w:pPr>
            <w:r>
              <w:t>779.38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r>
              <w:rPr>
                <w:b/>
                <w:bCs/>
              </w:rPr>
              <w:t>201中国共产党隆尧县委员会办公室</w:t>
            </w:r>
            <w:r>
              <w:rPr>
                <w:rFonts w:hint="eastAsia" w:eastAsia="SimSun"/>
                <w:b/>
                <w:bCs/>
                <w:lang w:val="en-US" w:eastAsia="zh-CN"/>
              </w:rPr>
              <w:t xml:space="preserve">              </w:t>
            </w:r>
            <w:r>
              <w:rPr>
                <w:b/>
                <w:bCs/>
              </w:rPr>
              <w:t>预算年度：2023</w:t>
            </w:r>
            <w:r>
              <w:rPr>
                <w:rFonts w:hint="eastAsia" w:eastAsia="SimSun"/>
                <w:b/>
                <w:bCs/>
                <w:lang w:val="en-US" w:eastAsia="zh-CN"/>
              </w:rPr>
              <w:t xml:space="preserve">   </w:t>
            </w:r>
            <w:r>
              <w:rPr>
                <w:rFonts w:hint="eastAsia" w:eastAsia="SimSun"/>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支出部门经济分类科目</w:t>
            </w:r>
          </w:p>
        </w:tc>
        <w:tc>
          <w:tcPr>
            <w:tcW w:w="1643" w:type="dxa"/>
          </w:tcPr>
          <w:p/>
        </w:tc>
        <w:tc>
          <w:tcPr>
            <w:tcW w:w="1643" w:type="dxa"/>
            <w:vAlign w:val="center"/>
          </w:tcPr>
          <w:p>
            <w:pPr>
              <w:pStyle w:val="12"/>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503.64</w:t>
            </w:r>
          </w:p>
        </w:tc>
        <w:tc>
          <w:tcPr>
            <w:tcW w:w="1643" w:type="dxa"/>
            <w:vAlign w:val="center"/>
          </w:tcPr>
          <w:p>
            <w:pPr>
              <w:pStyle w:val="17"/>
            </w:pPr>
            <w:r>
              <w:t>454.62</w:t>
            </w:r>
          </w:p>
        </w:tc>
        <w:tc>
          <w:tcPr>
            <w:tcW w:w="1643" w:type="dxa"/>
            <w:vAlign w:val="center"/>
          </w:tcPr>
          <w:p>
            <w:pPr>
              <w:pStyle w:val="17"/>
            </w:pPr>
            <w:r>
              <w:t>49.02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444.55</w:t>
            </w:r>
          </w:p>
        </w:tc>
        <w:tc>
          <w:tcPr>
            <w:tcW w:w="1643" w:type="dxa"/>
            <w:vAlign w:val="center"/>
          </w:tcPr>
          <w:p>
            <w:pPr>
              <w:pStyle w:val="13"/>
            </w:pPr>
            <w:r>
              <w:t>444.55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188.37</w:t>
            </w:r>
          </w:p>
        </w:tc>
        <w:tc>
          <w:tcPr>
            <w:tcW w:w="1643" w:type="dxa"/>
            <w:vAlign w:val="center"/>
          </w:tcPr>
          <w:p>
            <w:pPr>
              <w:pStyle w:val="13"/>
            </w:pPr>
            <w:r>
              <w:t>188.37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53.70</w:t>
            </w:r>
          </w:p>
        </w:tc>
        <w:tc>
          <w:tcPr>
            <w:tcW w:w="1643" w:type="dxa"/>
            <w:vAlign w:val="center"/>
          </w:tcPr>
          <w:p>
            <w:pPr>
              <w:pStyle w:val="13"/>
            </w:pPr>
            <w:r>
              <w:t>53.70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75.90</w:t>
            </w:r>
          </w:p>
        </w:tc>
        <w:tc>
          <w:tcPr>
            <w:tcW w:w="1643" w:type="dxa"/>
            <w:vAlign w:val="center"/>
          </w:tcPr>
          <w:p>
            <w:pPr>
              <w:pStyle w:val="13"/>
            </w:pPr>
            <w:r>
              <w:t>75.90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21.57</w:t>
            </w:r>
          </w:p>
        </w:tc>
        <w:tc>
          <w:tcPr>
            <w:tcW w:w="1643" w:type="dxa"/>
            <w:vAlign w:val="center"/>
          </w:tcPr>
          <w:p>
            <w:pPr>
              <w:pStyle w:val="13"/>
            </w:pPr>
            <w:r>
              <w:t>21.57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44.35</w:t>
            </w:r>
          </w:p>
        </w:tc>
        <w:tc>
          <w:tcPr>
            <w:tcW w:w="1643" w:type="dxa"/>
            <w:vAlign w:val="center"/>
          </w:tcPr>
          <w:p>
            <w:pPr>
              <w:pStyle w:val="13"/>
            </w:pPr>
            <w:r>
              <w:t>44.35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21.33</w:t>
            </w:r>
          </w:p>
        </w:tc>
        <w:tc>
          <w:tcPr>
            <w:tcW w:w="1643" w:type="dxa"/>
            <w:vAlign w:val="center"/>
          </w:tcPr>
          <w:p>
            <w:pPr>
              <w:pStyle w:val="13"/>
            </w:pPr>
            <w:r>
              <w:t>21.33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1.31</w:t>
            </w:r>
          </w:p>
        </w:tc>
        <w:tc>
          <w:tcPr>
            <w:tcW w:w="1643" w:type="dxa"/>
            <w:vAlign w:val="center"/>
          </w:tcPr>
          <w:p>
            <w:pPr>
              <w:pStyle w:val="13"/>
            </w:pPr>
            <w:r>
              <w:t>1.31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38.03</w:t>
            </w:r>
          </w:p>
        </w:tc>
        <w:tc>
          <w:tcPr>
            <w:tcW w:w="1643" w:type="dxa"/>
            <w:vAlign w:val="center"/>
          </w:tcPr>
          <w:p>
            <w:pPr>
              <w:pStyle w:val="13"/>
            </w:pPr>
            <w:r>
              <w:t>38.03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49.02</w:t>
            </w:r>
          </w:p>
        </w:tc>
        <w:tc>
          <w:tcPr>
            <w:tcW w:w="1643" w:type="dxa"/>
            <w:vAlign w:val="center"/>
          </w:tcPr>
          <w:p>
            <w:pPr>
              <w:pStyle w:val="13"/>
            </w:pPr>
          </w:p>
        </w:tc>
        <w:tc>
          <w:tcPr>
            <w:tcW w:w="1643" w:type="dxa"/>
            <w:vAlign w:val="center"/>
          </w:tcPr>
          <w:p>
            <w:pPr>
              <w:pStyle w:val="13"/>
            </w:pPr>
            <w:r>
              <w:t>49.02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16.80</w:t>
            </w:r>
          </w:p>
        </w:tc>
        <w:tc>
          <w:tcPr>
            <w:tcW w:w="1643" w:type="dxa"/>
            <w:vAlign w:val="center"/>
          </w:tcPr>
          <w:p>
            <w:pPr>
              <w:pStyle w:val="13"/>
            </w:pPr>
          </w:p>
        </w:tc>
        <w:tc>
          <w:tcPr>
            <w:tcW w:w="1643" w:type="dxa"/>
            <w:vAlign w:val="center"/>
          </w:tcPr>
          <w:p>
            <w:pPr>
              <w:pStyle w:val="13"/>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0.90</w:t>
            </w:r>
          </w:p>
        </w:tc>
        <w:tc>
          <w:tcPr>
            <w:tcW w:w="1643" w:type="dxa"/>
            <w:vAlign w:val="center"/>
          </w:tcPr>
          <w:p>
            <w:pPr>
              <w:pStyle w:val="13"/>
            </w:pPr>
          </w:p>
        </w:tc>
        <w:tc>
          <w:tcPr>
            <w:tcW w:w="1643"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0.90</w:t>
            </w:r>
          </w:p>
        </w:tc>
        <w:tc>
          <w:tcPr>
            <w:tcW w:w="1643" w:type="dxa"/>
            <w:vAlign w:val="center"/>
          </w:tcPr>
          <w:p>
            <w:pPr>
              <w:pStyle w:val="13"/>
            </w:pPr>
          </w:p>
        </w:tc>
        <w:tc>
          <w:tcPr>
            <w:tcW w:w="1643"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26.52</w:t>
            </w:r>
          </w:p>
        </w:tc>
        <w:tc>
          <w:tcPr>
            <w:tcW w:w="1643" w:type="dxa"/>
            <w:vAlign w:val="center"/>
          </w:tcPr>
          <w:p>
            <w:pPr>
              <w:pStyle w:val="13"/>
            </w:pPr>
          </w:p>
        </w:tc>
        <w:tc>
          <w:tcPr>
            <w:tcW w:w="1643" w:type="dxa"/>
            <w:vAlign w:val="center"/>
          </w:tcPr>
          <w:p>
            <w:pPr>
              <w:pStyle w:val="13"/>
            </w:pPr>
            <w:r>
              <w:t>26.52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0.90</w:t>
            </w:r>
          </w:p>
        </w:tc>
        <w:tc>
          <w:tcPr>
            <w:tcW w:w="1643" w:type="dxa"/>
            <w:vAlign w:val="center"/>
          </w:tcPr>
          <w:p>
            <w:pPr>
              <w:pStyle w:val="13"/>
            </w:pPr>
          </w:p>
        </w:tc>
        <w:tc>
          <w:tcPr>
            <w:tcW w:w="1643"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10.07</w:t>
            </w:r>
          </w:p>
        </w:tc>
        <w:tc>
          <w:tcPr>
            <w:tcW w:w="1643" w:type="dxa"/>
            <w:vAlign w:val="center"/>
          </w:tcPr>
          <w:p>
            <w:pPr>
              <w:pStyle w:val="13"/>
            </w:pPr>
            <w:r>
              <w:t>10.07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9.35</w:t>
            </w:r>
          </w:p>
        </w:tc>
        <w:tc>
          <w:tcPr>
            <w:tcW w:w="1643" w:type="dxa"/>
            <w:vAlign w:val="center"/>
          </w:tcPr>
          <w:p>
            <w:pPr>
              <w:pStyle w:val="13"/>
            </w:pPr>
            <w:r>
              <w:t>9.35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0.72</w:t>
            </w:r>
          </w:p>
        </w:tc>
        <w:tc>
          <w:tcPr>
            <w:tcW w:w="1643" w:type="dxa"/>
            <w:vAlign w:val="center"/>
          </w:tcPr>
          <w:p>
            <w:pPr>
              <w:pStyle w:val="13"/>
            </w:pPr>
            <w:r>
              <w:t>0.72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r>
              <w:rPr>
                <w:b/>
                <w:bCs/>
              </w:rPr>
              <w:t>201中国共产党隆尧县委员会办公室</w:t>
            </w:r>
            <w:r>
              <w:rPr>
                <w:rFonts w:hint="eastAsia" w:eastAsia="SimSun"/>
                <w:b/>
                <w:bCs/>
                <w:lang w:val="en-US" w:eastAsia="zh-CN"/>
              </w:rPr>
              <w:t xml:space="preserve">                     </w:t>
            </w:r>
            <w:r>
              <w:rPr>
                <w:b/>
                <w:bCs/>
              </w:rPr>
              <w:t>预算年度：2023</w:t>
            </w:r>
            <w:r>
              <w:rPr>
                <w:rFonts w:hint="eastAsia" w:eastAsia="SimSun"/>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58" w:type="dxa"/>
            <w:gridSpan w:val="6"/>
            <w:tcBorders>
              <w:top w:val="single" w:color="FFFFFF" w:sz="6" w:space="0"/>
              <w:left w:val="single" w:color="FFFFFF" w:sz="6" w:space="0"/>
              <w:right w:val="single" w:color="FFFFFF" w:sz="6" w:space="0"/>
            </w:tcBorders>
            <w:vAlign w:val="center"/>
          </w:tcPr>
          <w:p>
            <w:r>
              <w:rPr>
                <w:b/>
                <w:bCs/>
              </w:rPr>
              <w:t>201中国共产党隆尧县委员会办公室</w:t>
            </w:r>
            <w:r>
              <w:rPr>
                <w:rFonts w:hint="eastAsia" w:eastAsia="SimSun"/>
                <w:b/>
                <w:bCs/>
                <w:lang w:val="en-US" w:eastAsia="zh-CN"/>
              </w:rPr>
              <w:t xml:space="preserve">             </w:t>
            </w:r>
            <w:r>
              <w:rPr>
                <w:b/>
                <w:bCs/>
              </w:rPr>
              <w:t>预算年度：2023</w:t>
            </w:r>
            <w:r>
              <w:rPr>
                <w:rFonts w:hint="eastAsia" w:eastAsia="SimSun"/>
                <w:b/>
                <w:bCs/>
                <w:lang w:val="en-US" w:eastAsia="zh-CN"/>
              </w:rPr>
              <w:t xml:space="preserve">    </w:t>
            </w:r>
            <w:r>
              <w:rPr>
                <w:rFonts w:hint="eastAsia" w:eastAsia="SimSun"/>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Align w:val="center"/>
          </w:tcPr>
          <w:p>
            <w:pPr>
              <w:pStyle w:val="12"/>
            </w:pPr>
            <w:r>
              <w:t>功能分类科目</w:t>
            </w:r>
          </w:p>
        </w:tc>
        <w:tc>
          <w:tcPr>
            <w:tcW w:w="1643" w:type="dxa"/>
          </w:tcP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r>
              <w:t>201中国共产党隆尧县委员会办公室</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261.20</w:t>
            </w:r>
          </w:p>
        </w:tc>
        <w:tc>
          <w:tcPr>
            <w:tcW w:w="1643" w:type="dxa"/>
            <w:vAlign w:val="center"/>
          </w:tcPr>
          <w:p>
            <w:pPr>
              <w:pStyle w:val="17"/>
              <w:rPr>
                <w:rFonts w:hint="default" w:eastAsia="方正书宋_GBK"/>
                <w:lang w:val="en-US" w:eastAsia="zh-CN"/>
              </w:rPr>
            </w:pPr>
            <w:r>
              <w:rPr>
                <w:rFonts w:hint="eastAsia"/>
                <w:lang w:val="en-US" w:eastAsia="zh-CN"/>
              </w:rPr>
              <w:t>261.20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5</w:t>
            </w:r>
          </w:p>
        </w:tc>
        <w:tc>
          <w:tcPr>
            <w:tcW w:w="1643" w:type="dxa"/>
            <w:vAlign w:val="center"/>
          </w:tcPr>
          <w:p>
            <w:pPr>
              <w:pStyle w:val="14"/>
            </w:pPr>
            <w:r>
              <w:t>二、公务用车购置及运维费</w:t>
            </w:r>
          </w:p>
        </w:tc>
        <w:tc>
          <w:tcPr>
            <w:tcW w:w="1643" w:type="dxa"/>
            <w:vAlign w:val="center"/>
          </w:tcPr>
          <w:p>
            <w:pPr>
              <w:pStyle w:val="13"/>
            </w:pPr>
            <w:r>
              <w:t>255.00</w:t>
            </w:r>
          </w:p>
        </w:tc>
        <w:tc>
          <w:tcPr>
            <w:tcW w:w="1643" w:type="dxa"/>
            <w:vAlign w:val="center"/>
          </w:tcPr>
          <w:p>
            <w:pPr>
              <w:pStyle w:val="13"/>
            </w:pPr>
            <w:r>
              <w:t>255.00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6</w:t>
            </w:r>
          </w:p>
        </w:tc>
        <w:tc>
          <w:tcPr>
            <w:tcW w:w="1643" w:type="dxa"/>
            <w:vAlign w:val="center"/>
          </w:tcPr>
          <w:p>
            <w:pPr>
              <w:pStyle w:val="14"/>
            </w:pPr>
            <w:r>
              <w:t xml:space="preserve">    其中：公务用车购置费</w:t>
            </w:r>
          </w:p>
        </w:tc>
        <w:tc>
          <w:tcPr>
            <w:tcW w:w="1643" w:type="dxa"/>
            <w:vAlign w:val="center"/>
          </w:tcPr>
          <w:p>
            <w:pPr>
              <w:pStyle w:val="13"/>
            </w:pPr>
            <w:r>
              <w:t>100.00</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7</w:t>
            </w:r>
          </w:p>
        </w:tc>
        <w:tc>
          <w:tcPr>
            <w:tcW w:w="1643" w:type="dxa"/>
            <w:vAlign w:val="center"/>
          </w:tcPr>
          <w:p>
            <w:pPr>
              <w:pStyle w:val="14"/>
            </w:pPr>
            <w:r>
              <w:t xml:space="preserve">          公务用车运行维护费</w:t>
            </w:r>
          </w:p>
        </w:tc>
        <w:tc>
          <w:tcPr>
            <w:tcW w:w="1643" w:type="dxa"/>
            <w:vAlign w:val="center"/>
          </w:tcPr>
          <w:p>
            <w:pPr>
              <w:pStyle w:val="13"/>
            </w:pPr>
            <w:r>
              <w:t>155.00</w:t>
            </w:r>
          </w:p>
        </w:tc>
        <w:tc>
          <w:tcPr>
            <w:tcW w:w="1643" w:type="dxa"/>
            <w:vAlign w:val="center"/>
          </w:tcPr>
          <w:p>
            <w:pPr>
              <w:pStyle w:val="13"/>
            </w:pPr>
            <w:r>
              <w:t>155.00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rPr>
                <w:rFonts w:hint="eastAsia" w:eastAsia="方正书宋_GBK"/>
                <w:lang w:eastAsia="zh-CN"/>
              </w:rPr>
            </w:pPr>
            <w:r>
              <w:rPr>
                <w:rFonts w:hint="eastAsia"/>
                <w:lang w:val="en-US" w:eastAsia="zh-CN"/>
              </w:rPr>
              <w:t>8</w:t>
            </w:r>
          </w:p>
        </w:tc>
        <w:tc>
          <w:tcPr>
            <w:tcW w:w="1643" w:type="dxa"/>
            <w:vAlign w:val="center"/>
          </w:tcPr>
          <w:p>
            <w:pPr>
              <w:pStyle w:val="14"/>
            </w:pPr>
            <w:r>
              <w:t>三、公务接待费</w:t>
            </w:r>
          </w:p>
        </w:tc>
        <w:tc>
          <w:tcPr>
            <w:tcW w:w="1643" w:type="dxa"/>
            <w:vAlign w:val="center"/>
          </w:tcPr>
          <w:p>
            <w:pPr>
              <w:pStyle w:val="13"/>
            </w:pPr>
            <w:r>
              <w:t>6.20</w:t>
            </w:r>
          </w:p>
        </w:tc>
        <w:tc>
          <w:tcPr>
            <w:tcW w:w="1643" w:type="dxa"/>
            <w:vAlign w:val="center"/>
          </w:tcPr>
          <w:p>
            <w:pPr>
              <w:pStyle w:val="13"/>
            </w:pPr>
            <w:r>
              <w:t>6.20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中国共产党隆尧县委员会办公室2023年部门预算信息公开情况说明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中国共产党隆尧县委员会办公室2023年部门预算信息公开情况说明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按照《预算法》、《地方预决算公开操作规程》和《关于进一步推进预算公开工作的实施意见》规定，现将中国共产党隆尧县委员会办公室2023年部门预算公开如下：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一、中共隆尧县委国家安全委员会办公室承担委员会具体工作，贯彻落实党中央和省委、市委、县委关于国家安全工作的各项决策部署，协调督促有关方面落实委员会决定事项、工作部署和要求等。</w:t>
      </w:r>
    </w:p>
    <w:p>
      <w:pPr>
        <w:pStyle w:val="19"/>
      </w:pPr>
      <w:r>
        <w:t>二、中共隆尧县委全面深化改革委员会办公室承担委员会具体工作，贯彻落实党中央和省委、市委、县委关于全面深化改革工作的各项决策部署，协调督促有关方面落实委员会决定事项、工作部署和要求等。</w:t>
      </w:r>
    </w:p>
    <w:p>
      <w:pPr>
        <w:pStyle w:val="19"/>
      </w:pPr>
      <w:r>
        <w:t>三、县委办公室的主要职责是：</w:t>
      </w:r>
    </w:p>
    <w:p>
      <w:pPr>
        <w:pStyle w:val="19"/>
      </w:pPr>
      <w:r>
        <w:t>（一）负责推动党中央和省委、市委、县委决策部署的落实，按照县委要求协调有关方面开展工作，承担县委运行保障具体事务。</w:t>
      </w:r>
    </w:p>
    <w:p>
      <w:pPr>
        <w:pStyle w:val="19"/>
      </w:pPr>
      <w:r>
        <w:t>（二）负责县委和县委办公室文件、县委领导讲话稿的起草、修改等工作。</w:t>
      </w:r>
    </w:p>
    <w:p>
      <w:pPr>
        <w:pStyle w:val="19"/>
      </w:pPr>
      <w:r>
        <w:t>（三）负责党中央和省委、市委、县委重要决策部署贯彻落实的督促检查，中央和省委、市委、县委领导批示和交办事项的催办反馈，县委统一部署的重大专项活动的推进落实。</w:t>
      </w:r>
    </w:p>
    <w:p>
      <w:pPr>
        <w:pStyle w:val="19"/>
      </w:pPr>
      <w:r>
        <w:t>（四）负责收集和处理信息、反映动态；负责社情民意的搜集、整理和编报工作。</w:t>
      </w:r>
    </w:p>
    <w:p>
      <w:pPr>
        <w:pStyle w:val="19"/>
      </w:pPr>
      <w:r>
        <w:t>（五）根据县委安排部署，组织力量对经济建设、政治建设、文化建设、社会建设、生态文明建设和党的建设等方面的重大问题进行调查研究，提出意见和建议。</w:t>
      </w:r>
    </w:p>
    <w:p>
      <w:pPr>
        <w:pStyle w:val="19"/>
      </w:pPr>
      <w:r>
        <w:t>（六）组织撰写宣传、阐释党的路线方针政策和县委工作思路、部署要求的文章。</w:t>
      </w:r>
    </w:p>
    <w:p>
      <w:pPr>
        <w:pStyle w:val="19"/>
      </w:pPr>
      <w:r>
        <w:t>（七）负责县委全委会、县委常委会和县委其他重要会议的会务工作；负责县委领导参加重大活动和日常工作活动的组织安排。</w:t>
      </w:r>
    </w:p>
    <w:p>
      <w:pPr>
        <w:pStyle w:val="19"/>
      </w:pPr>
      <w:r>
        <w:t>（八）负责县委日常文书处理；负责县委文件和县委办公室代县委行文的审核工作；负责县委制定规范性文件的服务工作；负责统筹协调和督促指导全县党务公开工作。</w:t>
      </w:r>
    </w:p>
    <w:p>
      <w:pPr>
        <w:pStyle w:val="19"/>
      </w:pPr>
      <w:r>
        <w:t>（九）负责全县档案事业宏观管理和执法复议、监督指导等工作。</w:t>
      </w:r>
    </w:p>
    <w:p>
      <w:pPr>
        <w:pStyle w:val="19"/>
      </w:pPr>
      <w:r>
        <w:t>（十）负责全县公务接待机构的业务指导和重大接待活动的服务保障工作。</w:t>
      </w:r>
    </w:p>
    <w:p>
      <w:pPr>
        <w:pStyle w:val="19"/>
      </w:pPr>
      <w:r>
        <w:t>（十一）负责县委机关行政后勤、安全保卫和县委办公室财务管理工作。</w:t>
      </w:r>
    </w:p>
    <w:p>
      <w:pPr>
        <w:pStyle w:val="19"/>
      </w:pPr>
      <w:r>
        <w:t>（十二）负责县机关事务的行政管理工作。</w:t>
      </w:r>
    </w:p>
    <w:p>
      <w:pPr>
        <w:pStyle w:val="19"/>
      </w:pPr>
      <w:r>
        <w:t>（十三）承担县委保密委员会和县密码工作领导小组的日常工作。负责全县保密、密码工作发展规划的拟订和组织实施，制定相关规章制度；对全县密码工作实施业务领导，对全县党政机关及经济、科学等领域保密工作实施业务指导；负责通信和计算机网络的保密监督；负责全县密码的装备、使用和管理；负责失泄密事件的查处工作；负责全县电子政务内网、党委系统信息化等建设和管理工作；负责全县保密机要干部教育培训工作；承办县委保密委员会和县密码工作领导小组交办的其他工作。</w:t>
      </w:r>
    </w:p>
    <w:p>
      <w:pPr>
        <w:pStyle w:val="19"/>
      </w:pPr>
      <w:r>
        <w:t>（十四）完成县委交办的其他任务。</w:t>
      </w:r>
    </w:p>
    <w:p>
      <w:pPr>
        <w:pStyle w:val="19"/>
      </w:pPr>
      <w:r>
        <w:t>四、机关事务管理局职责</w:t>
      </w:r>
    </w:p>
    <w:p>
      <w:pPr>
        <w:pStyle w:val="19"/>
      </w:pPr>
      <w:r>
        <w:t>（一）研究制定本县各级机关事务管理工作的政策措施并组织实施；</w:t>
      </w:r>
    </w:p>
    <w:p>
      <w:pPr>
        <w:pStyle w:val="19"/>
      </w:pPr>
      <w:r>
        <w:t>（二）负责指定区域内的机关后勤管理和服务工作；</w:t>
      </w:r>
    </w:p>
    <w:p>
      <w:pPr>
        <w:pStyle w:val="19"/>
      </w:pPr>
      <w:r>
        <w:t>（三）负责车改后保留公务用车的管理、调度；</w:t>
      </w:r>
    </w:p>
    <w:p>
      <w:pPr>
        <w:pStyle w:val="19"/>
      </w:pPr>
      <w:r>
        <w:t xml:space="preserve">（四）负责机关办公用房配置管理； </w:t>
      </w:r>
    </w:p>
    <w:p>
      <w:pPr>
        <w:pStyle w:val="19"/>
      </w:pPr>
      <w:r>
        <w:t>（五）负责全县公共机构资源节约的工作。</w:t>
      </w:r>
    </w:p>
    <w:p>
      <w:pPr>
        <w:pStyle w:val="19"/>
      </w:pPr>
      <w:r>
        <w:t>五、隆尧县城乡建设工作领导小组办公室职责</w:t>
      </w:r>
    </w:p>
    <w:p>
      <w:pPr>
        <w:pStyle w:val="19"/>
      </w:pPr>
      <w:r>
        <w:t>（一）统筹全县城市建设工作，研究分析城市建设工作重点难点问题，明确重点工作任务，强化推进措施，保障各项工程任务有序、高效推进。</w:t>
      </w:r>
    </w:p>
    <w:p>
      <w:pPr>
        <w:pStyle w:val="19"/>
      </w:pPr>
      <w:r>
        <w:t>（二）定期组织召开城市建设工作调度会，听取各项工作任务进展情况汇报，掌握工作进度。针对工作推进中的难点堵点，组织协调相关单位研究解决办法，强力推进城中村改造、城市基础设施建设等方面的工作。三是加强对城市建设工作的督查，并及时通报各项工作任务进展情况，力促各项工作任务扎实高效开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中国共产党隆尧县委员会办公室本级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隆尧县机关事务管理局</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按照预算管理有关规定，目前我县部门预算的编制实行综合预算管理，即全部收入和支出都反映在预算中。中国共产党隆尧县委员会办公室及所属事业单位的收支包含在部门预算中。</w:t>
      </w:r>
    </w:p>
    <w:p>
      <w:pPr>
        <w:pStyle w:val="20"/>
      </w:pPr>
      <w:r>
        <w:t>1、收入说明</w:t>
      </w:r>
    </w:p>
    <w:p>
      <w:pPr>
        <w:pStyle w:val="20"/>
      </w:pPr>
      <w:r>
        <w:t>反映本部门当年全部收入。2023年预算收入1831.66万元，其中：一般公共预算收入1831.66万元，基金预算收入0万元，财政专户核拨收入0万元，其他来源收入0万元。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共隆尧县委办公室年度部门预算中支出预算的总体情况。2023年部门支出预算为1831.66万元，其中基本支出503.64万元，包括人员经费454.62万元和日常公用经费49.02万元；项目支出1328.01万元，主要用于县委公文运转、县委大型会议和接待活动、信息和督查调研、实绩考核、城建专班等专项工作经费250.51万元，机关事务管理局用于公务用车购置费、公务用车运行维护费、租赁费、机关办公费、县委县政府后勤保障费、劳务派遣司机工资、退役军人岗位补贴、食堂服务费、领导干部健康服务经费、县直党政机关办公用房维修基金1077.50万元。</w:t>
      </w:r>
    </w:p>
    <w:p>
      <w:pPr>
        <w:pStyle w:val="20"/>
      </w:pPr>
      <w:r>
        <w:t>3、比上年增减情况</w:t>
      </w:r>
    </w:p>
    <w:p>
      <w:pPr>
        <w:pStyle w:val="20"/>
      </w:pPr>
      <w:r>
        <w:t>2023年部门预算收支安排1831.66万元，较2022年减少189.67万元，主要是县委办本级减少了2个涉密项目，机关事务管理局食堂服务费、县直党政机关办公用房维修基金等项目压减开支。</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2023年，我部门机关运行经费共计安排49.02万元，主要用于保证机关正常运转的办公费、工会经费、差旅费、其他交通费用、其他商品和服务支出等。</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2023年，我部门财政拨款“三公”经费预算安排261.2万元，其中：因公出国（境）费0万元；公务用车购置及运维费255 万元（其中：公务用车购置费100万元，公务用车运行维护费155万元)；公务接待费6.20万元。“三公”经费与上年减少8万元,主要是县委办本级压减公务接待费8万元。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2023年，中共隆尧县委办公室工作的指导思想是：以习近平新时代中国特色社会主义思想为指导，全面学习贯彻落实党的二十大精神，认真落实省委十届三次全会、市委十届五次全会精神和县委十二届三次全会要求，解放思想、奋发进取，严纪律、优作风、强落实，不断提升“三服务”水平，继续当好县委的“坚强前哨”和“巩固后院”，扎实推进高质量赶超发展 “狠抓落实、大干实事、奋发进取、争创一流”作风，以招商选资和项目建设为重点，以深化改革和创新驱动为动力，突出工作重点、创新工作举措、提升工作实效，认真履行参谋、服务、协调三大职能，把办公室打造成参之有道、谋之有策的“参谋部”，协调有力、统筹得力的“指挥部”，敢打硬仗、能打胜仗的“作战部”，全心全力服务县委决策、服务发展大局，在推动隆尧高质量赶超发展中争创新业绩、展现新形象，为“建设经济强县、美丽隆尧”</w:t>
      </w:r>
      <w:r>
        <w:rPr>
          <w:rFonts w:hint="eastAsia"/>
          <w:lang w:eastAsia="zh-CN"/>
        </w:rPr>
        <w:t>作出</w:t>
      </w:r>
      <w:r>
        <w:t>贡献。</w:t>
      </w:r>
    </w:p>
    <w:p>
      <w:pPr>
        <w:pStyle w:val="23"/>
      </w:pPr>
      <w:r>
        <w:t>一、强化政治能力建设，不断增强政治意识</w:t>
      </w:r>
    </w:p>
    <w:p>
      <w:pPr>
        <w:pStyle w:val="23"/>
      </w:pPr>
      <w:r>
        <w:t>坚决扛起办公室政治机关职能，在保证县委机关正常、高效运转的同时，把主要时间和精力集中在服务改革发展稳定的大局上来。一方面，提高站位，抬高标尺。充分发挥办公室的核心枢纽作用，将推动县委决策部署落地落实作为第一要务，健全督促检查工作制度和运行制度，确保各项工作顺利进行。对未达到节点要求的严格执行奖惩措施，全力推进县委决策部署落地落实。另一方面，改进服务，主动作为。坚持聚焦中心、服务大局，紧盯党委领导的关注点、群众意见的集中点，超前研究、深入思考，及时组织力量深入基层开展调研，查问题、访民意、摸 实情，为领导决策提供第一手资料和多方位参考。</w:t>
      </w:r>
    </w:p>
    <w:p>
      <w:pPr>
        <w:pStyle w:val="23"/>
      </w:pPr>
      <w:r>
        <w:t>二、强化思想能力建设，提升履职尽责能力</w:t>
      </w:r>
    </w:p>
    <w:p>
      <w:pPr>
        <w:pStyle w:val="23"/>
      </w:pPr>
      <w:r>
        <w:t>树立“100-1=0”“文经我手无差错，事交我办请放心”和“不贰过”思想，将“零差错、零失误、零容忍、零缺陷”理念贯穿工作全过程。一是增强业务本领，提高工作水平。将业务能力提升作为工作质效提升的基础和前提，通过轮岗锻炼、交叉学习等方式开展业务能力大练兵活动，灵活提高全体人员业务水平和综合能力，从源头出发全力防范错误发生。二是强化精品意识，提高工作标准。坚持精益求精，主动对标先进，要求科室人员强化精品意识和细节意识，养成严肃、严格、严谨对待工作的习惯，自觉杜绝“差不多”，高标准完成领导交办的每一项任务。三是严格考核奖惩，改进工作作风。建立健全合理的奖惩机制，定期对各科室、各岗位工作实绩、问题短板等正反两方面表现进行梳理统计，及时总结成功经验、查找问题原因，在表扬先进的同时适时对问题较多的科室或个人进行剖析，举一反三，全面消除业务短板和工作漏洞，实现办公零差错、办会零失误、办事零缺陷、失职零容忍。</w:t>
      </w:r>
    </w:p>
    <w:p>
      <w:pPr>
        <w:pStyle w:val="23"/>
      </w:pPr>
      <w:r>
        <w:t>三、强化创新能力建设，夯实高质量发展基础</w:t>
      </w:r>
    </w:p>
    <w:p>
      <w:pPr>
        <w:pStyle w:val="23"/>
      </w:pPr>
      <w:r>
        <w:t>以建设创新型机关为目标，把创新理念融入各项工作，不断拓展服务内容，优化服务方式，提高服务效率，增强工作的主动性、预见性和创造性。一是创新“办文”方式，提高“办文”水平。要进一步规范公文起草程序，围绕县委重点工作，深入开展调查研究，提高文稿质量。二是创新“办会”方式，提高“办会”质量。按照精简高效的原则统筹安排好各类会议，合理精简会议程序，控制会议时间和参加人员，同时要按照有利于了解情况、解决问题的原则开放办会，提高工作效率和工作质量。三是创新“办事”方式，提高“办事”效率。要处理好事务工作和政务工作、短线工作和长线工作的关系，着眼于抓大事、谋全局、当高参的目标，用新的思路、办法和举措积极主动地开展工作。</w:t>
      </w:r>
    </w:p>
    <w:p>
      <w:pPr>
        <w:pStyle w:val="23"/>
      </w:pPr>
      <w:r>
        <w:t>四、强化作风能力建设，持续提升工作效能</w:t>
      </w:r>
    </w:p>
    <w:p>
      <w:pPr>
        <w:pStyle w:val="23"/>
      </w:pPr>
      <w:r>
        <w:t>一是明确责任分工，压实岗位责任。一以贯之推进“科长负责制”和“岗位负责制”，通过定人、定岗、定责，明确各科室、各岗位职责分工，严防不同科室、不同人员之间推诿扯皮、互相推脱。二是完善制度机制，增强干部管理。进一步建立健全办公室内部管理制度，结合办公室各科室职能定位，落实好业务流程、岗位规范、操作标准和办理时限，严格按照相关要求执行落实，对工作疲沓、落实不力、执行缓慢的，视情节进行批评或惩戒。三是建立问题台账，狠抓整改落实。建立办公室问题整改清单，明确责任科室（人员）、整改要求和完成时限，按照进度要求定期督导要账，实时查看整改进展，并于问题整改完成后及时组织开展“回头看”，坚决将问题整改到位，防止死灰复燃、问题回潮。</w:t>
      </w:r>
    </w:p>
    <w:p>
      <w:pPr>
        <w:pStyle w:val="23"/>
      </w:pPr>
      <w:r>
        <w:t>五、强化纪律能力建设，锻造过硬干部队伍</w:t>
      </w:r>
    </w:p>
    <w:p>
      <w:pPr>
        <w:pStyle w:val="23"/>
      </w:pPr>
      <w:r>
        <w:t>一方面，强化纪律执行，严格人员管理。完善办公室工作考核评议制度，定期开展纪律警示教育，强化各科室人员纪律意识、规矩意识，要求办公室上下认真遵守党章党规和请销假等制度。每周对全体人员考勤签到、值班带班等相关纪律遵守情况进行统计、通报，列出问题清单和整改要求，并视情况安排问题人员作检查，以案示警。另一方面，加强保密教育，增强保密意识。用好理论中心组学习会议等制度，通过定期组织观看保密宣传片、泄密案件通报等途径常态化开展保密警示教育，增强全体人员保密意识，切实加强对重点科室涉密信息系统的运行维护的监督管理和涉密文件资料的接收、登记、保管、传阅和销毁等工作的监督管理。</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2023年，中共隆尧县委办公室工作的指导思想是：以习近平新时代中国特色社会主义思想为指导，全面学习贯彻落实党的二十大精神，认真落实省委十届三次全会、市委十届五次全会精神和县委十二届三次全会要求，解放思想、奋发进取，严纪律、优作风、强落实，不断提升“三服务”水平，继续当好县委的“坚强前哨”和“巩固后院”，扎实推进高质量赶超发展 “狠抓落实、大干实事、奋发进取、争创一流”作风，以招商选资和项目建设为重点，以深化改革和创新驱动为动力，突出工作重点、创新工作举措、提升工作实效，认真履行参谋、服务、协调三大职能，把办公室打造成参之有道、谋之有策的“参谋部”，协调有力、统筹得力的“指挥部”，敢打硬仗、能打胜仗的“作战部”，全心全力服务县委决策、服务发展大局，在推动隆尧高质量赶超发展中争创新业绩、展现新形象，为“建设经济强县、美丽隆尧”</w:t>
      </w:r>
      <w:r>
        <w:rPr>
          <w:rFonts w:hint="eastAsia"/>
          <w:lang w:eastAsia="zh-CN"/>
        </w:rPr>
        <w:t>作</w:t>
      </w:r>
      <w:r>
        <w:t>出贡献。</w:t>
      </w:r>
    </w:p>
    <w:p>
      <w:pPr>
        <w:pStyle w:val="24"/>
      </w:pPr>
      <w:r>
        <w:t>具体发展规划目标如下：</w:t>
      </w:r>
    </w:p>
    <w:p>
      <w:pPr>
        <w:pStyle w:val="24"/>
      </w:pPr>
      <w:r>
        <w:t>1、综合文字工作。起草、整理、印发各类文稿480余篇，其中：领导讲话150余篇，常委会议纪要60余期，领导议事纪要50余期，办公室通报50余期，主持词90多篇，县委文件、县委办文件180余份。</w:t>
      </w:r>
    </w:p>
    <w:p>
      <w:pPr>
        <w:pStyle w:val="24"/>
      </w:pPr>
      <w:r>
        <w:t>2、调研工作。围绕县委总体工作部署开展综合调研，收集和处理信息、反映动态；承担县委重要工作部署贯彻落实的督导检查，上级领导和县委领导批示件的传达和催办落实。准备就做好深入开展学习党的二十大精神和机关作风建设年活动等工作进行调研，预计调研40余次。</w:t>
      </w:r>
    </w:p>
    <w:p>
      <w:pPr>
        <w:pStyle w:val="24"/>
      </w:pPr>
      <w:r>
        <w:t>3、信息工作。2023年，县委办信息中心将以坚持“主动超前、报送亮点、推广典型、宣传隆尧”的宗旨，以争创一流为目标，紧紧围绕县委中心工作，密切跟踪京津冀协同发展、深化改革、防范化解重大风险、精准脱贫、污染防治三大攻坚战、新型城镇化建设、乡村振兴、农村人居环境整治等重点工作，通过“五个加大”，即加大信息工作调度力度、加大信息约稿力度、加大跟班培训力度、加大县乡联合调研力度、加大信息采用情况通报考核力度等途径，整合全县信息资源，及时反映全县经济社会发展的最新成就、创新做法和先进经验，全面提升信息服务党委科学决策的层次和水平，以新的气象、新的状态、新的业绩，为建设经济强县、美丽隆尧</w:t>
      </w:r>
      <w:r>
        <w:rPr>
          <w:rFonts w:hint="eastAsia"/>
          <w:lang w:eastAsia="zh-CN"/>
        </w:rPr>
        <w:t>作</w:t>
      </w:r>
      <w:bookmarkStart w:id="18" w:name="_GoBack"/>
      <w:bookmarkEnd w:id="18"/>
      <w:r>
        <w:t>出新的贡献。</w:t>
      </w:r>
    </w:p>
    <w:p>
      <w:pPr>
        <w:pStyle w:val="24"/>
      </w:pPr>
      <w:r>
        <w:t>4、督查与纠风工作工作。准备组织专项督查100余次，编发《督查通报》、《督查专报》90余期。印制深化纠正“四风”文件30余期，每期160份，印发深化纠正“四风”工作简报30余期。</w:t>
      </w:r>
    </w:p>
    <w:p>
      <w:pPr>
        <w:pStyle w:val="24"/>
      </w:pPr>
      <w:r>
        <w:t>（1）着力抓好决策督查。全年计划组织开展3-5次有影响、有震动的督查活动，提前制定督查预案，明确工作分工，形成督查合力，推动工作落实，确保中央和省市县委各项决策部署得到不折不扣落实。</w:t>
      </w:r>
    </w:p>
    <w:p>
      <w:pPr>
        <w:pStyle w:val="24"/>
      </w:pPr>
      <w:r>
        <w:t>（2）着力抓好专项督查。及时建立跟踪督导台账，对领导批示件明确具体牵头单位和责任单位，定期督导要账，确保领导批示问题件件有着落、事事有回音，专项督查取得更好效果。</w:t>
      </w:r>
    </w:p>
    <w:p>
      <w:pPr>
        <w:pStyle w:val="24"/>
      </w:pPr>
      <w:r>
        <w:t xml:space="preserve">（3）着力抓好综合督查。按照全年重点工作分解表安排，逐项对照抓落实，确保工作进展成效明显。对阶段性部署工作，注重既看当前，又看长远，特别是大气污染防治、违法占地清理、植树造林等工作，确保各项工作全部落实到位。 </w:t>
      </w:r>
    </w:p>
    <w:p>
      <w:pPr>
        <w:pStyle w:val="24"/>
      </w:pPr>
      <w:r>
        <w:t>5、值班和公文办理工作。继续强化值班工作责任制，认真做好上传下达，开展公文办理培训，提高工作水平,争取做到零失误。</w:t>
      </w:r>
    </w:p>
    <w:p>
      <w:pPr>
        <w:pStyle w:val="24"/>
      </w:pPr>
      <w:r>
        <w:t>6、党委系统公务内网建设与维护。确保全县党政网高效运行。保障网络通信畅通，对党委系统计算机信息网络等进行规划、管理、维护和人员培训。</w:t>
      </w:r>
    </w:p>
    <w:p>
      <w:pPr>
        <w:pStyle w:val="24"/>
      </w:pPr>
      <w:r>
        <w:t>7、公文规范化管理。认真贯彻《公文规范化管理条件》，做好公文的编发和审核工作以及人员培训工作，让我县的公文规范化工作跃上一个新台阶。</w:t>
      </w:r>
    </w:p>
    <w:p>
      <w:pPr>
        <w:pStyle w:val="24"/>
        <w:rPr>
          <w:rFonts w:hint="eastAsia" w:eastAsia="方正仿宋_GBK"/>
          <w:lang w:eastAsia="zh-CN"/>
        </w:rPr>
      </w:pPr>
      <w:r>
        <w:t>8、</w:t>
      </w:r>
      <w:r>
        <w:rPr>
          <w:rFonts w:hint="eastAsia"/>
          <w:lang w:eastAsia="zh-CN"/>
        </w:rPr>
        <w:t>（涉密）</w:t>
      </w:r>
    </w:p>
    <w:p>
      <w:pPr>
        <w:pStyle w:val="24"/>
      </w:pPr>
      <w:r>
        <w:t>9、接待和会议工作。做好大型会议和活动组织安排、公务接待等。准备定期培训一批专业接待人员，提高全县的接待水平。</w:t>
      </w:r>
    </w:p>
    <w:p>
      <w:pPr>
        <w:pStyle w:val="24"/>
      </w:pPr>
      <w:r>
        <w:t>10、后勤保障工作。维修和美化办公区，改善机关办公条件，维护机关形象，使包括县委办在内的进驻各单位能够正常办公。</w:t>
      </w:r>
    </w:p>
    <w:p>
      <w:pPr>
        <w:pStyle w:val="24"/>
      </w:pPr>
      <w:r>
        <w:t>11、机关事务管理工作。贯彻落实中办《党政机关公务用车管理办法》，加强公车服务平台建设，认真做好事业单位公车改革工作;贯彻落实中办《党政机关办公用房管理办法》，加强党政机关办公用房管理、调配工作;做好全县公共机构节能工作。</w:t>
      </w:r>
    </w:p>
    <w:p>
      <w:pPr>
        <w:pStyle w:val="24"/>
      </w:pPr>
      <w:r>
        <w:t>12、改革办工作。组织开展全县全面深化改革重大问题的政策研究，每月通报改革进展情况，及时编制年度改革进展和评估报告。</w:t>
      </w:r>
    </w:p>
    <w:p>
      <w:pPr>
        <w:pStyle w:val="24"/>
      </w:pPr>
      <w:r>
        <w:t>13、城建专班专项工作。统筹、督查全县城市建设工作，保障各项工程任务有序推进，协调相关单位解决难点问题，助力隆尧城乡建设工作。一是统筹全县城市建设工作，研究分析城市建设工作重点难点问题，明确重点工作任务，强化推进措施，保障各项工程任务有序、高效推进。二是定期组织召开城市建设工作调度会，听取各项工作任务进展情况汇报，掌握工作进度。针对工作推进中的难点堵点，组织协调相关单位研究解决办法，强力推进城中村改造、城市基础设施建设等方面的工作。三是加强对城市建设工作的督查，并及时通报各项工作任务进展情况，力促各项工作任务扎实高效开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2023年，中共隆尧县委办公室工作的指导思想是：以习近平新时代中国特色社会主义思想为指导，全面学习贯彻落实党的二十大精神，认真落实省委十届三次全会、市委十届五次全会精神和县委十二届三次全会要求，解放思想、奋发进取，严纪律、优作风、强落实，不断提升“三服务”水平，继续当好县委的“坚强前哨”和“巩固后院”，扎实推进高质量赶超发展 “狠抓落实、大干实事、奋发进取、争创一流”作风，以招商选资和项目建设为重点，以深化改革和创新驱动为动力，突出工作重点、创新工作举措、提升工作实效，认真履行参谋、服务、协调三大职能，把办公室打造成参之有道、谋之有策的“参谋部”，协调有力、统筹得力的“指挥部”，敢打硬仗、能打胜仗的“作战部”，全心全力服务县委决策、服务发展大局，在推动隆尧高质量赶超发展中争创新业绩、展现新形象，为“建设经济强县、美丽隆尧”</w:t>
      </w:r>
      <w:r>
        <w:rPr>
          <w:rFonts w:hint="eastAsia"/>
          <w:lang w:eastAsia="zh-CN"/>
        </w:rPr>
        <w:t>作</w:t>
      </w:r>
      <w:r>
        <w:t>出贡献。</w:t>
      </w:r>
    </w:p>
    <w:p>
      <w:pPr>
        <w:pStyle w:val="25"/>
      </w:pPr>
      <w:r>
        <w:t>突出抓好以下几方面的工作：</w:t>
      </w:r>
    </w:p>
    <w:p>
      <w:pPr>
        <w:pStyle w:val="25"/>
      </w:pPr>
      <w:r>
        <w:t>——以文辅政再提升。突出抓好综合文字、信息调研等文稿的起草、报送和推介工作，力争各类文稿在省市叫得响，在县内有影响，在服务决策、服务领导、服务基层上再上新台阶。</w:t>
      </w:r>
    </w:p>
    <w:p>
      <w:pPr>
        <w:pStyle w:val="25"/>
      </w:pPr>
      <w:r>
        <w:t>——督促检查再深化。围绕决策——督办——落实——考核——奖惩——用人各个环节的工作，研究探索督查考核一体、督考用人联动新机制，进一步强化督促检查在抓落实中的关键性作用。</w:t>
      </w:r>
    </w:p>
    <w:p>
      <w:pPr>
        <w:pStyle w:val="25"/>
      </w:pPr>
      <w:r>
        <w:t>——后勤保障再加强。进一步加大机关事务性工作建设力度，大力改善办公条件，为机关干部提供更加舒心、更加优越的办公环境。进一步加快公车改革步伐，尽快完成公车服务平台建设，进一步提升接待工作水平，展示隆尧接待新形象。</w:t>
      </w:r>
    </w:p>
    <w:p>
      <w:pPr>
        <w:pStyle w:val="25"/>
      </w:pPr>
      <w:r>
        <w:t>——会务工作再规范。进一步强化会务预案、会议细节等环节的工作，规范提升会务工作水平。</w:t>
      </w:r>
    </w:p>
    <w:p>
      <w:pPr>
        <w:pStyle w:val="25"/>
      </w:pPr>
      <w:r>
        <w:t>——队伍建设再严实。进一步强化“强身健体、强筋壮骨”理念，突出政治和业务两手抓，用习近平新时代中国特色社会主义思想武装全室党员干部头脑，用“五个绝对忠诚”强化“四个意识”，用业务能力提升强化办公室工作水平,致力打造一支拿得出、冲得上、瞄得准、能征善战、战必能胜的办公室队伍。</w:t>
      </w:r>
    </w:p>
    <w:p>
      <w:pPr>
        <w:pStyle w:val="25"/>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本年度无专项资金。</w:t>
      </w:r>
    </w:p>
    <w:p>
      <w:pPr>
        <w:spacing w:before="0" w:after="0"/>
        <w:ind w:firstLine="643" w:firstLineChars="200"/>
        <w:jc w:val="left"/>
        <w:outlineLvl w:val="9"/>
        <w:rPr>
          <w:rFonts w:ascii="方正仿宋_GBK" w:hAnsi="方正仿宋_GBK" w:eastAsia="方正仿宋_GBK" w:cs="方正仿宋_GBK"/>
          <w:b/>
          <w:color w:val="000000"/>
          <w:sz w:val="28"/>
        </w:r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rPr>
          <w:rFonts w:hint="eastAsia" w:eastAsia="方正仿宋_GBK"/>
          <w:lang w:eastAsia="zh-CN"/>
        </w:rPr>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涉密</w:t>
      </w:r>
    </w:p>
    <w:tbl>
      <w:tblPr>
        <w:tblStyle w:val="6"/>
        <w:tblpPr w:leftFromText="180" w:rightFromText="180" w:vertAnchor="text" w:horzAnchor="page" w:tblpX="1128" w:tblpY="537"/>
        <w:tblOverlap w:val="never"/>
        <w:tblW w:w="14798" w:type="dxa"/>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pPr>
        <w:spacing w:before="0" w:after="0"/>
        <w:ind w:firstLine="560"/>
        <w:jc w:val="left"/>
        <w:outlineLvl w:val="9"/>
      </w:pPr>
      <w:r>
        <w:rPr>
          <w:rFonts w:ascii="方正仿宋_GBK" w:hAnsi="方正仿宋_GBK" w:eastAsia="方正仿宋_GBK" w:cs="方正仿宋_GBK"/>
          <w:b/>
          <w:color w:val="000000"/>
          <w:sz w:val="28"/>
        </w:rPr>
        <w:t>2、城建专班专项工作经费绩效目标表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1.目标内容：协调城乡工作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调度城乡建设工作进度</w:t>
            </w:r>
          </w:p>
        </w:tc>
        <w:tc>
          <w:tcPr>
            <w:tcW w:w="2466" w:type="dxa"/>
            <w:vAlign w:val="center"/>
          </w:tcPr>
          <w:p>
            <w:pPr>
              <w:pStyle w:val="14"/>
            </w:pPr>
            <w:r>
              <w:t>调度城乡建设工作进度数量次数占总次数百分比</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≥98百分比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对城乡建设工作按时督导达效次数占总次数比率</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≤100预算资金百分比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≥80百分比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3、督查调研和纠风工作经费绩效目标表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1.目标内容：督查各项工作落实到位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督查次数占应督查数量比率</w:t>
            </w:r>
          </w:p>
        </w:tc>
        <w:tc>
          <w:tcPr>
            <w:tcW w:w="2466" w:type="dxa"/>
            <w:vAlign w:val="center"/>
          </w:tcPr>
          <w:p>
            <w:pPr>
              <w:pStyle w:val="14"/>
            </w:pPr>
            <w:r>
              <w:t>≥98百分比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促进落实率</w:t>
            </w:r>
          </w:p>
        </w:tc>
        <w:tc>
          <w:tcPr>
            <w:tcW w:w="2466" w:type="dxa"/>
            <w:vAlign w:val="center"/>
          </w:tcPr>
          <w:p>
            <w:pPr>
              <w:pStyle w:val="14"/>
            </w:pPr>
            <w:r>
              <w:t>督查工作落实到位数量占总数量比率</w:t>
            </w:r>
          </w:p>
        </w:tc>
        <w:tc>
          <w:tcPr>
            <w:tcW w:w="2466" w:type="dxa"/>
            <w:vAlign w:val="center"/>
          </w:tcPr>
          <w:p>
            <w:pPr>
              <w:pStyle w:val="14"/>
            </w:pPr>
            <w:r>
              <w:t>≥96百分比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及时督查工作任务量占总量比率</w:t>
            </w:r>
          </w:p>
        </w:tc>
        <w:tc>
          <w:tcPr>
            <w:tcW w:w="2466" w:type="dxa"/>
            <w:vAlign w:val="center"/>
          </w:tcPr>
          <w:p>
            <w:pPr>
              <w:pStyle w:val="14"/>
            </w:pPr>
            <w:r>
              <w:t>≥97百分比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≤100年初预算百分比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贡献率</w:t>
            </w:r>
          </w:p>
        </w:tc>
        <w:tc>
          <w:tcPr>
            <w:tcW w:w="2466" w:type="dxa"/>
            <w:vAlign w:val="center"/>
          </w:tcPr>
          <w:p>
            <w:pPr>
              <w:pStyle w:val="14"/>
            </w:pPr>
            <w:r>
              <w:t>反映督查调研对全县经济发展的拉动作用</w:t>
            </w:r>
          </w:p>
        </w:tc>
        <w:tc>
          <w:tcPr>
            <w:tcW w:w="2466" w:type="dxa"/>
            <w:vAlign w:val="center"/>
          </w:tcPr>
          <w:p>
            <w:pPr>
              <w:pStyle w:val="14"/>
            </w:pPr>
            <w:r>
              <w:t>≥95百分比</w:t>
            </w:r>
          </w:p>
        </w:tc>
        <w:tc>
          <w:tcPr>
            <w:tcW w:w="2466" w:type="dxa"/>
            <w:vAlign w:val="center"/>
          </w:tcPr>
          <w:p>
            <w:pPr>
              <w:pStyle w:val="14"/>
            </w:pPr>
            <w:r>
              <w:t>工作职责标准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领导满意率</w:t>
            </w:r>
          </w:p>
        </w:tc>
        <w:tc>
          <w:tcPr>
            <w:tcW w:w="2466" w:type="dxa"/>
            <w:vAlign w:val="center"/>
          </w:tcPr>
          <w:p>
            <w:pPr>
              <w:pStyle w:val="14"/>
            </w:pPr>
            <w:r>
              <w:t>反映领导对督查工作的肯定情况</w:t>
            </w:r>
          </w:p>
        </w:tc>
        <w:tc>
          <w:tcPr>
            <w:tcW w:w="2466" w:type="dxa"/>
            <w:vAlign w:val="center"/>
          </w:tcPr>
          <w:p>
            <w:pPr>
              <w:pStyle w:val="14"/>
            </w:pPr>
            <w:r>
              <w:t>≥98百分比</w:t>
            </w:r>
          </w:p>
        </w:tc>
        <w:tc>
          <w:tcPr>
            <w:tcW w:w="2466" w:type="dxa"/>
            <w:vAlign w:val="center"/>
          </w:tcPr>
          <w:p>
            <w:pPr>
              <w:pStyle w:val="14"/>
            </w:pPr>
            <w:r>
              <w:t>工作职责标准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4、改革办经费绩效目标表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1.目标内容：督促检查各单位改革进展情况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领导批示率</w:t>
            </w:r>
          </w:p>
        </w:tc>
        <w:tc>
          <w:tcPr>
            <w:tcW w:w="2466" w:type="dxa"/>
            <w:vAlign w:val="center"/>
          </w:tcPr>
          <w:p>
            <w:pPr>
              <w:pStyle w:val="14"/>
            </w:pPr>
            <w:r>
              <w:t>反映领导对调研成果的肯定情况</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促进完成率</w:t>
            </w:r>
          </w:p>
        </w:tc>
        <w:tc>
          <w:tcPr>
            <w:tcW w:w="2466" w:type="dxa"/>
            <w:vAlign w:val="center"/>
          </w:tcPr>
          <w:p>
            <w:pPr>
              <w:pStyle w:val="14"/>
            </w:pPr>
            <w:r>
              <w:t>反映促进改革任务完成数量占总数量百分率</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反映及时高效促进居改革任务完成数量占总量百分率</w:t>
            </w:r>
          </w:p>
        </w:tc>
        <w:tc>
          <w:tcPr>
            <w:tcW w:w="2466" w:type="dxa"/>
            <w:vAlign w:val="center"/>
          </w:tcPr>
          <w:p>
            <w:pPr>
              <w:pStyle w:val="14"/>
            </w:pPr>
            <w:r>
              <w:t>≥96百分比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控制成本</w:t>
            </w:r>
          </w:p>
        </w:tc>
        <w:tc>
          <w:tcPr>
            <w:tcW w:w="2466" w:type="dxa"/>
            <w:vAlign w:val="center"/>
          </w:tcPr>
          <w:p>
            <w:pPr>
              <w:pStyle w:val="14"/>
            </w:pPr>
            <w:r>
              <w:t>≤100年初预算百分比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编制评估报告率</w:t>
            </w:r>
          </w:p>
        </w:tc>
        <w:tc>
          <w:tcPr>
            <w:tcW w:w="2466" w:type="dxa"/>
            <w:vAlign w:val="center"/>
          </w:tcPr>
          <w:p>
            <w:pPr>
              <w:pStyle w:val="14"/>
            </w:pPr>
            <w:r>
              <w:t>反映对年度改革进展和评估报告编制情况</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领导满意度</w:t>
            </w:r>
          </w:p>
        </w:tc>
        <w:tc>
          <w:tcPr>
            <w:tcW w:w="2466" w:type="dxa"/>
            <w:vAlign w:val="center"/>
          </w:tcPr>
          <w:p>
            <w:pPr>
              <w:pStyle w:val="14"/>
            </w:pPr>
            <w:r>
              <w:t>反映领导对促进改革任务完成工作的肯定情况</w:t>
            </w:r>
          </w:p>
        </w:tc>
        <w:tc>
          <w:tcPr>
            <w:tcW w:w="2466" w:type="dxa"/>
            <w:vAlign w:val="center"/>
          </w:tcPr>
          <w:p>
            <w:pPr>
              <w:pStyle w:val="14"/>
            </w:pPr>
            <w:r>
              <w:t>≥97百分比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5、广电网络视频会议县级分会场升级改造工程绩效目标表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1.目标内容：保障视频会议取景规范、会议正常进行。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保障系统正常使用次数占总会议次数比例</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高质量比率</w:t>
            </w:r>
          </w:p>
        </w:tc>
        <w:tc>
          <w:tcPr>
            <w:tcW w:w="2466" w:type="dxa"/>
            <w:vAlign w:val="center"/>
          </w:tcPr>
          <w:p>
            <w:pPr>
              <w:pStyle w:val="14"/>
            </w:pPr>
            <w:r>
              <w:t>高质量保障系统正常使用次数占总会议次数比例</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及时保障率</w:t>
            </w:r>
          </w:p>
        </w:tc>
        <w:tc>
          <w:tcPr>
            <w:tcW w:w="2466" w:type="dxa"/>
            <w:vAlign w:val="center"/>
          </w:tcPr>
          <w:p>
            <w:pPr>
              <w:pStyle w:val="14"/>
            </w:pPr>
            <w:r>
              <w:t>及时高效保障会议正常进行比率</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≤100百分比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公共服务水平提升情况</w:t>
            </w:r>
          </w:p>
        </w:tc>
        <w:tc>
          <w:tcPr>
            <w:tcW w:w="2466" w:type="dxa"/>
            <w:vAlign w:val="center"/>
          </w:tcPr>
          <w:p>
            <w:pPr>
              <w:pStyle w:val="14"/>
            </w:pPr>
            <w:r>
              <w:t>≥97百分比</w:t>
            </w:r>
          </w:p>
        </w:tc>
        <w:tc>
          <w:tcPr>
            <w:tcW w:w="2466" w:type="dxa"/>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参会人员满意率</w:t>
            </w:r>
          </w:p>
        </w:tc>
        <w:tc>
          <w:tcPr>
            <w:tcW w:w="2466" w:type="dxa"/>
            <w:vAlign w:val="center"/>
          </w:tcPr>
          <w:p>
            <w:pPr>
              <w:pStyle w:val="14"/>
            </w:pPr>
            <w:r>
              <w:t>≥97百分比</w:t>
            </w:r>
          </w:p>
        </w:tc>
        <w:tc>
          <w:tcPr>
            <w:tcW w:w="2466" w:type="dxa"/>
            <w:vAlign w:val="center"/>
          </w:tcPr>
          <w:p>
            <w:pPr>
              <w:pStyle w:val="14"/>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eastAsia="方正仿宋_GBK"/>
          <w:lang w:eastAsia="zh-CN"/>
        </w:rPr>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CN"/>
        </w:rPr>
        <w:t>涉密</w:t>
      </w:r>
    </w:p>
    <w:p>
      <w:pPr>
        <w:spacing w:before="0" w:after="0"/>
        <w:ind w:firstLine="560"/>
        <w:jc w:val="left"/>
        <w:outlineLvl w:val="9"/>
      </w:pPr>
      <w:r>
        <w:rPr>
          <w:rFonts w:ascii="方正仿宋_GBK" w:hAnsi="方正仿宋_GBK" w:eastAsia="方正仿宋_GBK" w:cs="方正仿宋_GBK"/>
          <w:b/>
          <w:color w:val="000000"/>
          <w:sz w:val="28"/>
        </w:rPr>
        <w:t>7、机关运行费用绩效目标表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1.目标内容：优质高效做好县委办后勤保障工作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反映保障机关正常运转情况</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高质量完成率</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及时保障机关正常运转占总体情况比率</w:t>
            </w:r>
          </w:p>
        </w:tc>
        <w:tc>
          <w:tcPr>
            <w:tcW w:w="2466" w:type="dxa"/>
            <w:vAlign w:val="center"/>
          </w:tcPr>
          <w:p>
            <w:pPr>
              <w:pStyle w:val="14"/>
            </w:pPr>
            <w:r>
              <w:t>100百分比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≤100年初预算百分比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机关工作正常运转率</w:t>
            </w:r>
          </w:p>
        </w:tc>
        <w:tc>
          <w:tcPr>
            <w:tcW w:w="2466" w:type="dxa"/>
            <w:vAlign w:val="center"/>
          </w:tcPr>
          <w:p>
            <w:pPr>
              <w:pStyle w:val="14"/>
            </w:pPr>
            <w:r>
              <w:t>反映保障机关正常开展情况</w:t>
            </w:r>
          </w:p>
        </w:tc>
        <w:tc>
          <w:tcPr>
            <w:tcW w:w="2466" w:type="dxa"/>
            <w:vAlign w:val="center"/>
          </w:tcPr>
          <w:p>
            <w:pPr>
              <w:pStyle w:val="14"/>
            </w:pPr>
            <w:r>
              <w:t>≥99百分比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反映机关人员满意率</w:t>
            </w:r>
          </w:p>
        </w:tc>
        <w:tc>
          <w:tcPr>
            <w:tcW w:w="2466" w:type="dxa"/>
            <w:vAlign w:val="center"/>
          </w:tcPr>
          <w:p>
            <w:pPr>
              <w:pStyle w:val="14"/>
            </w:pPr>
            <w:r>
              <w:t>≥98百分比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eastAsia="方正仿宋_GBK"/>
          <w:lang w:eastAsia="zh-CN"/>
        </w:rPr>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CN"/>
        </w:rPr>
        <w:t>涉密</w:t>
      </w:r>
    </w:p>
    <w:p>
      <w:pPr>
        <w:spacing w:before="0" w:after="0"/>
        <w:ind w:firstLine="560"/>
        <w:jc w:val="left"/>
        <w:outlineLvl w:val="9"/>
      </w:pPr>
      <w:r>
        <w:rPr>
          <w:rFonts w:ascii="方正仿宋_GBK" w:hAnsi="方正仿宋_GBK" w:eastAsia="方正仿宋_GBK" w:cs="方正仿宋_GBK"/>
          <w:b/>
          <w:color w:val="000000"/>
          <w:sz w:val="28"/>
        </w:rPr>
        <w:t>9、县委公文运转绩效目标表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1.目标内容：优质高效完成公文起草、撰写工作及领导交办的其他工任务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领导交办事项数量完成率</w:t>
            </w:r>
          </w:p>
        </w:tc>
        <w:tc>
          <w:tcPr>
            <w:tcW w:w="2466" w:type="dxa"/>
            <w:vAlign w:val="center"/>
          </w:tcPr>
          <w:p>
            <w:pPr>
              <w:pStyle w:val="14"/>
            </w:pPr>
            <w:r>
              <w:t>≥100百分比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差错率</w:t>
            </w:r>
          </w:p>
        </w:tc>
        <w:tc>
          <w:tcPr>
            <w:tcW w:w="2466" w:type="dxa"/>
            <w:vAlign w:val="center"/>
          </w:tcPr>
          <w:p>
            <w:pPr>
              <w:pStyle w:val="14"/>
            </w:pPr>
            <w:r>
              <w:t>出现差错情况数量占工作总量比例</w:t>
            </w:r>
          </w:p>
        </w:tc>
        <w:tc>
          <w:tcPr>
            <w:tcW w:w="2466" w:type="dxa"/>
            <w:vAlign w:val="center"/>
          </w:tcPr>
          <w:p>
            <w:pPr>
              <w:pStyle w:val="14"/>
            </w:pPr>
            <w:r>
              <w:t>≤5百分比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及时完成率</w:t>
            </w:r>
          </w:p>
        </w:tc>
        <w:tc>
          <w:tcPr>
            <w:tcW w:w="2466" w:type="dxa"/>
            <w:vAlign w:val="center"/>
          </w:tcPr>
          <w:p>
            <w:pPr>
              <w:pStyle w:val="14"/>
            </w:pPr>
            <w:r>
              <w:t>及时完成任务数量占完成工作总量比例</w:t>
            </w:r>
          </w:p>
        </w:tc>
        <w:tc>
          <w:tcPr>
            <w:tcW w:w="2466" w:type="dxa"/>
            <w:vAlign w:val="center"/>
          </w:tcPr>
          <w:p>
            <w:pPr>
              <w:pStyle w:val="14"/>
            </w:pPr>
            <w:r>
              <w:t>≥98百分比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总成本控制</w:t>
            </w:r>
          </w:p>
        </w:tc>
        <w:tc>
          <w:tcPr>
            <w:tcW w:w="2466" w:type="dxa"/>
            <w:vAlign w:val="center"/>
          </w:tcPr>
          <w:p>
            <w:pPr>
              <w:pStyle w:val="14"/>
            </w:pPr>
            <w:r>
              <w:t>总成本控制</w:t>
            </w:r>
          </w:p>
        </w:tc>
        <w:tc>
          <w:tcPr>
            <w:tcW w:w="2466" w:type="dxa"/>
            <w:vAlign w:val="center"/>
          </w:tcPr>
          <w:p>
            <w:pPr>
              <w:pStyle w:val="14"/>
            </w:pPr>
            <w:r>
              <w:t>≤100百分比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社会氛围</w:t>
            </w:r>
          </w:p>
        </w:tc>
        <w:tc>
          <w:tcPr>
            <w:tcW w:w="2466" w:type="dxa"/>
            <w:vAlign w:val="center"/>
          </w:tcPr>
          <w:p>
            <w:pPr>
              <w:pStyle w:val="14"/>
            </w:pPr>
            <w:r>
              <w:t>社会氛围</w:t>
            </w:r>
          </w:p>
        </w:tc>
        <w:tc>
          <w:tcPr>
            <w:tcW w:w="2466" w:type="dxa"/>
            <w:vAlign w:val="center"/>
          </w:tcPr>
          <w:p>
            <w:pPr>
              <w:pStyle w:val="14"/>
            </w:pPr>
            <w:r>
              <w:t>≥95百分比</w:t>
            </w:r>
          </w:p>
        </w:tc>
        <w:tc>
          <w:tcPr>
            <w:tcW w:w="2466" w:type="dxa"/>
            <w:vAlign w:val="center"/>
          </w:tcPr>
          <w:p>
            <w:pPr>
              <w:pStyle w:val="14"/>
            </w:pPr>
            <w:r>
              <w:t>工作性质及职责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≥98百分比</w:t>
            </w:r>
          </w:p>
        </w:tc>
        <w:tc>
          <w:tcPr>
            <w:tcW w:w="2466" w:type="dxa"/>
            <w:vAlign w:val="center"/>
          </w:tcPr>
          <w:p>
            <w:pPr>
              <w:pStyle w:val="14"/>
            </w:pPr>
            <w:r>
              <w:t>工作性质及职责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10、县委公务接待活动绩效目标表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1.目标内容：严格执行接待标准，优质高效完成县委接待任务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执行标准率</w:t>
            </w:r>
          </w:p>
        </w:tc>
        <w:tc>
          <w:tcPr>
            <w:tcW w:w="2466" w:type="dxa"/>
            <w:vAlign w:val="center"/>
          </w:tcPr>
          <w:p>
            <w:pPr>
              <w:pStyle w:val="14"/>
            </w:pPr>
            <w:r>
              <w:t>严格执行接待标准批次占总批次比率</w:t>
            </w:r>
          </w:p>
        </w:tc>
        <w:tc>
          <w:tcPr>
            <w:tcW w:w="2466" w:type="dxa"/>
            <w:vAlign w:val="center"/>
          </w:tcPr>
          <w:p>
            <w:pPr>
              <w:pStyle w:val="14"/>
            </w:pPr>
            <w:r>
              <w:t>≥100百分比</w:t>
            </w:r>
          </w:p>
        </w:tc>
        <w:tc>
          <w:tcPr>
            <w:tcW w:w="2466" w:type="dxa"/>
            <w:vAlign w:val="center"/>
          </w:tcPr>
          <w:p>
            <w:pPr>
              <w:pStyle w:val="14"/>
            </w:pPr>
            <w:r>
              <w:t>八项规定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安全完成率</w:t>
            </w:r>
          </w:p>
        </w:tc>
        <w:tc>
          <w:tcPr>
            <w:tcW w:w="2466" w:type="dxa"/>
            <w:vAlign w:val="center"/>
          </w:tcPr>
          <w:p>
            <w:pPr>
              <w:pStyle w:val="14"/>
            </w:pPr>
            <w:r>
              <w:t>安全完成率</w:t>
            </w:r>
          </w:p>
        </w:tc>
        <w:tc>
          <w:tcPr>
            <w:tcW w:w="2466" w:type="dxa"/>
            <w:vAlign w:val="center"/>
          </w:tcPr>
          <w:p>
            <w:pPr>
              <w:pStyle w:val="14"/>
            </w:pPr>
            <w:r>
              <w:t>≥98百分比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及时高效完成接待任务百分率</w:t>
            </w:r>
          </w:p>
        </w:tc>
        <w:tc>
          <w:tcPr>
            <w:tcW w:w="2466" w:type="dxa"/>
            <w:vAlign w:val="center"/>
          </w:tcPr>
          <w:p>
            <w:pPr>
              <w:pStyle w:val="14"/>
            </w:pPr>
            <w:r>
              <w:t>≥96百分比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成本控制率</w:t>
            </w:r>
          </w:p>
        </w:tc>
        <w:tc>
          <w:tcPr>
            <w:tcW w:w="2466" w:type="dxa"/>
            <w:vAlign w:val="center"/>
          </w:tcPr>
          <w:p>
            <w:pPr>
              <w:pStyle w:val="14"/>
            </w:pPr>
            <w:r>
              <w:t>≤100百分比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降低接待费用</w:t>
            </w:r>
          </w:p>
        </w:tc>
        <w:tc>
          <w:tcPr>
            <w:tcW w:w="2466" w:type="dxa"/>
            <w:vAlign w:val="center"/>
          </w:tcPr>
          <w:p>
            <w:pPr>
              <w:pStyle w:val="14"/>
            </w:pPr>
            <w:r>
              <w:t>降低接待费用批次占总批次比率</w:t>
            </w:r>
          </w:p>
        </w:tc>
        <w:tc>
          <w:tcPr>
            <w:tcW w:w="2466" w:type="dxa"/>
            <w:vAlign w:val="center"/>
          </w:tcPr>
          <w:p>
            <w:pPr>
              <w:pStyle w:val="14"/>
            </w:pPr>
            <w:r>
              <w:t>≥96百分比</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工作标准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11、县委值班室视频点名系统建设工程绩效目标表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1.目标内容：将市、县值班室规范化建设成果推广至基层单位，建立健全值班制度，构建职责明确、制度完善、反应迅速、实时在线的“市县乡”值班室工作格局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保障正常使用次数占总体的比率</w:t>
            </w:r>
          </w:p>
        </w:tc>
        <w:tc>
          <w:tcPr>
            <w:tcW w:w="2466" w:type="dxa"/>
            <w:vAlign w:val="center"/>
          </w:tcPr>
          <w:p>
            <w:pPr>
              <w:pStyle w:val="14"/>
            </w:pPr>
            <w:r>
              <w:t>≥98百分比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高质量比率</w:t>
            </w:r>
          </w:p>
        </w:tc>
        <w:tc>
          <w:tcPr>
            <w:tcW w:w="2466" w:type="dxa"/>
            <w:vAlign w:val="center"/>
          </w:tcPr>
          <w:p>
            <w:pPr>
              <w:pStyle w:val="14"/>
            </w:pPr>
            <w:r>
              <w:t>传输质量良好比率</w:t>
            </w:r>
          </w:p>
        </w:tc>
        <w:tc>
          <w:tcPr>
            <w:tcW w:w="2466" w:type="dxa"/>
            <w:vAlign w:val="center"/>
          </w:tcPr>
          <w:p>
            <w:pPr>
              <w:pStyle w:val="14"/>
            </w:pPr>
            <w:r>
              <w:t>≥97百分比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及时保障率</w:t>
            </w:r>
          </w:p>
        </w:tc>
        <w:tc>
          <w:tcPr>
            <w:tcW w:w="2466" w:type="dxa"/>
            <w:vAlign w:val="center"/>
          </w:tcPr>
          <w:p>
            <w:pPr>
              <w:pStyle w:val="14"/>
            </w:pPr>
            <w:r>
              <w:t>及时保障正常使用比率</w:t>
            </w:r>
          </w:p>
        </w:tc>
        <w:tc>
          <w:tcPr>
            <w:tcW w:w="2466" w:type="dxa"/>
            <w:vAlign w:val="center"/>
          </w:tcPr>
          <w:p>
            <w:pPr>
              <w:pStyle w:val="14"/>
            </w:pPr>
            <w:r>
              <w:t>≥97百分比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≤100百分比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w:t>
            </w:r>
          </w:p>
        </w:tc>
        <w:tc>
          <w:tcPr>
            <w:tcW w:w="2466" w:type="dxa"/>
            <w:vAlign w:val="center"/>
          </w:tcPr>
          <w:p>
            <w:pPr>
              <w:pStyle w:val="14"/>
            </w:pPr>
            <w:r>
              <w:t>≥96百分比</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各使用单位满意率</w:t>
            </w:r>
          </w:p>
        </w:tc>
        <w:tc>
          <w:tcPr>
            <w:tcW w:w="2466" w:type="dxa"/>
            <w:vAlign w:val="center"/>
          </w:tcPr>
          <w:p>
            <w:pPr>
              <w:pStyle w:val="14"/>
            </w:pPr>
            <w:r>
              <w:t>≥97百分比</w:t>
            </w:r>
          </w:p>
        </w:tc>
        <w:tc>
          <w:tcPr>
            <w:tcW w:w="2466" w:type="dxa"/>
            <w:vAlign w:val="center"/>
          </w:tcPr>
          <w:p>
            <w:pPr>
              <w:pStyle w:val="14"/>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12、协调县委大型会议和活动绩效目标表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1.目标内容：优质高效完成县委各种会议的会务工作和县委日常工作活动的组织安排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大型会议控制率</w:t>
            </w:r>
          </w:p>
        </w:tc>
        <w:tc>
          <w:tcPr>
            <w:tcW w:w="2466" w:type="dxa"/>
            <w:vAlign w:val="center"/>
          </w:tcPr>
          <w:p>
            <w:pPr>
              <w:pStyle w:val="14"/>
            </w:pPr>
            <w:r>
              <w:t>反映纳入年初以县委或</w:t>
            </w:r>
            <w:r>
              <w:rPr>
                <w:rFonts w:hint="eastAsia"/>
                <w:lang w:eastAsia="zh-CN"/>
              </w:rPr>
              <w:t>县委县政府</w:t>
            </w:r>
            <w:r>
              <w:t>名义召开会议名单的会议数量占全年实际会议数量的比率</w:t>
            </w:r>
          </w:p>
        </w:tc>
        <w:tc>
          <w:tcPr>
            <w:tcW w:w="2466" w:type="dxa"/>
            <w:vAlign w:val="center"/>
          </w:tcPr>
          <w:p>
            <w:pPr>
              <w:pStyle w:val="14"/>
            </w:pPr>
            <w:r>
              <w:t>≥95百分比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差错率</w:t>
            </w:r>
          </w:p>
        </w:tc>
        <w:tc>
          <w:tcPr>
            <w:tcW w:w="2466" w:type="dxa"/>
            <w:vAlign w:val="center"/>
          </w:tcPr>
          <w:p>
            <w:pPr>
              <w:pStyle w:val="14"/>
            </w:pPr>
            <w:r>
              <w:t>组织会议活动差错次数占总会议次数比率</w:t>
            </w:r>
          </w:p>
        </w:tc>
        <w:tc>
          <w:tcPr>
            <w:tcW w:w="2466" w:type="dxa"/>
            <w:vAlign w:val="center"/>
          </w:tcPr>
          <w:p>
            <w:pPr>
              <w:pStyle w:val="14"/>
            </w:pPr>
            <w:r>
              <w:t>≤5百分比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及时完成率</w:t>
            </w:r>
          </w:p>
        </w:tc>
        <w:tc>
          <w:tcPr>
            <w:tcW w:w="2466" w:type="dxa"/>
            <w:vAlign w:val="center"/>
          </w:tcPr>
          <w:p>
            <w:pPr>
              <w:pStyle w:val="14"/>
            </w:pPr>
            <w:r>
              <w:t>各项任务及时完成比率</w:t>
            </w:r>
          </w:p>
        </w:tc>
        <w:tc>
          <w:tcPr>
            <w:tcW w:w="2466" w:type="dxa"/>
            <w:vAlign w:val="center"/>
          </w:tcPr>
          <w:p>
            <w:pPr>
              <w:pStyle w:val="14"/>
            </w:pPr>
            <w:r>
              <w:t>≥97百分比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≤100年初预算百分比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节省率</w:t>
            </w:r>
          </w:p>
        </w:tc>
        <w:tc>
          <w:tcPr>
            <w:tcW w:w="2466" w:type="dxa"/>
            <w:vAlign w:val="center"/>
          </w:tcPr>
          <w:p>
            <w:pPr>
              <w:pStyle w:val="14"/>
            </w:pPr>
            <w:r>
              <w:t>反映节省会议费用情况</w:t>
            </w:r>
          </w:p>
        </w:tc>
        <w:tc>
          <w:tcPr>
            <w:tcW w:w="2466" w:type="dxa"/>
            <w:vAlign w:val="center"/>
          </w:tcPr>
          <w:p>
            <w:pPr>
              <w:pStyle w:val="14"/>
            </w:pPr>
            <w:r>
              <w:t>≥95百分比</w:t>
            </w:r>
          </w:p>
        </w:tc>
        <w:tc>
          <w:tcPr>
            <w:tcW w:w="2466" w:type="dxa"/>
            <w:vAlign w:val="center"/>
          </w:tcPr>
          <w:p>
            <w:pPr>
              <w:pStyle w:val="14"/>
            </w:pPr>
            <w:r>
              <w:t>工作职责性质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参会单位满意度（%）</w:t>
            </w:r>
          </w:p>
        </w:tc>
        <w:tc>
          <w:tcPr>
            <w:tcW w:w="2466" w:type="dxa"/>
            <w:vAlign w:val="center"/>
          </w:tcPr>
          <w:p>
            <w:pPr>
              <w:pStyle w:val="14"/>
            </w:pPr>
            <w:r>
              <w:t>参会单位满意度（%）</w:t>
            </w:r>
          </w:p>
        </w:tc>
        <w:tc>
          <w:tcPr>
            <w:tcW w:w="2466" w:type="dxa"/>
            <w:vAlign w:val="center"/>
          </w:tcPr>
          <w:p>
            <w:pPr>
              <w:pStyle w:val="14"/>
            </w:pPr>
            <w:r>
              <w:t>≥95百分比</w:t>
            </w:r>
          </w:p>
        </w:tc>
        <w:tc>
          <w:tcPr>
            <w:tcW w:w="2466" w:type="dxa"/>
            <w:vAlign w:val="center"/>
          </w:tcPr>
          <w:p>
            <w:pPr>
              <w:pStyle w:val="14"/>
            </w:pPr>
            <w:r>
              <w:t>工作职责性质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13、信息工作、社情民意调查绩效目标表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1.目标内容：优质高效做好信息工作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信息采集上报率</w:t>
            </w:r>
          </w:p>
        </w:tc>
        <w:tc>
          <w:tcPr>
            <w:tcW w:w="2466" w:type="dxa"/>
            <w:vAlign w:val="center"/>
          </w:tcPr>
          <w:p>
            <w:pPr>
              <w:pStyle w:val="14"/>
            </w:pPr>
            <w:r>
              <w:t>反映信息上报数量占信息采集总量的比例</w:t>
            </w:r>
          </w:p>
        </w:tc>
        <w:tc>
          <w:tcPr>
            <w:tcW w:w="2466" w:type="dxa"/>
            <w:vAlign w:val="center"/>
          </w:tcPr>
          <w:p>
            <w:pPr>
              <w:pStyle w:val="14"/>
            </w:pPr>
            <w:r>
              <w:t>≥95百分比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信息真实率</w:t>
            </w:r>
          </w:p>
        </w:tc>
        <w:tc>
          <w:tcPr>
            <w:tcW w:w="2466" w:type="dxa"/>
            <w:vAlign w:val="center"/>
          </w:tcPr>
          <w:p>
            <w:pPr>
              <w:pStyle w:val="14"/>
            </w:pPr>
            <w:r>
              <w:t>反映信息真实性情况</w:t>
            </w:r>
          </w:p>
        </w:tc>
        <w:tc>
          <w:tcPr>
            <w:tcW w:w="2466" w:type="dxa"/>
            <w:vAlign w:val="center"/>
          </w:tcPr>
          <w:p>
            <w:pPr>
              <w:pStyle w:val="14"/>
            </w:pPr>
            <w:r>
              <w:t>≥98百分比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及时上报率</w:t>
            </w:r>
          </w:p>
        </w:tc>
        <w:tc>
          <w:tcPr>
            <w:tcW w:w="2466" w:type="dxa"/>
            <w:vAlign w:val="center"/>
          </w:tcPr>
          <w:p>
            <w:pPr>
              <w:pStyle w:val="14"/>
            </w:pPr>
            <w:r>
              <w:t>反映及时高效完成信息上报工作情况</w:t>
            </w:r>
          </w:p>
        </w:tc>
        <w:tc>
          <w:tcPr>
            <w:tcW w:w="2466" w:type="dxa"/>
            <w:vAlign w:val="center"/>
          </w:tcPr>
          <w:p>
            <w:pPr>
              <w:pStyle w:val="14"/>
            </w:pPr>
            <w:r>
              <w:t>≥97百分比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控制总成本</w:t>
            </w:r>
          </w:p>
        </w:tc>
        <w:tc>
          <w:tcPr>
            <w:tcW w:w="2466" w:type="dxa"/>
            <w:vAlign w:val="center"/>
          </w:tcPr>
          <w:p>
            <w:pPr>
              <w:pStyle w:val="14"/>
            </w:pPr>
            <w:r>
              <w:t>控制总成本</w:t>
            </w:r>
          </w:p>
        </w:tc>
        <w:tc>
          <w:tcPr>
            <w:tcW w:w="2466" w:type="dxa"/>
            <w:vAlign w:val="center"/>
          </w:tcPr>
          <w:p>
            <w:pPr>
              <w:pStyle w:val="14"/>
            </w:pPr>
            <w:r>
              <w:t>≤100年初预算百分比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有价值情报信息采用率</w:t>
            </w:r>
          </w:p>
        </w:tc>
        <w:tc>
          <w:tcPr>
            <w:tcW w:w="2466" w:type="dxa"/>
            <w:vAlign w:val="center"/>
          </w:tcPr>
          <w:p>
            <w:pPr>
              <w:pStyle w:val="14"/>
            </w:pPr>
            <w:r>
              <w:t>有价值情报信息采用率</w:t>
            </w:r>
          </w:p>
        </w:tc>
        <w:tc>
          <w:tcPr>
            <w:tcW w:w="2466" w:type="dxa"/>
            <w:vAlign w:val="center"/>
          </w:tcPr>
          <w:p>
            <w:pPr>
              <w:pStyle w:val="14"/>
            </w:pPr>
            <w:r>
              <w:t>≥96百分比</w:t>
            </w:r>
          </w:p>
        </w:tc>
        <w:tc>
          <w:tcPr>
            <w:tcW w:w="2466" w:type="dxa"/>
            <w:vAlign w:val="center"/>
          </w:tcPr>
          <w:p>
            <w:pPr>
              <w:pStyle w:val="14"/>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领导满意度</w:t>
            </w:r>
          </w:p>
        </w:tc>
        <w:tc>
          <w:tcPr>
            <w:tcW w:w="2466" w:type="dxa"/>
            <w:vAlign w:val="center"/>
          </w:tcPr>
          <w:p>
            <w:pPr>
              <w:pStyle w:val="14"/>
            </w:pPr>
            <w:r>
              <w:t>反映领导对信息工作的肯定程度</w:t>
            </w:r>
          </w:p>
        </w:tc>
        <w:tc>
          <w:tcPr>
            <w:tcW w:w="2466" w:type="dxa"/>
            <w:vAlign w:val="center"/>
          </w:tcPr>
          <w:p>
            <w:pPr>
              <w:pStyle w:val="14"/>
            </w:pPr>
            <w:r>
              <w:t>≥97百分比</w:t>
            </w:r>
          </w:p>
        </w:tc>
        <w:tc>
          <w:tcPr>
            <w:tcW w:w="2466"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14、值班子系统运维、</w:t>
      </w:r>
      <w:r>
        <w:rPr>
          <w:rFonts w:hint="eastAsia" w:ascii="方正仿宋_GBK" w:hAnsi="方正仿宋_GBK" w:eastAsia="方正仿宋_GBK" w:cs="方正仿宋_GBK"/>
          <w:b/>
          <w:color w:val="000000"/>
          <w:sz w:val="28"/>
          <w:lang w:eastAsia="zh-CN"/>
        </w:rPr>
        <w:t>县级</w:t>
      </w:r>
      <w:r>
        <w:rPr>
          <w:rFonts w:ascii="方正仿宋_GBK" w:hAnsi="方正仿宋_GBK" w:eastAsia="方正仿宋_GBK" w:cs="方正仿宋_GBK"/>
          <w:b/>
          <w:color w:val="000000"/>
          <w:sz w:val="28"/>
        </w:rPr>
        <w:t>视频会议系统链路传输、广电网络视频会议技术服务保障费用绩效目标表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1.目标内容：保障视频会议等系统正常运行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保障率</w:t>
            </w:r>
          </w:p>
        </w:tc>
        <w:tc>
          <w:tcPr>
            <w:tcW w:w="2466" w:type="dxa"/>
            <w:vAlign w:val="center"/>
          </w:tcPr>
          <w:p>
            <w:pPr>
              <w:pStyle w:val="14"/>
            </w:pPr>
            <w:r>
              <w:t>保障系统正常使用次数占总会议次数比例</w:t>
            </w:r>
          </w:p>
        </w:tc>
        <w:tc>
          <w:tcPr>
            <w:tcW w:w="2466" w:type="dxa"/>
            <w:vAlign w:val="center"/>
          </w:tcPr>
          <w:p>
            <w:pPr>
              <w:pStyle w:val="14"/>
            </w:pPr>
            <w:r>
              <w:t>≥97百分比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高质量比率</w:t>
            </w:r>
          </w:p>
        </w:tc>
        <w:tc>
          <w:tcPr>
            <w:tcW w:w="2466" w:type="dxa"/>
            <w:vAlign w:val="center"/>
          </w:tcPr>
          <w:p>
            <w:pPr>
              <w:pStyle w:val="14"/>
            </w:pPr>
            <w:r>
              <w:t>高质量保障系统正常使用次数占总会议次数比例</w:t>
            </w:r>
          </w:p>
        </w:tc>
        <w:tc>
          <w:tcPr>
            <w:tcW w:w="2466" w:type="dxa"/>
            <w:vAlign w:val="center"/>
          </w:tcPr>
          <w:p>
            <w:pPr>
              <w:pStyle w:val="14"/>
            </w:pPr>
            <w:r>
              <w:t>≥97百分比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及时保障率</w:t>
            </w:r>
          </w:p>
        </w:tc>
        <w:tc>
          <w:tcPr>
            <w:tcW w:w="2466" w:type="dxa"/>
            <w:vAlign w:val="center"/>
          </w:tcPr>
          <w:p>
            <w:pPr>
              <w:pStyle w:val="14"/>
            </w:pPr>
            <w:r>
              <w:t>及时高效保障会议正常进行比率</w:t>
            </w:r>
          </w:p>
        </w:tc>
        <w:tc>
          <w:tcPr>
            <w:tcW w:w="2466" w:type="dxa"/>
            <w:vAlign w:val="center"/>
          </w:tcPr>
          <w:p>
            <w:pPr>
              <w:pStyle w:val="14"/>
            </w:pPr>
            <w:r>
              <w:t>≥98百分比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≤100百分比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公共服务水平提升情况</w:t>
            </w:r>
          </w:p>
        </w:tc>
        <w:tc>
          <w:tcPr>
            <w:tcW w:w="2466" w:type="dxa"/>
            <w:vAlign w:val="center"/>
          </w:tcPr>
          <w:p>
            <w:pPr>
              <w:pStyle w:val="14"/>
            </w:pPr>
            <w:r>
              <w:t>≥97百分比</w:t>
            </w:r>
          </w:p>
        </w:tc>
        <w:tc>
          <w:tcPr>
            <w:tcW w:w="2466" w:type="dxa"/>
            <w:vAlign w:val="center"/>
          </w:tcPr>
          <w:p>
            <w:pPr>
              <w:pStyle w:val="14"/>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≥97百分比</w:t>
            </w:r>
          </w:p>
        </w:tc>
        <w:tc>
          <w:tcPr>
            <w:tcW w:w="2466" w:type="dxa"/>
            <w:vAlign w:val="center"/>
          </w:tcPr>
          <w:p>
            <w:pPr>
              <w:pStyle w:val="14"/>
            </w:pPr>
            <w:r>
              <w:t>根据合同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15、电动汽车购置绩效目标表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1.新能源汽车8辆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公车购置率</w:t>
            </w:r>
          </w:p>
        </w:tc>
        <w:tc>
          <w:tcPr>
            <w:tcW w:w="2466" w:type="dxa"/>
            <w:vAlign w:val="center"/>
          </w:tcPr>
          <w:p>
            <w:pPr>
              <w:pStyle w:val="14"/>
            </w:pPr>
            <w:r>
              <w:t>公车购置量占全年计划的30%</w:t>
            </w:r>
          </w:p>
        </w:tc>
        <w:tc>
          <w:tcPr>
            <w:tcW w:w="2466" w:type="dxa"/>
            <w:vAlign w:val="center"/>
          </w:tcPr>
          <w:p>
            <w:pPr>
              <w:pStyle w:val="14"/>
            </w:pPr>
            <w:r>
              <w:t>≥100公车购置量占全年计划的30%</w:t>
            </w:r>
          </w:p>
        </w:tc>
        <w:tc>
          <w:tcPr>
            <w:tcW w:w="2466" w:type="dxa"/>
            <w:vAlign w:val="center"/>
          </w:tcPr>
          <w:p>
            <w:pPr>
              <w:pStyle w:val="14"/>
            </w:pPr>
            <w:r>
              <w:t>公车购置审批表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公车购置使用率</w:t>
            </w:r>
          </w:p>
        </w:tc>
        <w:tc>
          <w:tcPr>
            <w:tcW w:w="2466" w:type="dxa"/>
            <w:vAlign w:val="center"/>
          </w:tcPr>
          <w:p>
            <w:pPr>
              <w:pStyle w:val="14"/>
            </w:pPr>
            <w:r>
              <w:t>公车购买使用支出占全年公车购置的量</w:t>
            </w:r>
          </w:p>
        </w:tc>
        <w:tc>
          <w:tcPr>
            <w:tcW w:w="2466" w:type="dxa"/>
            <w:vAlign w:val="center"/>
          </w:tcPr>
          <w:p>
            <w:pPr>
              <w:pStyle w:val="14"/>
            </w:pPr>
            <w:r>
              <w:t>≥100公车购买使用支出占全年公车购置的量</w:t>
            </w:r>
          </w:p>
        </w:tc>
        <w:tc>
          <w:tcPr>
            <w:tcW w:w="2466" w:type="dxa"/>
            <w:vAlign w:val="center"/>
          </w:tcPr>
          <w:p>
            <w:pPr>
              <w:pStyle w:val="14"/>
            </w:pPr>
            <w:r>
              <w:t>公车购置审批表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购车时限</w:t>
            </w:r>
          </w:p>
        </w:tc>
        <w:tc>
          <w:tcPr>
            <w:tcW w:w="2466" w:type="dxa"/>
            <w:vAlign w:val="center"/>
          </w:tcPr>
          <w:p>
            <w:pPr>
              <w:pStyle w:val="14"/>
            </w:pPr>
            <w:r>
              <w:t>2022年11月前</w:t>
            </w:r>
          </w:p>
        </w:tc>
        <w:tc>
          <w:tcPr>
            <w:tcW w:w="2466" w:type="dxa"/>
            <w:vAlign w:val="center"/>
          </w:tcPr>
          <w:p>
            <w:pPr>
              <w:pStyle w:val="14"/>
            </w:pPr>
            <w:r>
              <w:t>≥20222022年11月前</w:t>
            </w:r>
          </w:p>
        </w:tc>
        <w:tc>
          <w:tcPr>
            <w:tcW w:w="2466" w:type="dxa"/>
            <w:vAlign w:val="center"/>
          </w:tcPr>
          <w:p>
            <w:pPr>
              <w:pStyle w:val="14"/>
            </w:pPr>
            <w:r>
              <w:t>购车发票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公车购置支出率</w:t>
            </w:r>
          </w:p>
        </w:tc>
        <w:tc>
          <w:tcPr>
            <w:tcW w:w="2466" w:type="dxa"/>
            <w:vAlign w:val="center"/>
          </w:tcPr>
          <w:p>
            <w:pPr>
              <w:pStyle w:val="14"/>
            </w:pPr>
            <w:r>
              <w:t>公车购买支出占全年公车购置</w:t>
            </w:r>
          </w:p>
        </w:tc>
        <w:tc>
          <w:tcPr>
            <w:tcW w:w="2466" w:type="dxa"/>
            <w:vAlign w:val="center"/>
          </w:tcPr>
          <w:p>
            <w:pPr>
              <w:pStyle w:val="14"/>
            </w:pPr>
            <w:r>
              <w:t>≥100公车购买支出占全年公车购置</w:t>
            </w:r>
          </w:p>
        </w:tc>
        <w:tc>
          <w:tcPr>
            <w:tcW w:w="2466" w:type="dxa"/>
            <w:vAlign w:val="center"/>
          </w:tcPr>
          <w:p>
            <w:pPr>
              <w:pStyle w:val="14"/>
            </w:pPr>
            <w:r>
              <w:t>公车购置审批表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正常运行的公车占购买公车的比</w:t>
            </w:r>
          </w:p>
        </w:tc>
        <w:tc>
          <w:tcPr>
            <w:tcW w:w="2466" w:type="dxa"/>
            <w:vAlign w:val="center"/>
          </w:tcPr>
          <w:p>
            <w:pPr>
              <w:pStyle w:val="14"/>
            </w:pPr>
            <w:r>
              <w:t>正常运行的车辆占比</w:t>
            </w:r>
          </w:p>
        </w:tc>
        <w:tc>
          <w:tcPr>
            <w:tcW w:w="2466" w:type="dxa"/>
            <w:vAlign w:val="center"/>
          </w:tcPr>
          <w:p>
            <w:pPr>
              <w:pStyle w:val="14"/>
            </w:pPr>
            <w:r>
              <w:t>≥100正常运行的车辆占比</w:t>
            </w:r>
          </w:p>
        </w:tc>
        <w:tc>
          <w:tcPr>
            <w:tcW w:w="2466" w:type="dxa"/>
            <w:vAlign w:val="center"/>
          </w:tcPr>
          <w:p>
            <w:pPr>
              <w:pStyle w:val="14"/>
            </w:pPr>
            <w:r>
              <w:t>使用公车率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事务工作效率的提升</w:t>
            </w:r>
          </w:p>
        </w:tc>
        <w:tc>
          <w:tcPr>
            <w:tcW w:w="2466" w:type="dxa"/>
            <w:vAlign w:val="center"/>
          </w:tcPr>
          <w:p>
            <w:pPr>
              <w:pStyle w:val="14"/>
            </w:pPr>
            <w:r>
              <w:t>事务工作效率的提升</w:t>
            </w:r>
          </w:p>
        </w:tc>
        <w:tc>
          <w:tcPr>
            <w:tcW w:w="2466" w:type="dxa"/>
            <w:vAlign w:val="center"/>
          </w:tcPr>
          <w:p>
            <w:pPr>
              <w:pStyle w:val="14"/>
            </w:pPr>
            <w:r>
              <w:t>≥100事务工作效率的提升</w:t>
            </w:r>
          </w:p>
        </w:tc>
        <w:tc>
          <w:tcPr>
            <w:tcW w:w="2466" w:type="dxa"/>
            <w:vAlign w:val="center"/>
          </w:tcPr>
          <w:p>
            <w:pPr>
              <w:pStyle w:val="14"/>
            </w:pPr>
            <w:r>
              <w:t>购车申请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机动车尾气排放达标率(％)</w:t>
            </w:r>
          </w:p>
        </w:tc>
        <w:tc>
          <w:tcPr>
            <w:tcW w:w="2466" w:type="dxa"/>
            <w:vAlign w:val="center"/>
          </w:tcPr>
          <w:p>
            <w:pPr>
              <w:pStyle w:val="14"/>
            </w:pPr>
            <w:r>
              <w:t>检测以后公车尾气达标率</w:t>
            </w:r>
          </w:p>
        </w:tc>
        <w:tc>
          <w:tcPr>
            <w:tcW w:w="2466" w:type="dxa"/>
            <w:vAlign w:val="center"/>
          </w:tcPr>
          <w:p>
            <w:pPr>
              <w:pStyle w:val="14"/>
            </w:pPr>
            <w:r>
              <w:t>≥100检测以后公车尾气达标率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道路监测</w:t>
            </w:r>
          </w:p>
        </w:tc>
        <w:tc>
          <w:tcPr>
            <w:tcW w:w="2466" w:type="dxa"/>
            <w:vAlign w:val="center"/>
          </w:tcPr>
          <w:p>
            <w:pPr>
              <w:pStyle w:val="14"/>
            </w:pPr>
            <w:r>
              <w:t>新增车辆数量</w:t>
            </w:r>
          </w:p>
        </w:tc>
        <w:tc>
          <w:tcPr>
            <w:tcW w:w="2466" w:type="dxa"/>
            <w:vAlign w:val="center"/>
          </w:tcPr>
          <w:p>
            <w:pPr>
              <w:pStyle w:val="14"/>
            </w:pPr>
            <w:r>
              <w:t>≥100新增车辆数量</w:t>
            </w:r>
          </w:p>
        </w:tc>
        <w:tc>
          <w:tcPr>
            <w:tcW w:w="2466" w:type="dxa"/>
            <w:vAlign w:val="center"/>
          </w:tcPr>
          <w:p>
            <w:pPr>
              <w:pStyle w:val="14"/>
            </w:pPr>
            <w:r>
              <w:t>购车申请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购买公车使用满意度</w:t>
            </w:r>
          </w:p>
        </w:tc>
        <w:tc>
          <w:tcPr>
            <w:tcW w:w="2466" w:type="dxa"/>
            <w:vAlign w:val="center"/>
          </w:tcPr>
          <w:p>
            <w:pPr>
              <w:pStyle w:val="14"/>
            </w:pPr>
            <w:r>
              <w:t>购买公车使用满意度</w:t>
            </w:r>
          </w:p>
        </w:tc>
        <w:tc>
          <w:tcPr>
            <w:tcW w:w="2466" w:type="dxa"/>
            <w:vAlign w:val="center"/>
          </w:tcPr>
          <w:p>
            <w:pPr>
              <w:pStyle w:val="14"/>
            </w:pPr>
            <w:r>
              <w:t>≥100购买公车使用满意度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16、公务用车运行维护费绩效目标表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1.全年确保县直各单位公车燃油费、维修费、保险费、过桥费、机动车检测费、保障各单位车辆正常运行，工作顺利开展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公务用车入保险率</w:t>
            </w:r>
          </w:p>
        </w:tc>
        <w:tc>
          <w:tcPr>
            <w:tcW w:w="2466" w:type="dxa"/>
            <w:vAlign w:val="center"/>
          </w:tcPr>
          <w:p>
            <w:pPr>
              <w:pStyle w:val="14"/>
            </w:pPr>
            <w:r>
              <w:t>入保险的公务用车量占全部公务用车的比例</w:t>
            </w:r>
          </w:p>
        </w:tc>
        <w:tc>
          <w:tcPr>
            <w:tcW w:w="2466" w:type="dxa"/>
            <w:vAlign w:val="center"/>
          </w:tcPr>
          <w:p>
            <w:pPr>
              <w:pStyle w:val="14"/>
            </w:pPr>
            <w:r>
              <w:t>≥100入保险的公务用车量占全部公务用车的比例</w:t>
            </w:r>
          </w:p>
        </w:tc>
        <w:tc>
          <w:tcPr>
            <w:tcW w:w="2466" w:type="dxa"/>
            <w:vAlign w:val="center"/>
          </w:tcPr>
          <w:p>
            <w:pPr>
              <w:pStyle w:val="14"/>
            </w:pPr>
            <w:r>
              <w:t>入保险统计表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公务用车检测率</w:t>
            </w:r>
          </w:p>
        </w:tc>
        <w:tc>
          <w:tcPr>
            <w:tcW w:w="2466" w:type="dxa"/>
            <w:vAlign w:val="center"/>
          </w:tcPr>
          <w:p>
            <w:pPr>
              <w:pStyle w:val="14"/>
            </w:pPr>
            <w:r>
              <w:t>检测完成的公务用车量占全部公务用车的比例</w:t>
            </w:r>
          </w:p>
        </w:tc>
        <w:tc>
          <w:tcPr>
            <w:tcW w:w="2466" w:type="dxa"/>
            <w:vAlign w:val="center"/>
          </w:tcPr>
          <w:p>
            <w:pPr>
              <w:pStyle w:val="14"/>
            </w:pPr>
            <w:r>
              <w:t>≥100检测完成的公务用车量占全部公务用车的比例</w:t>
            </w:r>
          </w:p>
        </w:tc>
        <w:tc>
          <w:tcPr>
            <w:tcW w:w="2466" w:type="dxa"/>
            <w:vAlign w:val="center"/>
          </w:tcPr>
          <w:p>
            <w:pPr>
              <w:pStyle w:val="14"/>
            </w:pPr>
            <w:r>
              <w:t>车辆检测表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过桥费支出率</w:t>
            </w:r>
          </w:p>
        </w:tc>
        <w:tc>
          <w:tcPr>
            <w:tcW w:w="2466" w:type="dxa"/>
            <w:vAlign w:val="center"/>
          </w:tcPr>
          <w:p>
            <w:pPr>
              <w:pStyle w:val="14"/>
            </w:pPr>
            <w:r>
              <w:t>过桥费支出量占全部公车过桥费支出量的比例</w:t>
            </w:r>
          </w:p>
        </w:tc>
        <w:tc>
          <w:tcPr>
            <w:tcW w:w="2466" w:type="dxa"/>
            <w:vAlign w:val="center"/>
          </w:tcPr>
          <w:p>
            <w:pPr>
              <w:pStyle w:val="14"/>
            </w:pPr>
            <w:r>
              <w:t>≥100过桥费支出量占全部公车过桥费支出量的比例</w:t>
            </w:r>
          </w:p>
        </w:tc>
        <w:tc>
          <w:tcPr>
            <w:tcW w:w="2466" w:type="dxa"/>
            <w:vAlign w:val="center"/>
          </w:tcPr>
          <w:p>
            <w:pPr>
              <w:pStyle w:val="14"/>
            </w:pPr>
            <w:r>
              <w:t>每月过桥费支出数量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公车完成维修率</w:t>
            </w:r>
          </w:p>
        </w:tc>
        <w:tc>
          <w:tcPr>
            <w:tcW w:w="2466" w:type="dxa"/>
            <w:vAlign w:val="center"/>
          </w:tcPr>
          <w:p>
            <w:pPr>
              <w:pStyle w:val="14"/>
            </w:pPr>
            <w:r>
              <w:t>完成维修的公车量占需要维修的公车的比例</w:t>
            </w:r>
          </w:p>
        </w:tc>
        <w:tc>
          <w:tcPr>
            <w:tcW w:w="2466" w:type="dxa"/>
            <w:vAlign w:val="center"/>
          </w:tcPr>
          <w:p>
            <w:pPr>
              <w:pStyle w:val="14"/>
            </w:pPr>
            <w:r>
              <w:t>≥100完成维修的公车量占需要维修的公车的比例</w:t>
            </w:r>
          </w:p>
        </w:tc>
        <w:tc>
          <w:tcPr>
            <w:tcW w:w="2466" w:type="dxa"/>
            <w:vAlign w:val="center"/>
          </w:tcPr>
          <w:p>
            <w:pPr>
              <w:pStyle w:val="14"/>
            </w:pPr>
            <w:r>
              <w:t>完成维修的数量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正常运行的公车占全部公车的比</w:t>
            </w:r>
          </w:p>
        </w:tc>
        <w:tc>
          <w:tcPr>
            <w:tcW w:w="2466" w:type="dxa"/>
            <w:vAlign w:val="center"/>
          </w:tcPr>
          <w:p>
            <w:pPr>
              <w:pStyle w:val="14"/>
            </w:pPr>
            <w:r>
              <w:t>正常运行的车辆占比</w:t>
            </w:r>
          </w:p>
        </w:tc>
        <w:tc>
          <w:tcPr>
            <w:tcW w:w="2466" w:type="dxa"/>
            <w:vAlign w:val="center"/>
          </w:tcPr>
          <w:p>
            <w:pPr>
              <w:pStyle w:val="14"/>
            </w:pPr>
            <w:r>
              <w:t>≥100正常运行的车辆占比</w:t>
            </w:r>
          </w:p>
        </w:tc>
        <w:tc>
          <w:tcPr>
            <w:tcW w:w="2466" w:type="dxa"/>
            <w:vAlign w:val="center"/>
          </w:tcPr>
          <w:p>
            <w:pPr>
              <w:pStyle w:val="14"/>
            </w:pPr>
            <w:r>
              <w:t>使用公车率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公务用车完成维修率</w:t>
            </w:r>
          </w:p>
        </w:tc>
        <w:tc>
          <w:tcPr>
            <w:tcW w:w="2466" w:type="dxa"/>
            <w:vAlign w:val="center"/>
          </w:tcPr>
          <w:p>
            <w:pPr>
              <w:pStyle w:val="14"/>
            </w:pPr>
            <w:r>
              <w:t>完成维修的公车量占需要维修的公车的比例</w:t>
            </w:r>
          </w:p>
        </w:tc>
        <w:tc>
          <w:tcPr>
            <w:tcW w:w="2466" w:type="dxa"/>
            <w:vAlign w:val="center"/>
          </w:tcPr>
          <w:p>
            <w:pPr>
              <w:pStyle w:val="14"/>
            </w:pPr>
            <w:r>
              <w:t>≥100完成维修的公车量占需要维修的公车的比例</w:t>
            </w:r>
          </w:p>
        </w:tc>
        <w:tc>
          <w:tcPr>
            <w:tcW w:w="2466" w:type="dxa"/>
            <w:vAlign w:val="center"/>
          </w:tcPr>
          <w:p>
            <w:pPr>
              <w:pStyle w:val="14"/>
            </w:pPr>
            <w:r>
              <w:t>完成维修的数量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机动车尾气排放达标率(％)</w:t>
            </w:r>
          </w:p>
        </w:tc>
        <w:tc>
          <w:tcPr>
            <w:tcW w:w="2466" w:type="dxa"/>
            <w:vAlign w:val="center"/>
          </w:tcPr>
          <w:p>
            <w:pPr>
              <w:pStyle w:val="14"/>
            </w:pPr>
            <w:r>
              <w:t>检测以后公车尾气达标率</w:t>
            </w:r>
          </w:p>
        </w:tc>
        <w:tc>
          <w:tcPr>
            <w:tcW w:w="2466" w:type="dxa"/>
            <w:vAlign w:val="center"/>
          </w:tcPr>
          <w:p>
            <w:pPr>
              <w:pStyle w:val="14"/>
            </w:pPr>
            <w:r>
              <w:t>≥100检测以后公车尾气达标率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日常出行率</w:t>
            </w:r>
          </w:p>
        </w:tc>
        <w:tc>
          <w:tcPr>
            <w:tcW w:w="2466" w:type="dxa"/>
            <w:vAlign w:val="center"/>
          </w:tcPr>
          <w:p>
            <w:pPr>
              <w:pStyle w:val="14"/>
            </w:pPr>
            <w:r>
              <w:t>日常出行使用公车率</w:t>
            </w:r>
          </w:p>
        </w:tc>
        <w:tc>
          <w:tcPr>
            <w:tcW w:w="2466" w:type="dxa"/>
            <w:vAlign w:val="center"/>
          </w:tcPr>
          <w:p>
            <w:pPr>
              <w:pStyle w:val="14"/>
            </w:pPr>
            <w:r>
              <w:t>≥100日常出行使用公车率</w:t>
            </w:r>
          </w:p>
        </w:tc>
        <w:tc>
          <w:tcPr>
            <w:tcW w:w="2466" w:type="dxa"/>
            <w:vAlign w:val="center"/>
          </w:tcPr>
          <w:p>
            <w:pPr>
              <w:pStyle w:val="14"/>
            </w:pPr>
            <w:r>
              <w:t>平台派车单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领导使用公车的满意度</w:t>
            </w:r>
          </w:p>
        </w:tc>
        <w:tc>
          <w:tcPr>
            <w:tcW w:w="2466" w:type="dxa"/>
            <w:vAlign w:val="center"/>
          </w:tcPr>
          <w:p>
            <w:pPr>
              <w:pStyle w:val="14"/>
            </w:pPr>
            <w:r>
              <w:t>≥90领导使用公车的满意度</w:t>
            </w:r>
          </w:p>
        </w:tc>
        <w:tc>
          <w:tcPr>
            <w:tcW w:w="2466" w:type="dxa"/>
            <w:vAlign w:val="center"/>
          </w:tcPr>
          <w:p>
            <w:pPr>
              <w:pStyle w:val="14"/>
            </w:pPr>
            <w:r>
              <w:t>使用公车投诉率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17、机关办公费绩效目标表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1.确保单位全年人员日常办公费用的使用，保障单位的顺利运行。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机关工作完成率</w:t>
            </w:r>
          </w:p>
        </w:tc>
        <w:tc>
          <w:tcPr>
            <w:tcW w:w="2466" w:type="dxa"/>
            <w:vAlign w:val="center"/>
          </w:tcPr>
          <w:p>
            <w:pPr>
              <w:pStyle w:val="14"/>
            </w:pPr>
            <w:r>
              <w:t>完成机关工作占全年工作的比例</w:t>
            </w:r>
          </w:p>
        </w:tc>
        <w:tc>
          <w:tcPr>
            <w:tcW w:w="2466" w:type="dxa"/>
            <w:vAlign w:val="center"/>
          </w:tcPr>
          <w:p>
            <w:pPr>
              <w:pStyle w:val="14"/>
            </w:pPr>
            <w:r>
              <w:t>≥100完成机关工作占全年工作的比例</w:t>
            </w:r>
          </w:p>
        </w:tc>
        <w:tc>
          <w:tcPr>
            <w:tcW w:w="2466" w:type="dxa"/>
            <w:vAlign w:val="center"/>
          </w:tcPr>
          <w:p>
            <w:pPr>
              <w:pStyle w:val="14"/>
            </w:pPr>
            <w:r>
              <w:t>机关工作完成量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机关办公费支出率</w:t>
            </w:r>
          </w:p>
        </w:tc>
        <w:tc>
          <w:tcPr>
            <w:tcW w:w="2466" w:type="dxa"/>
            <w:vAlign w:val="center"/>
          </w:tcPr>
          <w:p>
            <w:pPr>
              <w:pStyle w:val="14"/>
            </w:pPr>
            <w:r>
              <w:t>机关办公费支出数占预算总数的比例</w:t>
            </w:r>
          </w:p>
        </w:tc>
        <w:tc>
          <w:tcPr>
            <w:tcW w:w="2466" w:type="dxa"/>
            <w:vAlign w:val="center"/>
          </w:tcPr>
          <w:p>
            <w:pPr>
              <w:pStyle w:val="14"/>
            </w:pPr>
            <w:r>
              <w:t>≥100机关办公费支出数占预算总数的比例</w:t>
            </w:r>
          </w:p>
        </w:tc>
        <w:tc>
          <w:tcPr>
            <w:tcW w:w="2466" w:type="dxa"/>
            <w:vAlign w:val="center"/>
          </w:tcPr>
          <w:p>
            <w:pPr>
              <w:pStyle w:val="14"/>
            </w:pPr>
            <w:r>
              <w:t>机关办公支出量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机关购置率</w:t>
            </w:r>
          </w:p>
        </w:tc>
        <w:tc>
          <w:tcPr>
            <w:tcW w:w="2466" w:type="dxa"/>
            <w:vAlign w:val="center"/>
          </w:tcPr>
          <w:p>
            <w:pPr>
              <w:pStyle w:val="14"/>
            </w:pPr>
            <w:r>
              <w:t>机关购置货物量占全年购置计划的比例</w:t>
            </w:r>
          </w:p>
        </w:tc>
        <w:tc>
          <w:tcPr>
            <w:tcW w:w="2466" w:type="dxa"/>
            <w:vAlign w:val="center"/>
          </w:tcPr>
          <w:p>
            <w:pPr>
              <w:pStyle w:val="14"/>
            </w:pPr>
            <w:r>
              <w:t>≥100机关购置货物量占全年购置计划的比例</w:t>
            </w:r>
          </w:p>
        </w:tc>
        <w:tc>
          <w:tcPr>
            <w:tcW w:w="2466" w:type="dxa"/>
            <w:vAlign w:val="center"/>
          </w:tcPr>
          <w:p>
            <w:pPr>
              <w:pStyle w:val="14"/>
            </w:pPr>
            <w:r>
              <w:t>机关购置数量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机关高质量工作节能减排</w:t>
            </w:r>
          </w:p>
        </w:tc>
        <w:tc>
          <w:tcPr>
            <w:tcW w:w="2466" w:type="dxa"/>
            <w:vAlign w:val="center"/>
          </w:tcPr>
          <w:p>
            <w:pPr>
              <w:pStyle w:val="14"/>
            </w:pPr>
            <w:r>
              <w:t>完成机关高质量工作占全年工作的比例</w:t>
            </w:r>
          </w:p>
        </w:tc>
        <w:tc>
          <w:tcPr>
            <w:tcW w:w="2466" w:type="dxa"/>
            <w:vAlign w:val="center"/>
          </w:tcPr>
          <w:p>
            <w:pPr>
              <w:pStyle w:val="14"/>
            </w:pPr>
            <w:r>
              <w:t>≥100完成机关高质量工作占全年工作的比例</w:t>
            </w:r>
          </w:p>
        </w:tc>
        <w:tc>
          <w:tcPr>
            <w:tcW w:w="2466" w:type="dxa"/>
            <w:vAlign w:val="center"/>
          </w:tcPr>
          <w:p>
            <w:pPr>
              <w:pStyle w:val="14"/>
            </w:pPr>
            <w:r>
              <w:t>机关高质量工作完成量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机关办公优质率</w:t>
            </w:r>
          </w:p>
        </w:tc>
        <w:tc>
          <w:tcPr>
            <w:tcW w:w="2466" w:type="dxa"/>
            <w:vAlign w:val="center"/>
          </w:tcPr>
          <w:p>
            <w:pPr>
              <w:pStyle w:val="14"/>
            </w:pPr>
            <w:r>
              <w:t>机关办公优质次数占总办公次数的比例</w:t>
            </w:r>
          </w:p>
        </w:tc>
        <w:tc>
          <w:tcPr>
            <w:tcW w:w="2466" w:type="dxa"/>
            <w:vAlign w:val="center"/>
          </w:tcPr>
          <w:p>
            <w:pPr>
              <w:pStyle w:val="14"/>
            </w:pPr>
            <w:r>
              <w:t>≥100机关办公优质次数占总办公次数的比例</w:t>
            </w:r>
          </w:p>
        </w:tc>
        <w:tc>
          <w:tcPr>
            <w:tcW w:w="2466" w:type="dxa"/>
            <w:vAlign w:val="center"/>
          </w:tcPr>
          <w:p>
            <w:pPr>
              <w:pStyle w:val="14"/>
            </w:pPr>
            <w:r>
              <w:t>机关办公优质次数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机关高质量工作完成率</w:t>
            </w:r>
          </w:p>
        </w:tc>
        <w:tc>
          <w:tcPr>
            <w:tcW w:w="2466" w:type="dxa"/>
            <w:vAlign w:val="center"/>
          </w:tcPr>
          <w:p>
            <w:pPr>
              <w:pStyle w:val="14"/>
            </w:pPr>
            <w:r>
              <w:t>完成机关高质量工作占全年工作的比例</w:t>
            </w:r>
          </w:p>
        </w:tc>
        <w:tc>
          <w:tcPr>
            <w:tcW w:w="2466" w:type="dxa"/>
            <w:vAlign w:val="center"/>
          </w:tcPr>
          <w:p>
            <w:pPr>
              <w:pStyle w:val="14"/>
            </w:pPr>
            <w:r>
              <w:t>≥100完成机关高质量工作占全年工作的比例</w:t>
            </w:r>
          </w:p>
        </w:tc>
        <w:tc>
          <w:tcPr>
            <w:tcW w:w="2466" w:type="dxa"/>
            <w:vAlign w:val="center"/>
          </w:tcPr>
          <w:p>
            <w:pPr>
              <w:pStyle w:val="14"/>
            </w:pPr>
            <w:r>
              <w:t>机关高质量工作完成量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节能使用办公用品</w:t>
            </w:r>
          </w:p>
        </w:tc>
        <w:tc>
          <w:tcPr>
            <w:tcW w:w="2466" w:type="dxa"/>
            <w:vAlign w:val="center"/>
          </w:tcPr>
          <w:p>
            <w:pPr>
              <w:pStyle w:val="14"/>
            </w:pPr>
            <w:r>
              <w:t>日常使用办公用品更换率</w:t>
            </w:r>
          </w:p>
        </w:tc>
        <w:tc>
          <w:tcPr>
            <w:tcW w:w="2466" w:type="dxa"/>
            <w:vAlign w:val="center"/>
          </w:tcPr>
          <w:p>
            <w:pPr>
              <w:pStyle w:val="14"/>
            </w:pPr>
            <w:r>
              <w:t>≥30日常使用办公用品更换率</w:t>
            </w:r>
          </w:p>
        </w:tc>
        <w:tc>
          <w:tcPr>
            <w:tcW w:w="2466" w:type="dxa"/>
            <w:vAlign w:val="center"/>
          </w:tcPr>
          <w:p>
            <w:pPr>
              <w:pStyle w:val="14"/>
            </w:pPr>
            <w:r>
              <w:t>办公费详单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≥100增强业务能力</w:t>
            </w:r>
          </w:p>
        </w:tc>
        <w:tc>
          <w:tcPr>
            <w:tcW w:w="2466" w:type="dxa"/>
            <w:vAlign w:val="center"/>
          </w:tcPr>
          <w:p>
            <w:pPr>
              <w:pStyle w:val="14"/>
            </w:pPr>
            <w:r>
              <w:t>增强表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人员使用的满意度</w:t>
            </w:r>
          </w:p>
        </w:tc>
        <w:tc>
          <w:tcPr>
            <w:tcW w:w="2466" w:type="dxa"/>
            <w:vAlign w:val="center"/>
          </w:tcPr>
          <w:p>
            <w:pPr>
              <w:pStyle w:val="14"/>
            </w:pPr>
            <w:r>
              <w:t>≥90人员使用的满意度</w:t>
            </w:r>
          </w:p>
        </w:tc>
        <w:tc>
          <w:tcPr>
            <w:tcW w:w="2466" w:type="dxa"/>
            <w:vAlign w:val="center"/>
          </w:tcPr>
          <w:p>
            <w:pPr>
              <w:pStyle w:val="14"/>
            </w:pPr>
            <w:r>
              <w:t>使用办公用品投诉率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18、劳务派遣司机工资绩效目标表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1.保障全年劳务派遣人员工资保险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发放补助人数</w:t>
            </w:r>
          </w:p>
        </w:tc>
        <w:tc>
          <w:tcPr>
            <w:tcW w:w="2466" w:type="dxa"/>
            <w:vAlign w:val="center"/>
          </w:tcPr>
          <w:p>
            <w:pPr>
              <w:pStyle w:val="14"/>
            </w:pPr>
            <w:r>
              <w:t>反映发放或补助人员数量情况</w:t>
            </w:r>
          </w:p>
        </w:tc>
        <w:tc>
          <w:tcPr>
            <w:tcW w:w="2466" w:type="dxa"/>
            <w:vAlign w:val="center"/>
          </w:tcPr>
          <w:p>
            <w:pPr>
              <w:pStyle w:val="14"/>
            </w:pPr>
            <w:r>
              <w:t>≤12反映发放或补助人员数量情况</w:t>
            </w:r>
          </w:p>
        </w:tc>
        <w:tc>
          <w:tcPr>
            <w:tcW w:w="2466" w:type="dxa"/>
            <w:vAlign w:val="center"/>
          </w:tcPr>
          <w:p>
            <w:pPr>
              <w:pStyle w:val="14"/>
            </w:pPr>
            <w:r>
              <w:t>编制卡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发放（补助）次数</w:t>
            </w:r>
          </w:p>
        </w:tc>
        <w:tc>
          <w:tcPr>
            <w:tcW w:w="2466" w:type="dxa"/>
            <w:vAlign w:val="center"/>
          </w:tcPr>
          <w:p>
            <w:pPr>
              <w:pStyle w:val="14"/>
            </w:pPr>
            <w:r>
              <w:t>反映发放或补助频次情况</w:t>
            </w:r>
          </w:p>
        </w:tc>
        <w:tc>
          <w:tcPr>
            <w:tcW w:w="2466" w:type="dxa"/>
            <w:vAlign w:val="center"/>
          </w:tcPr>
          <w:p>
            <w:pPr>
              <w:pStyle w:val="14"/>
            </w:pPr>
            <w:r>
              <w:t>≤12反映发放或补助频次情况</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资金发放（补助）及时性</w:t>
            </w:r>
          </w:p>
        </w:tc>
        <w:tc>
          <w:tcPr>
            <w:tcW w:w="2466" w:type="dxa"/>
            <w:vAlign w:val="center"/>
          </w:tcPr>
          <w:p>
            <w:pPr>
              <w:pStyle w:val="14"/>
            </w:pPr>
            <w:r>
              <w:t>反映资金发放（补助）及时性</w:t>
            </w:r>
          </w:p>
        </w:tc>
        <w:tc>
          <w:tcPr>
            <w:tcW w:w="2466" w:type="dxa"/>
            <w:vAlign w:val="center"/>
          </w:tcPr>
          <w:p>
            <w:pPr>
              <w:pStyle w:val="14"/>
            </w:pPr>
            <w:r>
              <w:t>≥100反映资金发放（补助）及时性</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劳务派遣人员工资保险为504295.63</w:t>
            </w:r>
          </w:p>
        </w:tc>
        <w:tc>
          <w:tcPr>
            <w:tcW w:w="2466" w:type="dxa"/>
            <w:vAlign w:val="center"/>
          </w:tcPr>
          <w:p>
            <w:pPr>
              <w:pStyle w:val="14"/>
            </w:pPr>
            <w:r>
              <w:t>劳务派遣人员工资保险小于等于504295.63</w:t>
            </w:r>
          </w:p>
        </w:tc>
        <w:tc>
          <w:tcPr>
            <w:tcW w:w="2466" w:type="dxa"/>
            <w:vAlign w:val="center"/>
          </w:tcPr>
          <w:p>
            <w:pPr>
              <w:pStyle w:val="14"/>
            </w:pPr>
            <w:r>
              <w:t>≤504295.63劳务派遣人员工资保险小于等于504295.63</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招聘劳务派遣人员增加人员工资</w:t>
            </w:r>
          </w:p>
        </w:tc>
        <w:tc>
          <w:tcPr>
            <w:tcW w:w="2466" w:type="dxa"/>
            <w:vAlign w:val="center"/>
          </w:tcPr>
          <w:p>
            <w:pPr>
              <w:pStyle w:val="14"/>
            </w:pPr>
            <w:r>
              <w:t>招聘劳务派遣人员增加人员工资</w:t>
            </w:r>
          </w:p>
        </w:tc>
        <w:tc>
          <w:tcPr>
            <w:tcW w:w="2466" w:type="dxa"/>
            <w:vAlign w:val="center"/>
          </w:tcPr>
          <w:p>
            <w:pPr>
              <w:pStyle w:val="14"/>
            </w:pPr>
            <w:r>
              <w:t>≥100招聘劳务派遣人员增加人员工资</w:t>
            </w:r>
          </w:p>
        </w:tc>
        <w:tc>
          <w:tcPr>
            <w:tcW w:w="2466" w:type="dxa"/>
            <w:vAlign w:val="center"/>
          </w:tcPr>
          <w:p>
            <w:pPr>
              <w:pStyle w:val="14"/>
            </w:pPr>
            <w:r>
              <w:t>招聘报告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招聘劳务派遣人员增加就业率</w:t>
            </w:r>
          </w:p>
        </w:tc>
        <w:tc>
          <w:tcPr>
            <w:tcW w:w="2466" w:type="dxa"/>
            <w:vAlign w:val="center"/>
          </w:tcPr>
          <w:p>
            <w:pPr>
              <w:pStyle w:val="14"/>
            </w:pPr>
            <w:r>
              <w:t>招聘劳务派遣人员增加就业率</w:t>
            </w:r>
          </w:p>
        </w:tc>
        <w:tc>
          <w:tcPr>
            <w:tcW w:w="2466" w:type="dxa"/>
            <w:vAlign w:val="center"/>
          </w:tcPr>
          <w:p>
            <w:pPr>
              <w:pStyle w:val="14"/>
            </w:pPr>
            <w:r>
              <w:t>≥100招聘劳务派遣人员增加就业率</w:t>
            </w:r>
          </w:p>
        </w:tc>
        <w:tc>
          <w:tcPr>
            <w:tcW w:w="2466" w:type="dxa"/>
            <w:vAlign w:val="center"/>
          </w:tcPr>
          <w:p>
            <w:pPr>
              <w:pStyle w:val="14"/>
            </w:pPr>
            <w:r>
              <w:t>招聘报告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高效完成工作量</w:t>
            </w:r>
          </w:p>
        </w:tc>
        <w:tc>
          <w:tcPr>
            <w:tcW w:w="2466" w:type="dxa"/>
            <w:vAlign w:val="center"/>
          </w:tcPr>
          <w:p>
            <w:pPr>
              <w:pStyle w:val="14"/>
            </w:pPr>
            <w:r>
              <w:t>高效完成工作量完成工作</w:t>
            </w:r>
          </w:p>
        </w:tc>
        <w:tc>
          <w:tcPr>
            <w:tcW w:w="2466" w:type="dxa"/>
            <w:vAlign w:val="center"/>
          </w:tcPr>
          <w:p>
            <w:pPr>
              <w:pStyle w:val="14"/>
            </w:pPr>
            <w:r>
              <w:t>≥100高效完成工作量完成工作</w:t>
            </w:r>
          </w:p>
        </w:tc>
        <w:tc>
          <w:tcPr>
            <w:tcW w:w="2466" w:type="dxa"/>
            <w:vAlign w:val="center"/>
          </w:tcPr>
          <w:p>
            <w:pPr>
              <w:pStyle w:val="14"/>
            </w:pPr>
            <w:r>
              <w:t>安排工作量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日常出行率</w:t>
            </w:r>
          </w:p>
        </w:tc>
        <w:tc>
          <w:tcPr>
            <w:tcW w:w="2466" w:type="dxa"/>
            <w:vAlign w:val="center"/>
          </w:tcPr>
          <w:p>
            <w:pPr>
              <w:pStyle w:val="14"/>
            </w:pPr>
            <w:r>
              <w:t>日常出行使用司机</w:t>
            </w:r>
          </w:p>
        </w:tc>
        <w:tc>
          <w:tcPr>
            <w:tcW w:w="2466" w:type="dxa"/>
            <w:vAlign w:val="center"/>
          </w:tcPr>
          <w:p>
            <w:pPr>
              <w:pStyle w:val="14"/>
            </w:pPr>
            <w:r>
              <w:t>≥80日常出行使用司机</w:t>
            </w:r>
          </w:p>
        </w:tc>
        <w:tc>
          <w:tcPr>
            <w:tcW w:w="2466" w:type="dxa"/>
            <w:vAlign w:val="center"/>
          </w:tcPr>
          <w:p>
            <w:pPr>
              <w:pStyle w:val="14"/>
            </w:pPr>
            <w:r>
              <w:t>平台派车单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受益人员满意度</w:t>
            </w:r>
          </w:p>
        </w:tc>
        <w:tc>
          <w:tcPr>
            <w:tcW w:w="2466" w:type="dxa"/>
            <w:vAlign w:val="center"/>
          </w:tcPr>
          <w:p>
            <w:pPr>
              <w:pStyle w:val="14"/>
            </w:pPr>
            <w:r>
              <w:t>反映参加受益人员满意情况</w:t>
            </w:r>
          </w:p>
          <w:p>
            <w:pPr>
              <w:pStyle w:val="14"/>
            </w:pPr>
          </w:p>
        </w:tc>
        <w:tc>
          <w:tcPr>
            <w:tcW w:w="2466" w:type="dxa"/>
            <w:vAlign w:val="center"/>
          </w:tcPr>
          <w:p>
            <w:pPr>
              <w:pStyle w:val="14"/>
            </w:pPr>
            <w:r>
              <w:t>≥90反映参加受益人员满意情况</w:t>
            </w:r>
          </w:p>
          <w:p>
            <w:pPr>
              <w:pStyle w:val="14"/>
            </w:pP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19、领导干部健康服务经费绩效目标表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1.保障领导干部身体健康</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体检劳模人数</w:t>
            </w:r>
          </w:p>
        </w:tc>
        <w:tc>
          <w:tcPr>
            <w:tcW w:w="2466" w:type="dxa"/>
            <w:vAlign w:val="center"/>
          </w:tcPr>
          <w:p>
            <w:pPr>
              <w:pStyle w:val="14"/>
            </w:pPr>
            <w:r>
              <w:t>体检劳模人数</w:t>
            </w:r>
          </w:p>
        </w:tc>
        <w:tc>
          <w:tcPr>
            <w:tcW w:w="2466" w:type="dxa"/>
            <w:vAlign w:val="center"/>
          </w:tcPr>
          <w:p>
            <w:pPr>
              <w:pStyle w:val="14"/>
            </w:pPr>
            <w:r>
              <w:t>≥100体检劳模人数</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体检结果准确率</w:t>
            </w:r>
          </w:p>
        </w:tc>
        <w:tc>
          <w:tcPr>
            <w:tcW w:w="2466" w:type="dxa"/>
            <w:vAlign w:val="center"/>
          </w:tcPr>
          <w:p>
            <w:pPr>
              <w:pStyle w:val="14"/>
            </w:pPr>
            <w:r>
              <w:t>体检结果准确率</w:t>
            </w:r>
          </w:p>
        </w:tc>
        <w:tc>
          <w:tcPr>
            <w:tcW w:w="2466" w:type="dxa"/>
            <w:vAlign w:val="center"/>
          </w:tcPr>
          <w:p>
            <w:pPr>
              <w:pStyle w:val="14"/>
            </w:pPr>
            <w:r>
              <w:t>≥100体检结果准确率</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体检工作完成是否及时</w:t>
            </w:r>
          </w:p>
        </w:tc>
        <w:tc>
          <w:tcPr>
            <w:tcW w:w="2466" w:type="dxa"/>
            <w:vAlign w:val="center"/>
          </w:tcPr>
          <w:p>
            <w:pPr>
              <w:pStyle w:val="14"/>
            </w:pPr>
            <w:r>
              <w:t>体检工作完成是否及时</w:t>
            </w:r>
          </w:p>
        </w:tc>
        <w:tc>
          <w:tcPr>
            <w:tcW w:w="2466" w:type="dxa"/>
            <w:vAlign w:val="center"/>
          </w:tcPr>
          <w:p>
            <w:pPr>
              <w:pStyle w:val="14"/>
            </w:pPr>
            <w:r>
              <w:t>100体检工作完成是否及时</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劳模体检成本</w:t>
            </w:r>
          </w:p>
        </w:tc>
        <w:tc>
          <w:tcPr>
            <w:tcW w:w="2466" w:type="dxa"/>
            <w:vAlign w:val="center"/>
          </w:tcPr>
          <w:p>
            <w:pPr>
              <w:pStyle w:val="14"/>
            </w:pPr>
            <w:r>
              <w:t>劳模体检成本</w:t>
            </w:r>
          </w:p>
          <w:p>
            <w:pPr>
              <w:pStyle w:val="14"/>
            </w:pPr>
          </w:p>
        </w:tc>
        <w:tc>
          <w:tcPr>
            <w:tcW w:w="2466" w:type="dxa"/>
            <w:vAlign w:val="center"/>
          </w:tcPr>
          <w:p>
            <w:pPr>
              <w:pStyle w:val="14"/>
            </w:pPr>
            <w:r>
              <w:t>≤57118劳模体检成本</w:t>
            </w:r>
          </w:p>
          <w:p>
            <w:pPr>
              <w:pStyle w:val="14"/>
            </w:pPr>
          </w:p>
        </w:tc>
        <w:tc>
          <w:tcPr>
            <w:tcW w:w="2466" w:type="dxa"/>
            <w:vAlign w:val="center"/>
          </w:tcPr>
          <w:p>
            <w:pPr>
              <w:pStyle w:val="14"/>
            </w:pPr>
            <w:r>
              <w:t>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资金使用合规性</w:t>
            </w:r>
          </w:p>
        </w:tc>
        <w:tc>
          <w:tcPr>
            <w:tcW w:w="2466" w:type="dxa"/>
            <w:vAlign w:val="center"/>
          </w:tcPr>
          <w:p>
            <w:pPr>
              <w:pStyle w:val="14"/>
            </w:pPr>
            <w:r>
              <w:t>资金使用合规性</w:t>
            </w:r>
          </w:p>
        </w:tc>
        <w:tc>
          <w:tcPr>
            <w:tcW w:w="2466" w:type="dxa"/>
            <w:vAlign w:val="center"/>
          </w:tcPr>
          <w:p>
            <w:pPr>
              <w:pStyle w:val="14"/>
            </w:pPr>
            <w:r>
              <w:t>≥100资金使用合规性</w:t>
            </w:r>
          </w:p>
        </w:tc>
        <w:tc>
          <w:tcPr>
            <w:tcW w:w="2466"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 xml:space="preserve"> 确诊领导救治率</w:t>
            </w:r>
          </w:p>
        </w:tc>
        <w:tc>
          <w:tcPr>
            <w:tcW w:w="2466" w:type="dxa"/>
            <w:vAlign w:val="center"/>
          </w:tcPr>
          <w:p>
            <w:pPr>
              <w:pStyle w:val="14"/>
            </w:pPr>
            <w:r>
              <w:t xml:space="preserve"> 确诊领导救治率</w:t>
            </w:r>
          </w:p>
        </w:tc>
        <w:tc>
          <w:tcPr>
            <w:tcW w:w="2466" w:type="dxa"/>
            <w:vAlign w:val="center"/>
          </w:tcPr>
          <w:p>
            <w:pPr>
              <w:pStyle w:val="14"/>
            </w:pPr>
            <w:r>
              <w:t>≥90 确诊领导救治率</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制度执行有效性</w:t>
            </w:r>
          </w:p>
        </w:tc>
        <w:tc>
          <w:tcPr>
            <w:tcW w:w="2466" w:type="dxa"/>
            <w:vAlign w:val="center"/>
          </w:tcPr>
          <w:p>
            <w:pPr>
              <w:pStyle w:val="14"/>
            </w:pPr>
            <w:r>
              <w:t>制度执行有效性</w:t>
            </w:r>
          </w:p>
        </w:tc>
        <w:tc>
          <w:tcPr>
            <w:tcW w:w="2466" w:type="dxa"/>
            <w:vAlign w:val="center"/>
          </w:tcPr>
          <w:p>
            <w:pPr>
              <w:pStyle w:val="14"/>
            </w:pPr>
            <w:r>
              <w:t>≥100制度执行有效性</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领导健康有利于工作进展</w:t>
            </w:r>
          </w:p>
        </w:tc>
        <w:tc>
          <w:tcPr>
            <w:tcW w:w="2466" w:type="dxa"/>
            <w:vAlign w:val="center"/>
          </w:tcPr>
          <w:p>
            <w:pPr>
              <w:pStyle w:val="14"/>
            </w:pPr>
            <w:r>
              <w:t>领导健康有利于工作进展程度</w:t>
            </w:r>
          </w:p>
        </w:tc>
        <w:tc>
          <w:tcPr>
            <w:tcW w:w="2466" w:type="dxa"/>
            <w:vAlign w:val="center"/>
          </w:tcPr>
          <w:p>
            <w:pPr>
              <w:pStyle w:val="14"/>
            </w:pPr>
            <w:r>
              <w:t>≥80领导健康有利于工作进展程度</w:t>
            </w:r>
          </w:p>
        </w:tc>
        <w:tc>
          <w:tcPr>
            <w:tcW w:w="2466" w:type="dxa"/>
            <w:vAlign w:val="center"/>
          </w:tcPr>
          <w:p>
            <w:pPr>
              <w:pStyle w:val="14"/>
            </w:pPr>
            <w:r>
              <w:t>体检报告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 xml:space="preserve">领导满意度 </w:t>
            </w:r>
          </w:p>
        </w:tc>
        <w:tc>
          <w:tcPr>
            <w:tcW w:w="2466" w:type="dxa"/>
            <w:vAlign w:val="center"/>
          </w:tcPr>
          <w:p>
            <w:pPr>
              <w:pStyle w:val="14"/>
            </w:pPr>
            <w:r>
              <w:t xml:space="preserve">领导满意度 </w:t>
            </w:r>
          </w:p>
        </w:tc>
        <w:tc>
          <w:tcPr>
            <w:tcW w:w="2466" w:type="dxa"/>
            <w:vAlign w:val="center"/>
          </w:tcPr>
          <w:p>
            <w:pPr>
              <w:pStyle w:val="14"/>
            </w:pPr>
            <w:r>
              <w:t xml:space="preserve">≥90领导满意度 </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20、食堂服务费绩效目标表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1.政府县委大院人员就餐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就餐数量</w:t>
            </w:r>
          </w:p>
        </w:tc>
        <w:tc>
          <w:tcPr>
            <w:tcW w:w="2466" w:type="dxa"/>
            <w:vAlign w:val="center"/>
          </w:tcPr>
          <w:p>
            <w:pPr>
              <w:pStyle w:val="14"/>
            </w:pPr>
            <w:r>
              <w:t>全年就餐金额</w:t>
            </w:r>
          </w:p>
        </w:tc>
        <w:tc>
          <w:tcPr>
            <w:tcW w:w="2466" w:type="dxa"/>
            <w:vAlign w:val="center"/>
          </w:tcPr>
          <w:p>
            <w:pPr>
              <w:pStyle w:val="14"/>
            </w:pPr>
            <w:r>
              <w:t>≥100全年就餐金额</w:t>
            </w:r>
          </w:p>
        </w:tc>
        <w:tc>
          <w:tcPr>
            <w:tcW w:w="2466" w:type="dxa"/>
            <w:vAlign w:val="center"/>
          </w:tcPr>
          <w:p>
            <w:pPr>
              <w:pStyle w:val="14"/>
            </w:pPr>
            <w:r>
              <w:t>全年花费数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菜品出新率</w:t>
            </w:r>
          </w:p>
        </w:tc>
        <w:tc>
          <w:tcPr>
            <w:tcW w:w="2466" w:type="dxa"/>
            <w:vAlign w:val="center"/>
          </w:tcPr>
          <w:p>
            <w:pPr>
              <w:pStyle w:val="14"/>
            </w:pPr>
            <w:r>
              <w:t>每月都出新饭样</w:t>
            </w:r>
          </w:p>
        </w:tc>
        <w:tc>
          <w:tcPr>
            <w:tcW w:w="2466" w:type="dxa"/>
            <w:vAlign w:val="center"/>
          </w:tcPr>
          <w:p>
            <w:pPr>
              <w:pStyle w:val="14"/>
            </w:pPr>
            <w:r>
              <w:t>≥12每月都出新饭样</w:t>
            </w:r>
          </w:p>
        </w:tc>
        <w:tc>
          <w:tcPr>
            <w:tcW w:w="2466" w:type="dxa"/>
            <w:vAlign w:val="center"/>
          </w:tcPr>
          <w:p>
            <w:pPr>
              <w:pStyle w:val="14"/>
            </w:pPr>
            <w:r>
              <w:t>菜品数量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设备设施完好率</w:t>
            </w:r>
          </w:p>
        </w:tc>
        <w:tc>
          <w:tcPr>
            <w:tcW w:w="2466" w:type="dxa"/>
            <w:vAlign w:val="center"/>
          </w:tcPr>
          <w:p>
            <w:pPr>
              <w:pStyle w:val="14"/>
            </w:pPr>
            <w:r>
              <w:t>设备设施完好率大于等于80%</w:t>
            </w:r>
          </w:p>
        </w:tc>
        <w:tc>
          <w:tcPr>
            <w:tcW w:w="2466" w:type="dxa"/>
            <w:vAlign w:val="center"/>
          </w:tcPr>
          <w:p>
            <w:pPr>
              <w:pStyle w:val="14"/>
            </w:pPr>
            <w:r>
              <w:t>≥80设备设施完好率大于等于80%</w:t>
            </w:r>
          </w:p>
        </w:tc>
        <w:tc>
          <w:tcPr>
            <w:tcW w:w="2466" w:type="dxa"/>
            <w:vAlign w:val="center"/>
          </w:tcPr>
          <w:p>
            <w:pPr>
              <w:pStyle w:val="14"/>
            </w:pPr>
            <w:r>
              <w:t>设备购置情况表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全年指标花费</w:t>
            </w:r>
          </w:p>
        </w:tc>
        <w:tc>
          <w:tcPr>
            <w:tcW w:w="2466" w:type="dxa"/>
            <w:vAlign w:val="center"/>
          </w:tcPr>
          <w:p>
            <w:pPr>
              <w:pStyle w:val="14"/>
            </w:pPr>
            <w:r>
              <w:t>全年指标花费小于等于</w:t>
            </w:r>
          </w:p>
        </w:tc>
        <w:tc>
          <w:tcPr>
            <w:tcW w:w="2466" w:type="dxa"/>
            <w:vAlign w:val="center"/>
          </w:tcPr>
          <w:p>
            <w:pPr>
              <w:pStyle w:val="14"/>
            </w:pPr>
            <w:r>
              <w:t>≥100全年指标花费小于等于</w:t>
            </w:r>
          </w:p>
        </w:tc>
        <w:tc>
          <w:tcPr>
            <w:tcW w:w="246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卫生清洁达标率</w:t>
            </w:r>
          </w:p>
        </w:tc>
        <w:tc>
          <w:tcPr>
            <w:tcW w:w="2466" w:type="dxa"/>
            <w:vAlign w:val="center"/>
          </w:tcPr>
          <w:p>
            <w:pPr>
              <w:pStyle w:val="14"/>
            </w:pPr>
            <w:r>
              <w:t>考核期内卫生达标100%</w:t>
            </w:r>
          </w:p>
        </w:tc>
        <w:tc>
          <w:tcPr>
            <w:tcW w:w="2466" w:type="dxa"/>
            <w:vAlign w:val="center"/>
          </w:tcPr>
          <w:p>
            <w:pPr>
              <w:pStyle w:val="14"/>
            </w:pPr>
            <w:r>
              <w:t>≥100考核期内卫生达标100%</w:t>
            </w:r>
          </w:p>
        </w:tc>
        <w:tc>
          <w:tcPr>
            <w:tcW w:w="2466" w:type="dxa"/>
            <w:vAlign w:val="center"/>
          </w:tcPr>
          <w:p>
            <w:pPr>
              <w:pStyle w:val="14"/>
            </w:pPr>
            <w:r>
              <w:t>考核表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经营GOP率</w:t>
            </w:r>
          </w:p>
        </w:tc>
        <w:tc>
          <w:tcPr>
            <w:tcW w:w="2466" w:type="dxa"/>
            <w:vAlign w:val="center"/>
          </w:tcPr>
          <w:p>
            <w:pPr>
              <w:pStyle w:val="14"/>
            </w:pPr>
            <w:r>
              <w:t>经营GOP大于等于100%</w:t>
            </w:r>
          </w:p>
        </w:tc>
        <w:tc>
          <w:tcPr>
            <w:tcW w:w="2466" w:type="dxa"/>
            <w:vAlign w:val="center"/>
          </w:tcPr>
          <w:p>
            <w:pPr>
              <w:pStyle w:val="14"/>
            </w:pPr>
            <w:r>
              <w:t>≥100经营GOP大于等于100%</w:t>
            </w:r>
          </w:p>
        </w:tc>
        <w:tc>
          <w:tcPr>
            <w:tcW w:w="2466" w:type="dxa"/>
            <w:vAlign w:val="center"/>
          </w:tcPr>
          <w:p>
            <w:pPr>
              <w:pStyle w:val="14"/>
            </w:pPr>
            <w:r>
              <w:t>年末总结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经营成本节约率</w:t>
            </w:r>
          </w:p>
        </w:tc>
        <w:tc>
          <w:tcPr>
            <w:tcW w:w="2466" w:type="dxa"/>
            <w:vAlign w:val="center"/>
          </w:tcPr>
          <w:p>
            <w:pPr>
              <w:pStyle w:val="14"/>
            </w:pPr>
            <w:r>
              <w:t>经营成本节约粮食率</w:t>
            </w:r>
          </w:p>
        </w:tc>
        <w:tc>
          <w:tcPr>
            <w:tcW w:w="2466" w:type="dxa"/>
            <w:vAlign w:val="center"/>
          </w:tcPr>
          <w:p>
            <w:pPr>
              <w:pStyle w:val="14"/>
            </w:pPr>
            <w:r>
              <w:t>≥100经营成本节约粮食率</w:t>
            </w:r>
          </w:p>
        </w:tc>
        <w:tc>
          <w:tcPr>
            <w:tcW w:w="2466" w:type="dxa"/>
            <w:vAlign w:val="center"/>
          </w:tcPr>
          <w:p>
            <w:pPr>
              <w:pStyle w:val="14"/>
            </w:pPr>
            <w:r>
              <w:t>检查不合格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饭菜投诉率</w:t>
            </w:r>
          </w:p>
        </w:tc>
        <w:tc>
          <w:tcPr>
            <w:tcW w:w="2466" w:type="dxa"/>
            <w:vAlign w:val="center"/>
          </w:tcPr>
          <w:p>
            <w:pPr>
              <w:pStyle w:val="14"/>
            </w:pPr>
            <w:r>
              <w:t>饭菜投诉率小于等于80%</w:t>
            </w:r>
          </w:p>
        </w:tc>
        <w:tc>
          <w:tcPr>
            <w:tcW w:w="2466" w:type="dxa"/>
            <w:vAlign w:val="center"/>
          </w:tcPr>
          <w:p>
            <w:pPr>
              <w:pStyle w:val="14"/>
            </w:pPr>
            <w:r>
              <w:t>≤80饭菜投诉率小于等于80%</w:t>
            </w:r>
          </w:p>
        </w:tc>
        <w:tc>
          <w:tcPr>
            <w:tcW w:w="2466" w:type="dxa"/>
            <w:vAlign w:val="center"/>
          </w:tcPr>
          <w:p>
            <w:pPr>
              <w:pStyle w:val="14"/>
            </w:pPr>
            <w: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人员就餐满意度</w:t>
            </w:r>
          </w:p>
        </w:tc>
        <w:tc>
          <w:tcPr>
            <w:tcW w:w="2466" w:type="dxa"/>
            <w:vAlign w:val="center"/>
          </w:tcPr>
          <w:p>
            <w:pPr>
              <w:pStyle w:val="14"/>
            </w:pPr>
            <w:r>
              <w:t>≥90人员就餐满意度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21、退役军人岗位补贴绩效目标表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1.保证机关大院卫生情况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发放补助人数</w:t>
            </w:r>
          </w:p>
        </w:tc>
        <w:tc>
          <w:tcPr>
            <w:tcW w:w="2466" w:type="dxa"/>
            <w:vAlign w:val="center"/>
          </w:tcPr>
          <w:p>
            <w:pPr>
              <w:pStyle w:val="14"/>
            </w:pPr>
            <w:r>
              <w:t>反映发放或补助人员数量情况</w:t>
            </w:r>
          </w:p>
        </w:tc>
        <w:tc>
          <w:tcPr>
            <w:tcW w:w="2466" w:type="dxa"/>
            <w:vAlign w:val="center"/>
          </w:tcPr>
          <w:p>
            <w:pPr>
              <w:pStyle w:val="14"/>
            </w:pPr>
            <w:r>
              <w:t>4反映发放或补助人员数量情况</w:t>
            </w:r>
          </w:p>
        </w:tc>
        <w:tc>
          <w:tcPr>
            <w:tcW w:w="2466" w:type="dxa"/>
            <w:vAlign w:val="center"/>
          </w:tcPr>
          <w:p>
            <w:pPr>
              <w:pStyle w:val="14"/>
            </w:pPr>
            <w:r>
              <w:t>退役军人人员表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发放（补助）次数</w:t>
            </w:r>
          </w:p>
        </w:tc>
        <w:tc>
          <w:tcPr>
            <w:tcW w:w="2466" w:type="dxa"/>
            <w:vAlign w:val="center"/>
          </w:tcPr>
          <w:p>
            <w:pPr>
              <w:pStyle w:val="14"/>
            </w:pPr>
            <w:r>
              <w:t>反映发放或补助频次情况</w:t>
            </w:r>
          </w:p>
        </w:tc>
        <w:tc>
          <w:tcPr>
            <w:tcW w:w="2466" w:type="dxa"/>
            <w:vAlign w:val="center"/>
          </w:tcPr>
          <w:p>
            <w:pPr>
              <w:pStyle w:val="14"/>
            </w:pPr>
            <w:r>
              <w:t>4反映发放或补助频次情况</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资金发放（补助）及时性</w:t>
            </w:r>
          </w:p>
        </w:tc>
        <w:tc>
          <w:tcPr>
            <w:tcW w:w="2466" w:type="dxa"/>
            <w:vAlign w:val="center"/>
          </w:tcPr>
          <w:p>
            <w:pPr>
              <w:pStyle w:val="14"/>
            </w:pPr>
            <w:r>
              <w:t>反映资金发放（补助）及时性</w:t>
            </w:r>
          </w:p>
        </w:tc>
        <w:tc>
          <w:tcPr>
            <w:tcW w:w="2466" w:type="dxa"/>
            <w:vAlign w:val="center"/>
          </w:tcPr>
          <w:p>
            <w:pPr>
              <w:pStyle w:val="14"/>
            </w:pPr>
            <w:r>
              <w:t>≥100反映资金发放（补助）及时性</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劳务派遣人员工资保险小于等于101747.34元</w:t>
            </w:r>
          </w:p>
          <w:p>
            <w:pPr>
              <w:pStyle w:val="14"/>
            </w:pPr>
          </w:p>
        </w:tc>
        <w:tc>
          <w:tcPr>
            <w:tcW w:w="2466" w:type="dxa"/>
            <w:vAlign w:val="center"/>
          </w:tcPr>
          <w:p>
            <w:pPr>
              <w:pStyle w:val="14"/>
            </w:pPr>
            <w:r>
              <w:t>劳务派遣人员工资保险小于等于101747.34</w:t>
            </w:r>
          </w:p>
        </w:tc>
        <w:tc>
          <w:tcPr>
            <w:tcW w:w="2466" w:type="dxa"/>
            <w:vAlign w:val="center"/>
          </w:tcPr>
          <w:p>
            <w:pPr>
              <w:pStyle w:val="14"/>
            </w:pPr>
            <w:r>
              <w:t>≤101747.34劳务派遣人员工资保险小于等于504295.63元</w:t>
            </w:r>
          </w:p>
        </w:tc>
        <w:tc>
          <w:tcPr>
            <w:tcW w:w="2466" w:type="dxa"/>
            <w:vAlign w:val="center"/>
          </w:tcPr>
          <w:p>
            <w:pPr>
              <w:pStyle w:val="14"/>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招聘退役军人人员增加就业率</w:t>
            </w:r>
          </w:p>
        </w:tc>
        <w:tc>
          <w:tcPr>
            <w:tcW w:w="2466" w:type="dxa"/>
            <w:vAlign w:val="center"/>
          </w:tcPr>
          <w:p>
            <w:pPr>
              <w:pStyle w:val="14"/>
            </w:pPr>
            <w:r>
              <w:t>招聘退役军人人员增加就业率</w:t>
            </w:r>
          </w:p>
        </w:tc>
        <w:tc>
          <w:tcPr>
            <w:tcW w:w="2466" w:type="dxa"/>
            <w:vAlign w:val="center"/>
          </w:tcPr>
          <w:p>
            <w:pPr>
              <w:pStyle w:val="14"/>
            </w:pPr>
            <w:r>
              <w:t>≥100招聘退役军人人员增加就业率</w:t>
            </w:r>
          </w:p>
        </w:tc>
        <w:tc>
          <w:tcPr>
            <w:tcW w:w="2466" w:type="dxa"/>
            <w:vAlign w:val="center"/>
          </w:tcPr>
          <w:p>
            <w:pPr>
              <w:pStyle w:val="14"/>
            </w:pPr>
            <w:r>
              <w:t>退役军人人员表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招聘退役军人人员增加就业率</w:t>
            </w:r>
          </w:p>
        </w:tc>
        <w:tc>
          <w:tcPr>
            <w:tcW w:w="2466" w:type="dxa"/>
            <w:vAlign w:val="center"/>
          </w:tcPr>
          <w:p>
            <w:pPr>
              <w:pStyle w:val="14"/>
            </w:pPr>
            <w:r>
              <w:t>招聘退役军人人员增加就业率</w:t>
            </w:r>
          </w:p>
        </w:tc>
        <w:tc>
          <w:tcPr>
            <w:tcW w:w="2466" w:type="dxa"/>
            <w:vAlign w:val="center"/>
          </w:tcPr>
          <w:p>
            <w:pPr>
              <w:pStyle w:val="14"/>
            </w:pPr>
            <w:r>
              <w:t>≥100招聘退役军人人员增加就业率</w:t>
            </w:r>
          </w:p>
        </w:tc>
        <w:tc>
          <w:tcPr>
            <w:tcW w:w="2466" w:type="dxa"/>
            <w:vAlign w:val="center"/>
          </w:tcPr>
          <w:p>
            <w:pPr>
              <w:pStyle w:val="14"/>
            </w:pPr>
            <w:r>
              <w:t>退役军人人员表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高效完成工作量</w:t>
            </w:r>
          </w:p>
        </w:tc>
        <w:tc>
          <w:tcPr>
            <w:tcW w:w="2466" w:type="dxa"/>
            <w:vAlign w:val="center"/>
          </w:tcPr>
          <w:p>
            <w:pPr>
              <w:pStyle w:val="14"/>
            </w:pPr>
            <w:r>
              <w:t>高效完成工作量完成工作</w:t>
            </w:r>
          </w:p>
        </w:tc>
        <w:tc>
          <w:tcPr>
            <w:tcW w:w="2466" w:type="dxa"/>
            <w:vAlign w:val="center"/>
          </w:tcPr>
          <w:p>
            <w:pPr>
              <w:pStyle w:val="14"/>
            </w:pPr>
            <w:r>
              <w:t>≥100高效完成工作量完成工作</w:t>
            </w:r>
          </w:p>
        </w:tc>
        <w:tc>
          <w:tcPr>
            <w:tcW w:w="2466" w:type="dxa"/>
            <w:vAlign w:val="center"/>
          </w:tcPr>
          <w:p>
            <w:pPr>
              <w:pStyle w:val="14"/>
            </w:pPr>
            <w:r>
              <w:t>安排工作量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≥100可持续完成服务</w:t>
            </w:r>
          </w:p>
        </w:tc>
        <w:tc>
          <w:tcPr>
            <w:tcW w:w="2466" w:type="dxa"/>
            <w:vAlign w:val="center"/>
          </w:tcPr>
          <w:p>
            <w:pPr>
              <w:pStyle w:val="14"/>
            </w:pPr>
            <w:r>
              <w:t>可持续时间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受益人员满意度</w:t>
            </w:r>
          </w:p>
        </w:tc>
        <w:tc>
          <w:tcPr>
            <w:tcW w:w="2466" w:type="dxa"/>
            <w:vAlign w:val="center"/>
          </w:tcPr>
          <w:p>
            <w:pPr>
              <w:pStyle w:val="14"/>
            </w:pPr>
            <w:r>
              <w:t>反映参加受益人员满意情况</w:t>
            </w:r>
          </w:p>
          <w:p>
            <w:pPr>
              <w:pStyle w:val="14"/>
            </w:pPr>
          </w:p>
        </w:tc>
        <w:tc>
          <w:tcPr>
            <w:tcW w:w="2466" w:type="dxa"/>
            <w:vAlign w:val="center"/>
          </w:tcPr>
          <w:p>
            <w:pPr>
              <w:pStyle w:val="14"/>
            </w:pPr>
            <w:r>
              <w:t>≥80反映参加受益人员满意情况</w:t>
            </w:r>
          </w:p>
          <w:p>
            <w:pPr>
              <w:pStyle w:val="14"/>
            </w:pP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22、县委县政府后勤保障服务费绩效目标表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1.确保县委县政府、人大院后勤服务正常运行</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维修大院房屋的数量</w:t>
            </w:r>
          </w:p>
        </w:tc>
        <w:tc>
          <w:tcPr>
            <w:tcW w:w="2466" w:type="dxa"/>
            <w:vAlign w:val="center"/>
          </w:tcPr>
          <w:p>
            <w:pPr>
              <w:pStyle w:val="14"/>
            </w:pPr>
            <w:r>
              <w:t>维修房屋数量大于100%</w:t>
            </w:r>
          </w:p>
        </w:tc>
        <w:tc>
          <w:tcPr>
            <w:tcW w:w="2466" w:type="dxa"/>
            <w:vAlign w:val="center"/>
          </w:tcPr>
          <w:p>
            <w:pPr>
              <w:pStyle w:val="14"/>
            </w:pPr>
            <w:r>
              <w:t>≥100维修房屋数量大于100%</w:t>
            </w:r>
          </w:p>
        </w:tc>
        <w:tc>
          <w:tcPr>
            <w:tcW w:w="2466" w:type="dxa"/>
            <w:vAlign w:val="center"/>
          </w:tcPr>
          <w:p>
            <w:pPr>
              <w:pStyle w:val="14"/>
            </w:pPr>
            <w:r>
              <w:t>使用投诉率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物业后勤服务质量</w:t>
            </w:r>
          </w:p>
        </w:tc>
        <w:tc>
          <w:tcPr>
            <w:tcW w:w="2466" w:type="dxa"/>
            <w:vAlign w:val="center"/>
          </w:tcPr>
          <w:p>
            <w:pPr>
              <w:pStyle w:val="14"/>
            </w:pPr>
            <w:r>
              <w:t>物业服务质量大于90%</w:t>
            </w:r>
          </w:p>
        </w:tc>
        <w:tc>
          <w:tcPr>
            <w:tcW w:w="2466" w:type="dxa"/>
            <w:vAlign w:val="center"/>
          </w:tcPr>
          <w:p>
            <w:pPr>
              <w:pStyle w:val="14"/>
            </w:pPr>
            <w:r>
              <w:t>≥90物业服务质量大于90%</w:t>
            </w:r>
          </w:p>
        </w:tc>
        <w:tc>
          <w:tcPr>
            <w:tcW w:w="2466" w:type="dxa"/>
            <w:vAlign w:val="center"/>
          </w:tcPr>
          <w:p>
            <w:pPr>
              <w:pStyle w:val="14"/>
            </w:pPr>
            <w: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邮电费使用率</w:t>
            </w:r>
          </w:p>
        </w:tc>
        <w:tc>
          <w:tcPr>
            <w:tcW w:w="2466" w:type="dxa"/>
            <w:vAlign w:val="center"/>
          </w:tcPr>
          <w:p>
            <w:pPr>
              <w:pStyle w:val="14"/>
            </w:pPr>
            <w:r>
              <w:t>邮电费使用率占全部费用支出量</w:t>
            </w:r>
          </w:p>
        </w:tc>
        <w:tc>
          <w:tcPr>
            <w:tcW w:w="2466" w:type="dxa"/>
            <w:vAlign w:val="center"/>
          </w:tcPr>
          <w:p>
            <w:pPr>
              <w:pStyle w:val="14"/>
            </w:pPr>
            <w:r>
              <w:t>≥100邮电费使用率占全部费用支出量</w:t>
            </w:r>
          </w:p>
        </w:tc>
        <w:tc>
          <w:tcPr>
            <w:tcW w:w="2466" w:type="dxa"/>
            <w:vAlign w:val="center"/>
          </w:tcPr>
          <w:p>
            <w:pPr>
              <w:pStyle w:val="14"/>
            </w:pPr>
            <w: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房屋维修维护费</w:t>
            </w:r>
          </w:p>
        </w:tc>
        <w:tc>
          <w:tcPr>
            <w:tcW w:w="2466" w:type="dxa"/>
            <w:vAlign w:val="center"/>
          </w:tcPr>
          <w:p>
            <w:pPr>
              <w:pStyle w:val="14"/>
            </w:pPr>
            <w:r>
              <w:t>房屋维修维护费小于等于</w:t>
            </w:r>
          </w:p>
        </w:tc>
        <w:tc>
          <w:tcPr>
            <w:tcW w:w="2466" w:type="dxa"/>
            <w:vAlign w:val="center"/>
          </w:tcPr>
          <w:p>
            <w:pPr>
              <w:pStyle w:val="14"/>
            </w:pPr>
            <w:r>
              <w:t>≥288850房屋维修维护费小于等于</w:t>
            </w:r>
          </w:p>
        </w:tc>
        <w:tc>
          <w:tcPr>
            <w:tcW w:w="2466" w:type="dxa"/>
            <w:vAlign w:val="center"/>
          </w:tcPr>
          <w:p>
            <w:pPr>
              <w:pStyle w:val="14"/>
            </w:pPr>
            <w:r>
              <w:t>结算金额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设备购置影响率</w:t>
            </w:r>
          </w:p>
        </w:tc>
        <w:tc>
          <w:tcPr>
            <w:tcW w:w="2466" w:type="dxa"/>
            <w:vAlign w:val="center"/>
          </w:tcPr>
          <w:p>
            <w:pPr>
              <w:pStyle w:val="14"/>
            </w:pPr>
            <w:r>
              <w:t>办公设备购置占全部资产率</w:t>
            </w:r>
          </w:p>
        </w:tc>
        <w:tc>
          <w:tcPr>
            <w:tcW w:w="2466" w:type="dxa"/>
            <w:vAlign w:val="center"/>
          </w:tcPr>
          <w:p>
            <w:pPr>
              <w:pStyle w:val="14"/>
            </w:pPr>
            <w:r>
              <w:t>≥50办公设备购置占全部资产率</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维修效果</w:t>
            </w:r>
          </w:p>
        </w:tc>
        <w:tc>
          <w:tcPr>
            <w:tcW w:w="2466" w:type="dxa"/>
            <w:vAlign w:val="center"/>
          </w:tcPr>
          <w:p>
            <w:pPr>
              <w:pStyle w:val="14"/>
            </w:pPr>
            <w:r>
              <w:t>维修效果</w:t>
            </w:r>
          </w:p>
        </w:tc>
        <w:tc>
          <w:tcPr>
            <w:tcW w:w="2466" w:type="dxa"/>
            <w:vAlign w:val="center"/>
          </w:tcPr>
          <w:p>
            <w:pPr>
              <w:pStyle w:val="14"/>
            </w:pPr>
            <w:r>
              <w:t>≥100维修效果</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建设项目环评执行率%</w:t>
            </w:r>
          </w:p>
        </w:tc>
        <w:tc>
          <w:tcPr>
            <w:tcW w:w="2466" w:type="dxa"/>
            <w:vAlign w:val="center"/>
          </w:tcPr>
          <w:p>
            <w:pPr>
              <w:pStyle w:val="14"/>
            </w:pPr>
            <w:r>
              <w:t>建设项目环评执行率%</w:t>
            </w:r>
          </w:p>
        </w:tc>
        <w:tc>
          <w:tcPr>
            <w:tcW w:w="2466" w:type="dxa"/>
            <w:vAlign w:val="center"/>
          </w:tcPr>
          <w:p>
            <w:pPr>
              <w:pStyle w:val="14"/>
            </w:pPr>
            <w:r>
              <w:t>≥80建设项目环评执行率%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维修房屋后使用安全期限</w:t>
            </w:r>
          </w:p>
        </w:tc>
        <w:tc>
          <w:tcPr>
            <w:tcW w:w="2466" w:type="dxa"/>
            <w:vAlign w:val="center"/>
          </w:tcPr>
          <w:p>
            <w:pPr>
              <w:pStyle w:val="14"/>
            </w:pPr>
            <w:r>
              <w:t>维修房屋后使用安全期限</w:t>
            </w:r>
          </w:p>
        </w:tc>
        <w:tc>
          <w:tcPr>
            <w:tcW w:w="2466" w:type="dxa"/>
            <w:vAlign w:val="center"/>
          </w:tcPr>
          <w:p>
            <w:pPr>
              <w:pStyle w:val="14"/>
            </w:pPr>
            <w:r>
              <w:t>≥100维修房屋后使用安全期限</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维修房屋后使用的满意度</w:t>
            </w:r>
          </w:p>
        </w:tc>
        <w:tc>
          <w:tcPr>
            <w:tcW w:w="2466" w:type="dxa"/>
            <w:vAlign w:val="center"/>
          </w:tcPr>
          <w:p>
            <w:pPr>
              <w:pStyle w:val="14"/>
            </w:pPr>
            <w:r>
              <w:t>≥90维修房屋后使用的满意度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23、县直党政机关办公用房维修基金绩效目标表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1.确保县县直党政机关办公用房维修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维修大院房屋的数量</w:t>
            </w:r>
          </w:p>
        </w:tc>
        <w:tc>
          <w:tcPr>
            <w:tcW w:w="2466" w:type="dxa"/>
            <w:vAlign w:val="center"/>
          </w:tcPr>
          <w:p>
            <w:pPr>
              <w:pStyle w:val="14"/>
            </w:pPr>
            <w:r>
              <w:t>维修房屋数量大于100%</w:t>
            </w:r>
          </w:p>
        </w:tc>
        <w:tc>
          <w:tcPr>
            <w:tcW w:w="2466" w:type="dxa"/>
            <w:vAlign w:val="center"/>
          </w:tcPr>
          <w:p>
            <w:pPr>
              <w:pStyle w:val="14"/>
            </w:pPr>
            <w:r>
              <w:t>≥100维修房屋数量大于100%</w:t>
            </w:r>
          </w:p>
        </w:tc>
        <w:tc>
          <w:tcPr>
            <w:tcW w:w="2466" w:type="dxa"/>
            <w:vAlign w:val="center"/>
          </w:tcPr>
          <w:p>
            <w:pPr>
              <w:pStyle w:val="14"/>
            </w:pPr>
            <w:r>
              <w:t>使用投诉率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物业后勤服务质量</w:t>
            </w:r>
          </w:p>
        </w:tc>
        <w:tc>
          <w:tcPr>
            <w:tcW w:w="2466" w:type="dxa"/>
            <w:vAlign w:val="center"/>
          </w:tcPr>
          <w:p>
            <w:pPr>
              <w:pStyle w:val="14"/>
            </w:pPr>
            <w:r>
              <w:t>物业服务质量大于90%</w:t>
            </w:r>
          </w:p>
        </w:tc>
        <w:tc>
          <w:tcPr>
            <w:tcW w:w="2466" w:type="dxa"/>
            <w:vAlign w:val="center"/>
          </w:tcPr>
          <w:p>
            <w:pPr>
              <w:pStyle w:val="14"/>
            </w:pPr>
            <w:r>
              <w:t>≥90物业服务质量大于90%</w:t>
            </w:r>
          </w:p>
        </w:tc>
        <w:tc>
          <w:tcPr>
            <w:tcW w:w="2466" w:type="dxa"/>
            <w:vAlign w:val="center"/>
          </w:tcPr>
          <w:p>
            <w:pPr>
              <w:pStyle w:val="14"/>
            </w:pPr>
            <w: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邮电费使用率</w:t>
            </w:r>
          </w:p>
        </w:tc>
        <w:tc>
          <w:tcPr>
            <w:tcW w:w="2466" w:type="dxa"/>
            <w:vAlign w:val="center"/>
          </w:tcPr>
          <w:p>
            <w:pPr>
              <w:pStyle w:val="14"/>
            </w:pPr>
            <w:r>
              <w:t>邮电费使用率占全部费用支出量</w:t>
            </w:r>
          </w:p>
        </w:tc>
        <w:tc>
          <w:tcPr>
            <w:tcW w:w="2466" w:type="dxa"/>
            <w:vAlign w:val="center"/>
          </w:tcPr>
          <w:p>
            <w:pPr>
              <w:pStyle w:val="14"/>
            </w:pPr>
            <w:r>
              <w:t>≤100邮电费使用率占全部费用支出量</w:t>
            </w:r>
          </w:p>
        </w:tc>
        <w:tc>
          <w:tcPr>
            <w:tcW w:w="2466" w:type="dxa"/>
            <w:vAlign w:val="center"/>
          </w:tcPr>
          <w:p>
            <w:pPr>
              <w:pStyle w:val="14"/>
            </w:pPr>
            <w:r>
              <w:t>预算表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房屋维修维护费</w:t>
            </w:r>
          </w:p>
        </w:tc>
        <w:tc>
          <w:tcPr>
            <w:tcW w:w="2466" w:type="dxa"/>
            <w:vAlign w:val="center"/>
          </w:tcPr>
          <w:p>
            <w:pPr>
              <w:pStyle w:val="14"/>
            </w:pPr>
            <w:r>
              <w:t>房屋维修维护费小于等于</w:t>
            </w:r>
          </w:p>
        </w:tc>
        <w:tc>
          <w:tcPr>
            <w:tcW w:w="2466" w:type="dxa"/>
            <w:vAlign w:val="center"/>
          </w:tcPr>
          <w:p>
            <w:pPr>
              <w:pStyle w:val="14"/>
            </w:pPr>
            <w:r>
              <w:t>≤5000000房屋维修维护费小于等于</w:t>
            </w:r>
          </w:p>
        </w:tc>
        <w:tc>
          <w:tcPr>
            <w:tcW w:w="2466" w:type="dxa"/>
            <w:vAlign w:val="center"/>
          </w:tcPr>
          <w:p>
            <w:pPr>
              <w:pStyle w:val="14"/>
            </w:pPr>
            <w:r>
              <w:t>结算金额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设备购置影响率</w:t>
            </w:r>
          </w:p>
        </w:tc>
        <w:tc>
          <w:tcPr>
            <w:tcW w:w="2466" w:type="dxa"/>
            <w:vAlign w:val="center"/>
          </w:tcPr>
          <w:p>
            <w:pPr>
              <w:pStyle w:val="14"/>
            </w:pPr>
            <w:r>
              <w:t>办公设备购置占全部资产率</w:t>
            </w:r>
          </w:p>
        </w:tc>
        <w:tc>
          <w:tcPr>
            <w:tcW w:w="2466" w:type="dxa"/>
            <w:vAlign w:val="center"/>
          </w:tcPr>
          <w:p>
            <w:pPr>
              <w:pStyle w:val="14"/>
            </w:pPr>
            <w:r>
              <w:t>≤50办公设备购置占全部资产率</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维修效果</w:t>
            </w:r>
          </w:p>
        </w:tc>
        <w:tc>
          <w:tcPr>
            <w:tcW w:w="2466" w:type="dxa"/>
            <w:vAlign w:val="center"/>
          </w:tcPr>
          <w:p>
            <w:pPr>
              <w:pStyle w:val="14"/>
            </w:pPr>
            <w:r>
              <w:t>维修效果</w:t>
            </w:r>
          </w:p>
        </w:tc>
        <w:tc>
          <w:tcPr>
            <w:tcW w:w="2466" w:type="dxa"/>
            <w:vAlign w:val="center"/>
          </w:tcPr>
          <w:p>
            <w:pPr>
              <w:pStyle w:val="14"/>
            </w:pPr>
            <w:r>
              <w:t>≥100维修效果</w:t>
            </w:r>
          </w:p>
        </w:tc>
        <w:tc>
          <w:tcPr>
            <w:tcW w:w="2466" w:type="dxa"/>
            <w:vAlign w:val="center"/>
          </w:tcPr>
          <w:p>
            <w:pPr>
              <w:pStyle w:val="14"/>
            </w:pPr>
            <w:r>
              <w:t>后期使用情况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建设项目环评执行率%</w:t>
            </w:r>
          </w:p>
        </w:tc>
        <w:tc>
          <w:tcPr>
            <w:tcW w:w="2466" w:type="dxa"/>
            <w:vAlign w:val="center"/>
          </w:tcPr>
          <w:p>
            <w:pPr>
              <w:pStyle w:val="14"/>
            </w:pPr>
            <w:r>
              <w:t>建设项目环评执行率%</w:t>
            </w:r>
          </w:p>
        </w:tc>
        <w:tc>
          <w:tcPr>
            <w:tcW w:w="2466" w:type="dxa"/>
            <w:vAlign w:val="center"/>
          </w:tcPr>
          <w:p>
            <w:pPr>
              <w:pStyle w:val="14"/>
            </w:pPr>
            <w:r>
              <w:t>≥80建设项目环评执行率%</w:t>
            </w:r>
          </w:p>
        </w:tc>
        <w:tc>
          <w:tcPr>
            <w:tcW w:w="2466" w:type="dxa"/>
            <w:vAlign w:val="center"/>
          </w:tcPr>
          <w:p>
            <w:pPr>
              <w:pStyle w:val="14"/>
            </w:pPr>
            <w:r>
              <w:t>检测不合格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维修房屋后使用安全期限</w:t>
            </w:r>
          </w:p>
        </w:tc>
        <w:tc>
          <w:tcPr>
            <w:tcW w:w="2466" w:type="dxa"/>
            <w:vAlign w:val="center"/>
          </w:tcPr>
          <w:p>
            <w:pPr>
              <w:pStyle w:val="14"/>
            </w:pPr>
            <w:r>
              <w:t>维修房屋后使用安全期限</w:t>
            </w:r>
          </w:p>
        </w:tc>
        <w:tc>
          <w:tcPr>
            <w:tcW w:w="2466" w:type="dxa"/>
            <w:vAlign w:val="center"/>
          </w:tcPr>
          <w:p>
            <w:pPr>
              <w:pStyle w:val="14"/>
            </w:pPr>
            <w:r>
              <w:t>≥100维修房屋后使用安全期限</w:t>
            </w:r>
          </w:p>
        </w:tc>
        <w:tc>
          <w:tcPr>
            <w:tcW w:w="246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维修房屋后使用的满意度</w:t>
            </w:r>
          </w:p>
        </w:tc>
        <w:tc>
          <w:tcPr>
            <w:tcW w:w="2466" w:type="dxa"/>
            <w:vAlign w:val="center"/>
          </w:tcPr>
          <w:p>
            <w:pPr>
              <w:pStyle w:val="14"/>
            </w:pPr>
            <w:r>
              <w:t>≥90维修房屋后使用的满意度</w:t>
            </w:r>
          </w:p>
        </w:tc>
        <w:tc>
          <w:tcPr>
            <w:tcW w:w="2466" w:type="dxa"/>
            <w:vAlign w:val="center"/>
          </w:tcPr>
          <w:p>
            <w:pPr>
              <w:pStyle w:val="14"/>
            </w:pPr>
            <w:r>
              <w:t>投诉率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24、租赁费绩效目标表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1.保障公车服务平台的正常运行和车辆定位，保障视频会议室正常运行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购买公车软件率</w:t>
            </w:r>
          </w:p>
        </w:tc>
        <w:tc>
          <w:tcPr>
            <w:tcW w:w="2466" w:type="dxa"/>
            <w:vAlign w:val="center"/>
          </w:tcPr>
          <w:p>
            <w:pPr>
              <w:pStyle w:val="14"/>
            </w:pPr>
            <w:r>
              <w:t>购买公务用车软件率</w:t>
            </w:r>
          </w:p>
        </w:tc>
        <w:tc>
          <w:tcPr>
            <w:tcW w:w="2466" w:type="dxa"/>
            <w:vAlign w:val="center"/>
          </w:tcPr>
          <w:p>
            <w:pPr>
              <w:pStyle w:val="14"/>
            </w:pPr>
            <w:r>
              <w:t>≥100购买公务用车软件率</w:t>
            </w:r>
          </w:p>
        </w:tc>
        <w:tc>
          <w:tcPr>
            <w:tcW w:w="2466" w:type="dxa"/>
            <w:vAlign w:val="center"/>
          </w:tcPr>
          <w:p>
            <w:pPr>
              <w:pStyle w:val="14"/>
            </w:pPr>
            <w:r>
              <w:t>公车统计表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GPS安装率</w:t>
            </w:r>
          </w:p>
        </w:tc>
        <w:tc>
          <w:tcPr>
            <w:tcW w:w="2466" w:type="dxa"/>
            <w:vAlign w:val="center"/>
          </w:tcPr>
          <w:p>
            <w:pPr>
              <w:pStyle w:val="14"/>
            </w:pPr>
            <w:r>
              <w:t>全部公车安装GPS率</w:t>
            </w:r>
          </w:p>
        </w:tc>
        <w:tc>
          <w:tcPr>
            <w:tcW w:w="2466" w:type="dxa"/>
            <w:vAlign w:val="center"/>
          </w:tcPr>
          <w:p>
            <w:pPr>
              <w:pStyle w:val="14"/>
            </w:pPr>
            <w:r>
              <w:t>≥100全部公车安装GPS率</w:t>
            </w:r>
          </w:p>
        </w:tc>
        <w:tc>
          <w:tcPr>
            <w:tcW w:w="2466" w:type="dxa"/>
            <w:vAlign w:val="center"/>
          </w:tcPr>
          <w:p>
            <w:pPr>
              <w:pStyle w:val="14"/>
            </w:pPr>
            <w:r>
              <w:t>公车统计表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视频会议室网络服务费支出率</w:t>
            </w:r>
          </w:p>
        </w:tc>
        <w:tc>
          <w:tcPr>
            <w:tcW w:w="2466" w:type="dxa"/>
            <w:vAlign w:val="center"/>
          </w:tcPr>
          <w:p>
            <w:pPr>
              <w:pStyle w:val="14"/>
            </w:pPr>
            <w:r>
              <w:t>视屏会议系统网络服务费占全年计划支出费用的比例</w:t>
            </w:r>
          </w:p>
        </w:tc>
        <w:tc>
          <w:tcPr>
            <w:tcW w:w="2466" w:type="dxa"/>
            <w:vAlign w:val="center"/>
          </w:tcPr>
          <w:p>
            <w:pPr>
              <w:pStyle w:val="14"/>
            </w:pPr>
            <w:r>
              <w:t>≥100视屏会议系统网络服务费占全年计划支出费用的比例</w:t>
            </w:r>
          </w:p>
        </w:tc>
        <w:tc>
          <w:tcPr>
            <w:tcW w:w="2466" w:type="dxa"/>
            <w:vAlign w:val="center"/>
          </w:tcPr>
          <w:p>
            <w:pPr>
              <w:pStyle w:val="14"/>
            </w:pPr>
            <w:r>
              <w:t>支出统计表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使用公车满意的单位量占全部使用公车单位总量的比例</w:t>
            </w:r>
          </w:p>
        </w:tc>
        <w:tc>
          <w:tcPr>
            <w:tcW w:w="2466" w:type="dxa"/>
            <w:vAlign w:val="center"/>
          </w:tcPr>
          <w:p>
            <w:pPr>
              <w:pStyle w:val="14"/>
            </w:pPr>
            <w:r>
              <w:t>使用公车满意的单位量占全部使用公车单位总量的比例</w:t>
            </w:r>
          </w:p>
        </w:tc>
        <w:tc>
          <w:tcPr>
            <w:tcW w:w="2466" w:type="dxa"/>
            <w:vAlign w:val="center"/>
          </w:tcPr>
          <w:p>
            <w:pPr>
              <w:pStyle w:val="14"/>
            </w:pPr>
            <w:r>
              <w:t>≥100使用公车满意的单位量占全部使用公车单位总量的比例</w:t>
            </w:r>
          </w:p>
        </w:tc>
        <w:tc>
          <w:tcPr>
            <w:tcW w:w="2466" w:type="dxa"/>
            <w:vAlign w:val="center"/>
          </w:tcPr>
          <w:p>
            <w:pPr>
              <w:pStyle w:val="14"/>
            </w:pPr>
            <w:r>
              <w:t>公车投诉率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公车和视频会议系统平稳使用率</w:t>
            </w:r>
          </w:p>
        </w:tc>
        <w:tc>
          <w:tcPr>
            <w:tcW w:w="2466" w:type="dxa"/>
            <w:vAlign w:val="center"/>
          </w:tcPr>
          <w:p>
            <w:pPr>
              <w:pStyle w:val="14"/>
            </w:pPr>
            <w:r>
              <w:t>公车和视频会议系统平稳使用率</w:t>
            </w:r>
          </w:p>
        </w:tc>
        <w:tc>
          <w:tcPr>
            <w:tcW w:w="2466" w:type="dxa"/>
            <w:vAlign w:val="center"/>
          </w:tcPr>
          <w:p>
            <w:pPr>
              <w:pStyle w:val="14"/>
            </w:pPr>
            <w:r>
              <w:t>≥100公车和视频会议系统平稳使用率</w:t>
            </w:r>
          </w:p>
        </w:tc>
        <w:tc>
          <w:tcPr>
            <w:tcW w:w="2466" w:type="dxa"/>
            <w:vAlign w:val="center"/>
          </w:tcPr>
          <w:p>
            <w:pPr>
              <w:pStyle w:val="14"/>
            </w:pPr>
            <w:r>
              <w:t>使用维修率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调度平台的正常运行</w:t>
            </w:r>
          </w:p>
        </w:tc>
        <w:tc>
          <w:tcPr>
            <w:tcW w:w="2466" w:type="dxa"/>
            <w:vAlign w:val="center"/>
          </w:tcPr>
          <w:p>
            <w:pPr>
              <w:pStyle w:val="14"/>
            </w:pPr>
            <w:r>
              <w:t>调度平台的正常运行率</w:t>
            </w:r>
          </w:p>
        </w:tc>
        <w:tc>
          <w:tcPr>
            <w:tcW w:w="2466" w:type="dxa"/>
            <w:vAlign w:val="center"/>
          </w:tcPr>
          <w:p>
            <w:pPr>
              <w:pStyle w:val="14"/>
            </w:pPr>
            <w:r>
              <w:t>≥100调度平台的正常运行率</w:t>
            </w:r>
          </w:p>
        </w:tc>
        <w:tc>
          <w:tcPr>
            <w:tcW w:w="2466" w:type="dxa"/>
            <w:vAlign w:val="center"/>
          </w:tcPr>
          <w:p>
            <w:pPr>
              <w:pStyle w:val="14"/>
            </w:pPr>
            <w:r>
              <w:t>平台使用维修率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车辆卫星定位准确</w:t>
            </w:r>
          </w:p>
        </w:tc>
        <w:tc>
          <w:tcPr>
            <w:tcW w:w="2466" w:type="dxa"/>
            <w:vAlign w:val="center"/>
          </w:tcPr>
          <w:p>
            <w:pPr>
              <w:pStyle w:val="14"/>
            </w:pPr>
            <w:r>
              <w:t>全县公车卫星定位系统</w:t>
            </w:r>
          </w:p>
        </w:tc>
        <w:tc>
          <w:tcPr>
            <w:tcW w:w="2466" w:type="dxa"/>
            <w:vAlign w:val="center"/>
          </w:tcPr>
          <w:p>
            <w:pPr>
              <w:pStyle w:val="14"/>
            </w:pPr>
            <w:r>
              <w:t>≥100全县公车卫星定位系统</w:t>
            </w:r>
          </w:p>
        </w:tc>
        <w:tc>
          <w:tcPr>
            <w:tcW w:w="2466" w:type="dxa"/>
            <w:vAlign w:val="center"/>
          </w:tcPr>
          <w:p>
            <w:pPr>
              <w:pStyle w:val="14"/>
            </w:pPr>
            <w:r>
              <w:t>调度平台公车行驶路线轨迹回放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会议室使用满意度</w:t>
            </w:r>
          </w:p>
        </w:tc>
        <w:tc>
          <w:tcPr>
            <w:tcW w:w="2466" w:type="dxa"/>
            <w:vAlign w:val="center"/>
          </w:tcPr>
          <w:p>
            <w:pPr>
              <w:pStyle w:val="14"/>
            </w:pPr>
            <w:r>
              <w:t>省市召开视频会议，视频会议室的使用情况</w:t>
            </w:r>
          </w:p>
        </w:tc>
        <w:tc>
          <w:tcPr>
            <w:tcW w:w="2466" w:type="dxa"/>
            <w:vAlign w:val="center"/>
          </w:tcPr>
          <w:p>
            <w:pPr>
              <w:pStyle w:val="14"/>
            </w:pPr>
            <w:r>
              <w:t>≥100省市召开视频会议，视频会议室的使用情况</w:t>
            </w:r>
          </w:p>
        </w:tc>
        <w:tc>
          <w:tcPr>
            <w:tcW w:w="2466" w:type="dxa"/>
            <w:vAlign w:val="center"/>
          </w:tcPr>
          <w:p>
            <w:pPr>
              <w:pStyle w:val="14"/>
            </w:pPr>
            <w:r>
              <w:t>会议使用满意次数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领导使用公车的满意度</w:t>
            </w:r>
          </w:p>
        </w:tc>
        <w:tc>
          <w:tcPr>
            <w:tcW w:w="2466" w:type="dxa"/>
            <w:vAlign w:val="center"/>
          </w:tcPr>
          <w:p>
            <w:pPr>
              <w:pStyle w:val="14"/>
            </w:pPr>
            <w:r>
              <w:t>≥100领导使用公车的满意度</w:t>
            </w:r>
          </w:p>
        </w:tc>
        <w:tc>
          <w:tcPr>
            <w:tcW w:w="2466" w:type="dxa"/>
            <w:vAlign w:val="center"/>
          </w:tcPr>
          <w:p>
            <w:pPr>
              <w:pStyle w:val="14"/>
            </w:pPr>
            <w:r>
              <w:t>使用公车投诉率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2023年，中国共产党隆尧县委员会办公室安排政府采购预算886.06万元。具体内容见下表。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696" w:type="dxa"/>
            <w:gridSpan w:val="4"/>
            <w:tcBorders>
              <w:top w:val="single" w:color="FFFFFF" w:sz="6" w:space="0"/>
              <w:left w:val="single" w:color="FFFFFF" w:sz="6" w:space="0"/>
              <w:right w:val="single" w:color="FFFFFF" w:sz="6" w:space="0"/>
            </w:tcBorders>
            <w:vAlign w:val="center"/>
          </w:tcPr>
          <w:p>
            <w:r>
              <w:t>201中国共产党隆尧县委员会办公室</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3696" w:type="dxa"/>
            <w:gridSpan w:val="4"/>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886.06</w:t>
            </w:r>
          </w:p>
        </w:tc>
        <w:tc>
          <w:tcPr>
            <w:tcW w:w="924" w:type="dxa"/>
            <w:vAlign w:val="center"/>
          </w:tcPr>
          <w:p>
            <w:pPr>
              <w:pStyle w:val="17"/>
            </w:pPr>
            <w:r>
              <w:t>886.06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中国共产党隆尧县委员会办公室本级小计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181.06</w:t>
            </w:r>
          </w:p>
        </w:tc>
        <w:tc>
          <w:tcPr>
            <w:tcW w:w="924" w:type="dxa"/>
            <w:vAlign w:val="center"/>
          </w:tcPr>
          <w:p>
            <w:pPr>
              <w:pStyle w:val="17"/>
            </w:pPr>
            <w:r>
              <w:t>181.06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2023年公用经费项目</w:t>
            </w:r>
          </w:p>
        </w:tc>
        <w:tc>
          <w:tcPr>
            <w:tcW w:w="924" w:type="dxa"/>
            <w:vAlign w:val="center"/>
          </w:tcPr>
          <w:p>
            <w:pPr>
              <w:pStyle w:val="13"/>
            </w:pPr>
            <w:r>
              <w:t>49.02</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90</w:t>
            </w:r>
          </w:p>
        </w:tc>
        <w:tc>
          <w:tcPr>
            <w:tcW w:w="924" w:type="dxa"/>
            <w:vAlign w:val="center"/>
          </w:tcPr>
          <w:p>
            <w:pPr>
              <w:pStyle w:val="13"/>
            </w:pPr>
            <w:r>
              <w:t>0.02</w:t>
            </w:r>
          </w:p>
        </w:tc>
        <w:tc>
          <w:tcPr>
            <w:tcW w:w="924" w:type="dxa"/>
            <w:vAlign w:val="center"/>
          </w:tcPr>
          <w:p>
            <w:pPr>
              <w:pStyle w:val="13"/>
            </w:pPr>
            <w:r>
              <w:t>2.07</w:t>
            </w:r>
          </w:p>
        </w:tc>
        <w:tc>
          <w:tcPr>
            <w:tcW w:w="924" w:type="dxa"/>
            <w:vAlign w:val="center"/>
          </w:tcPr>
          <w:p>
            <w:pPr>
              <w:pStyle w:val="13"/>
            </w:pPr>
            <w:r>
              <w:t>2.07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eastAsia="方正书宋_GBK"/>
                <w:lang w:eastAsia="zh-CN"/>
              </w:rPr>
            </w:pPr>
            <w:r>
              <w:rPr>
                <w:rFonts w:hint="eastAsia"/>
                <w:lang w:eastAsia="zh-CN"/>
              </w:rPr>
              <w:t>涉密</w:t>
            </w:r>
          </w:p>
        </w:tc>
        <w:tc>
          <w:tcPr>
            <w:tcW w:w="924" w:type="dxa"/>
            <w:vAlign w:val="center"/>
          </w:tcPr>
          <w:p>
            <w:pPr>
              <w:pStyle w:val="13"/>
            </w:pPr>
            <w:r>
              <w:t>6.50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72</w:t>
            </w:r>
          </w:p>
        </w:tc>
        <w:tc>
          <w:tcPr>
            <w:tcW w:w="924" w:type="dxa"/>
            <w:vAlign w:val="center"/>
          </w:tcPr>
          <w:p>
            <w:pPr>
              <w:pStyle w:val="13"/>
            </w:pPr>
            <w:r>
              <w:t>0.03</w:t>
            </w:r>
          </w:p>
        </w:tc>
        <w:tc>
          <w:tcPr>
            <w:tcW w:w="924" w:type="dxa"/>
            <w:vAlign w:val="center"/>
          </w:tcPr>
          <w:p>
            <w:pPr>
              <w:pStyle w:val="13"/>
            </w:pPr>
            <w:r>
              <w:t>1.80</w:t>
            </w:r>
          </w:p>
        </w:tc>
        <w:tc>
          <w:tcPr>
            <w:tcW w:w="924" w:type="dxa"/>
            <w:vAlign w:val="center"/>
          </w:tcPr>
          <w:p>
            <w:pPr>
              <w:pStyle w:val="13"/>
            </w:pPr>
            <w:r>
              <w:t>1.80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便携式计算机</w:t>
            </w:r>
          </w:p>
        </w:tc>
        <w:tc>
          <w:tcPr>
            <w:tcW w:w="924" w:type="dxa"/>
            <w:vAlign w:val="center"/>
          </w:tcPr>
          <w:p>
            <w:pPr>
              <w:pStyle w:val="14"/>
            </w:pPr>
            <w:r>
              <w:t>A02010108</w:t>
            </w:r>
          </w:p>
        </w:tc>
        <w:tc>
          <w:tcPr>
            <w:tcW w:w="924" w:type="dxa"/>
            <w:vAlign w:val="center"/>
          </w:tcPr>
          <w:p>
            <w:pPr>
              <w:pStyle w:val="15"/>
            </w:pPr>
            <w:r>
              <w:t>台</w:t>
            </w:r>
          </w:p>
        </w:tc>
        <w:tc>
          <w:tcPr>
            <w:tcW w:w="924" w:type="dxa"/>
            <w:vAlign w:val="center"/>
          </w:tcPr>
          <w:p>
            <w:pPr>
              <w:pStyle w:val="13"/>
            </w:pPr>
            <w:r>
              <w:t>2</w:t>
            </w:r>
          </w:p>
        </w:tc>
        <w:tc>
          <w:tcPr>
            <w:tcW w:w="924" w:type="dxa"/>
            <w:vAlign w:val="center"/>
          </w:tcPr>
          <w:p>
            <w:pPr>
              <w:pStyle w:val="13"/>
            </w:pPr>
            <w:r>
              <w:t>0.50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80</w:t>
            </w:r>
          </w:p>
        </w:tc>
        <w:tc>
          <w:tcPr>
            <w:tcW w:w="924" w:type="dxa"/>
            <w:vAlign w:val="center"/>
          </w:tcPr>
          <w:p>
            <w:pPr>
              <w:pStyle w:val="13"/>
            </w:pPr>
            <w:r>
              <w:t>0.03</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城建专班专项工作经费</w:t>
            </w:r>
          </w:p>
        </w:tc>
        <w:tc>
          <w:tcPr>
            <w:tcW w:w="924" w:type="dxa"/>
            <w:vAlign w:val="center"/>
          </w:tcPr>
          <w:p>
            <w:pPr>
              <w:pStyle w:val="13"/>
            </w:pPr>
            <w:r>
              <w:t>15.00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107</w:t>
            </w:r>
          </w:p>
        </w:tc>
        <w:tc>
          <w:tcPr>
            <w:tcW w:w="924" w:type="dxa"/>
            <w:vAlign w:val="center"/>
          </w:tcPr>
          <w:p>
            <w:pPr>
              <w:pStyle w:val="13"/>
            </w:pPr>
            <w:r>
              <w:t>0.05</w:t>
            </w:r>
          </w:p>
        </w:tc>
        <w:tc>
          <w:tcPr>
            <w:tcW w:w="924" w:type="dxa"/>
            <w:vAlign w:val="center"/>
          </w:tcPr>
          <w:p>
            <w:pPr>
              <w:pStyle w:val="13"/>
            </w:pPr>
            <w:r>
              <w:t>5.35</w:t>
            </w:r>
          </w:p>
        </w:tc>
        <w:tc>
          <w:tcPr>
            <w:tcW w:w="924" w:type="dxa"/>
            <w:vAlign w:val="center"/>
          </w:tcPr>
          <w:p>
            <w:pPr>
              <w:pStyle w:val="13"/>
            </w:pPr>
            <w:r>
              <w:t>5.35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督查调研和纠风工作经费</w:t>
            </w:r>
          </w:p>
        </w:tc>
        <w:tc>
          <w:tcPr>
            <w:tcW w:w="924" w:type="dxa"/>
            <w:vAlign w:val="center"/>
          </w:tcPr>
          <w:p>
            <w:pPr>
              <w:pStyle w:val="13"/>
            </w:pPr>
            <w:r>
              <w:t>6.00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4000</w:t>
            </w:r>
          </w:p>
        </w:tc>
        <w:tc>
          <w:tcPr>
            <w:tcW w:w="924" w:type="dxa"/>
            <w:vAlign w:val="center"/>
          </w:tcPr>
          <w:p>
            <w:pPr>
              <w:pStyle w:val="13"/>
            </w:pPr>
            <w:r>
              <w:t>0.00</w:t>
            </w:r>
          </w:p>
        </w:tc>
        <w:tc>
          <w:tcPr>
            <w:tcW w:w="924" w:type="dxa"/>
            <w:vAlign w:val="center"/>
          </w:tcPr>
          <w:p>
            <w:pPr>
              <w:pStyle w:val="13"/>
            </w:pPr>
            <w:r>
              <w:t>4.00</w:t>
            </w:r>
          </w:p>
        </w:tc>
        <w:tc>
          <w:tcPr>
            <w:tcW w:w="924" w:type="dxa"/>
            <w:vAlign w:val="center"/>
          </w:tcPr>
          <w:p>
            <w:pPr>
              <w:pStyle w:val="13"/>
            </w:pPr>
            <w:r>
              <w:t>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改革办经费</w:t>
            </w:r>
          </w:p>
        </w:tc>
        <w:tc>
          <w:tcPr>
            <w:tcW w:w="924" w:type="dxa"/>
            <w:vAlign w:val="center"/>
          </w:tcPr>
          <w:p>
            <w:pPr>
              <w:pStyle w:val="13"/>
            </w:pPr>
            <w:r>
              <w:t>4.00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300</w:t>
            </w:r>
          </w:p>
        </w:tc>
        <w:tc>
          <w:tcPr>
            <w:tcW w:w="924" w:type="dxa"/>
            <w:vAlign w:val="center"/>
          </w:tcPr>
          <w:p>
            <w:pPr>
              <w:pStyle w:val="13"/>
            </w:pPr>
            <w:r>
              <w:t>0.01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广电网络视频会议县级分会场升级改造工程</w:t>
            </w:r>
          </w:p>
        </w:tc>
        <w:tc>
          <w:tcPr>
            <w:tcW w:w="924" w:type="dxa"/>
            <w:vAlign w:val="center"/>
          </w:tcPr>
          <w:p>
            <w:pPr>
              <w:pStyle w:val="13"/>
            </w:pPr>
            <w:r>
              <w:t>25.41</w:t>
            </w:r>
          </w:p>
        </w:tc>
        <w:tc>
          <w:tcPr>
            <w:tcW w:w="924" w:type="dxa"/>
            <w:vAlign w:val="center"/>
          </w:tcPr>
          <w:p>
            <w:pPr>
              <w:pStyle w:val="14"/>
            </w:pPr>
            <w:r>
              <w:t>其他网络设备</w:t>
            </w:r>
          </w:p>
        </w:tc>
        <w:tc>
          <w:tcPr>
            <w:tcW w:w="924" w:type="dxa"/>
            <w:vAlign w:val="center"/>
          </w:tcPr>
          <w:p>
            <w:pPr>
              <w:pStyle w:val="14"/>
            </w:pPr>
            <w:r>
              <w:t>A02010299</w:t>
            </w:r>
          </w:p>
        </w:tc>
        <w:tc>
          <w:tcPr>
            <w:tcW w:w="924" w:type="dxa"/>
            <w:vAlign w:val="center"/>
          </w:tcPr>
          <w:p>
            <w:pPr>
              <w:pStyle w:val="15"/>
            </w:pPr>
            <w:r>
              <w:t>组</w:t>
            </w:r>
          </w:p>
        </w:tc>
        <w:tc>
          <w:tcPr>
            <w:tcW w:w="924" w:type="dxa"/>
            <w:vAlign w:val="center"/>
          </w:tcPr>
          <w:p>
            <w:pPr>
              <w:pStyle w:val="13"/>
            </w:pPr>
            <w:r>
              <w:t>1</w:t>
            </w:r>
          </w:p>
        </w:tc>
        <w:tc>
          <w:tcPr>
            <w:tcW w:w="924" w:type="dxa"/>
            <w:vAlign w:val="center"/>
          </w:tcPr>
          <w:p>
            <w:pPr>
              <w:pStyle w:val="13"/>
            </w:pPr>
            <w:r>
              <w:t>16.89</w:t>
            </w:r>
          </w:p>
        </w:tc>
        <w:tc>
          <w:tcPr>
            <w:tcW w:w="924" w:type="dxa"/>
            <w:vAlign w:val="center"/>
          </w:tcPr>
          <w:p>
            <w:pPr>
              <w:pStyle w:val="13"/>
            </w:pPr>
            <w:r>
              <w:t>16.89</w:t>
            </w:r>
          </w:p>
        </w:tc>
        <w:tc>
          <w:tcPr>
            <w:tcW w:w="924" w:type="dxa"/>
            <w:vAlign w:val="center"/>
          </w:tcPr>
          <w:p>
            <w:pPr>
              <w:pStyle w:val="13"/>
            </w:pPr>
            <w:r>
              <w:t>16.89</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eastAsia="方正书宋_GBK"/>
                <w:lang w:eastAsia="zh-CN"/>
              </w:rPr>
            </w:pPr>
            <w:r>
              <w:rPr>
                <w:rFonts w:hint="eastAsia"/>
                <w:lang w:eastAsia="zh-CN"/>
              </w:rPr>
              <w:t>涉密</w:t>
            </w:r>
          </w:p>
        </w:tc>
        <w:tc>
          <w:tcPr>
            <w:tcW w:w="924" w:type="dxa"/>
            <w:vAlign w:val="center"/>
          </w:tcPr>
          <w:p>
            <w:pPr>
              <w:pStyle w:val="13"/>
            </w:pPr>
            <w:r>
              <w:t>6.00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20</w:t>
            </w:r>
          </w:p>
        </w:tc>
        <w:tc>
          <w:tcPr>
            <w:tcW w:w="924" w:type="dxa"/>
            <w:vAlign w:val="center"/>
          </w:tcPr>
          <w:p>
            <w:pPr>
              <w:pStyle w:val="13"/>
            </w:pPr>
            <w:r>
              <w:t>0.03</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办公桌</w:t>
            </w:r>
          </w:p>
        </w:tc>
        <w:tc>
          <w:tcPr>
            <w:tcW w:w="924" w:type="dxa"/>
            <w:vAlign w:val="center"/>
          </w:tcPr>
          <w:p>
            <w:pPr>
              <w:pStyle w:val="14"/>
            </w:pPr>
            <w:r>
              <w:t>A05010201</w:t>
            </w:r>
          </w:p>
        </w:tc>
        <w:tc>
          <w:tcPr>
            <w:tcW w:w="924" w:type="dxa"/>
            <w:vAlign w:val="center"/>
          </w:tcPr>
          <w:p>
            <w:pPr>
              <w:pStyle w:val="15"/>
            </w:pPr>
            <w:r>
              <w:t>张</w:t>
            </w:r>
          </w:p>
        </w:tc>
        <w:tc>
          <w:tcPr>
            <w:tcW w:w="924" w:type="dxa"/>
            <w:vAlign w:val="center"/>
          </w:tcPr>
          <w:p>
            <w:pPr>
              <w:pStyle w:val="13"/>
            </w:pPr>
            <w:r>
              <w:t>3</w:t>
            </w:r>
          </w:p>
        </w:tc>
        <w:tc>
          <w:tcPr>
            <w:tcW w:w="924" w:type="dxa"/>
            <w:vAlign w:val="center"/>
          </w:tcPr>
          <w:p>
            <w:pPr>
              <w:pStyle w:val="13"/>
            </w:pPr>
            <w:r>
              <w:t>0.15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把</w:t>
            </w:r>
          </w:p>
        </w:tc>
        <w:tc>
          <w:tcPr>
            <w:tcW w:w="924" w:type="dxa"/>
            <w:vAlign w:val="center"/>
          </w:tcPr>
          <w:p>
            <w:pPr>
              <w:pStyle w:val="13"/>
            </w:pPr>
            <w:r>
              <w:t>4</w:t>
            </w:r>
          </w:p>
        </w:tc>
        <w:tc>
          <w:tcPr>
            <w:tcW w:w="924" w:type="dxa"/>
            <w:vAlign w:val="center"/>
          </w:tcPr>
          <w:p>
            <w:pPr>
              <w:pStyle w:val="13"/>
            </w:pPr>
            <w:r>
              <w:t>0.03</w:t>
            </w:r>
          </w:p>
        </w:tc>
        <w:tc>
          <w:tcPr>
            <w:tcW w:w="924" w:type="dxa"/>
            <w:vAlign w:val="center"/>
          </w:tcPr>
          <w:p>
            <w:pPr>
              <w:pStyle w:val="13"/>
            </w:pPr>
            <w:r>
              <w:t>0.10</w:t>
            </w:r>
          </w:p>
        </w:tc>
        <w:tc>
          <w:tcPr>
            <w:tcW w:w="924" w:type="dxa"/>
            <w:vAlign w:val="center"/>
          </w:tcPr>
          <w:p>
            <w:pPr>
              <w:pStyle w:val="13"/>
            </w:pPr>
            <w:r>
              <w:t>0.10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保密柜</w:t>
            </w:r>
          </w:p>
        </w:tc>
        <w:tc>
          <w:tcPr>
            <w:tcW w:w="924" w:type="dxa"/>
            <w:vAlign w:val="center"/>
          </w:tcPr>
          <w:p>
            <w:pPr>
              <w:pStyle w:val="14"/>
            </w:pPr>
            <w:r>
              <w:t>A05010504</w:t>
            </w:r>
          </w:p>
        </w:tc>
        <w:tc>
          <w:tcPr>
            <w:tcW w:w="924" w:type="dxa"/>
            <w:vAlign w:val="center"/>
          </w:tcPr>
          <w:p>
            <w:pPr>
              <w:pStyle w:val="15"/>
            </w:pPr>
            <w:r>
              <w:t>组</w:t>
            </w:r>
          </w:p>
        </w:tc>
        <w:tc>
          <w:tcPr>
            <w:tcW w:w="924" w:type="dxa"/>
            <w:vAlign w:val="center"/>
          </w:tcPr>
          <w:p>
            <w:pPr>
              <w:pStyle w:val="13"/>
            </w:pPr>
            <w:r>
              <w:t>3</w:t>
            </w:r>
          </w:p>
        </w:tc>
        <w:tc>
          <w:tcPr>
            <w:tcW w:w="924" w:type="dxa"/>
            <w:vAlign w:val="center"/>
          </w:tcPr>
          <w:p>
            <w:pPr>
              <w:pStyle w:val="13"/>
            </w:pPr>
            <w:r>
              <w:t>0.15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机关运行费用</w:t>
            </w:r>
          </w:p>
        </w:tc>
        <w:tc>
          <w:tcPr>
            <w:tcW w:w="924" w:type="dxa"/>
            <w:vAlign w:val="center"/>
          </w:tcPr>
          <w:p>
            <w:pPr>
              <w:pStyle w:val="13"/>
            </w:pPr>
            <w:r>
              <w:t>13.00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100</w:t>
            </w:r>
          </w:p>
        </w:tc>
        <w:tc>
          <w:tcPr>
            <w:tcW w:w="924" w:type="dxa"/>
            <w:vAlign w:val="center"/>
          </w:tcPr>
          <w:p>
            <w:pPr>
              <w:pStyle w:val="13"/>
            </w:pPr>
            <w:r>
              <w:t>0.01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rPr>
                <w:rFonts w:hint="eastAsia" w:eastAsia="方正书宋_GBK"/>
                <w:lang w:eastAsia="zh-CN"/>
              </w:rPr>
            </w:pPr>
            <w:r>
              <w:rPr>
                <w:rFonts w:hint="eastAsia"/>
                <w:lang w:eastAsia="zh-CN"/>
              </w:rPr>
              <w:t>涉密</w:t>
            </w: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县委公文运转</w:t>
            </w:r>
          </w:p>
        </w:tc>
        <w:tc>
          <w:tcPr>
            <w:tcW w:w="924" w:type="dxa"/>
            <w:vAlign w:val="center"/>
          </w:tcPr>
          <w:p>
            <w:pPr>
              <w:pStyle w:val="13"/>
            </w:pPr>
            <w:r>
              <w:t>14.00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50</w:t>
            </w:r>
          </w:p>
        </w:tc>
        <w:tc>
          <w:tcPr>
            <w:tcW w:w="924" w:type="dxa"/>
            <w:vAlign w:val="center"/>
          </w:tcPr>
          <w:p>
            <w:pPr>
              <w:pStyle w:val="13"/>
            </w:pPr>
            <w:r>
              <w:t>0.02</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县委公文运转</w:t>
            </w:r>
          </w:p>
        </w:tc>
        <w:tc>
          <w:tcPr>
            <w:tcW w:w="924" w:type="dxa"/>
            <w:vAlign w:val="center"/>
          </w:tcPr>
          <w:p>
            <w:pPr>
              <w:pStyle w:val="13"/>
            </w:pPr>
            <w:r>
              <w:t>14.00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500</w:t>
            </w:r>
          </w:p>
        </w:tc>
        <w:tc>
          <w:tcPr>
            <w:tcW w:w="924" w:type="dxa"/>
            <w:vAlign w:val="center"/>
          </w:tcPr>
          <w:p>
            <w:pPr>
              <w:pStyle w:val="13"/>
            </w:pPr>
            <w:r>
              <w:t>0.02</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县委公务接待活动</w:t>
            </w:r>
          </w:p>
        </w:tc>
        <w:tc>
          <w:tcPr>
            <w:tcW w:w="924" w:type="dxa"/>
            <w:vAlign w:val="center"/>
          </w:tcPr>
          <w:p>
            <w:pPr>
              <w:pStyle w:val="13"/>
            </w:pPr>
            <w:r>
              <w:t>8.00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块</w:t>
            </w:r>
          </w:p>
        </w:tc>
        <w:tc>
          <w:tcPr>
            <w:tcW w:w="924" w:type="dxa"/>
            <w:vAlign w:val="center"/>
          </w:tcPr>
          <w:p>
            <w:pPr>
              <w:pStyle w:val="13"/>
            </w:pPr>
            <w:r>
              <w:t>100</w:t>
            </w:r>
          </w:p>
        </w:tc>
        <w:tc>
          <w:tcPr>
            <w:tcW w:w="924" w:type="dxa"/>
            <w:vAlign w:val="center"/>
          </w:tcPr>
          <w:p>
            <w:pPr>
              <w:pStyle w:val="13"/>
            </w:pPr>
            <w:r>
              <w:t>0.01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县委值班室视频点名系统建设工程</w:t>
            </w:r>
          </w:p>
        </w:tc>
        <w:tc>
          <w:tcPr>
            <w:tcW w:w="924" w:type="dxa"/>
            <w:vAlign w:val="center"/>
          </w:tcPr>
          <w:p>
            <w:pPr>
              <w:pStyle w:val="13"/>
            </w:pPr>
            <w:r>
              <w:t>18.50</w:t>
            </w:r>
          </w:p>
        </w:tc>
        <w:tc>
          <w:tcPr>
            <w:tcW w:w="924" w:type="dxa"/>
            <w:vAlign w:val="center"/>
          </w:tcPr>
          <w:p>
            <w:pPr>
              <w:pStyle w:val="14"/>
            </w:pPr>
            <w:r>
              <w:t>其他电子工程安装</w:t>
            </w:r>
          </w:p>
        </w:tc>
        <w:tc>
          <w:tcPr>
            <w:tcW w:w="924" w:type="dxa"/>
            <w:vAlign w:val="center"/>
          </w:tcPr>
          <w:p>
            <w:pPr>
              <w:pStyle w:val="14"/>
            </w:pPr>
            <w:r>
              <w:t>B06019900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18.50</w:t>
            </w:r>
          </w:p>
        </w:tc>
        <w:tc>
          <w:tcPr>
            <w:tcW w:w="924" w:type="dxa"/>
            <w:vAlign w:val="center"/>
          </w:tcPr>
          <w:p>
            <w:pPr>
              <w:pStyle w:val="13"/>
            </w:pPr>
            <w:r>
              <w:t>18.50</w:t>
            </w:r>
          </w:p>
        </w:tc>
        <w:tc>
          <w:tcPr>
            <w:tcW w:w="924" w:type="dxa"/>
            <w:vAlign w:val="center"/>
          </w:tcPr>
          <w:p>
            <w:pPr>
              <w:pStyle w:val="13"/>
            </w:pPr>
            <w:r>
              <w:t>18.50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协调县委大型会议和活动</w:t>
            </w:r>
          </w:p>
        </w:tc>
        <w:tc>
          <w:tcPr>
            <w:tcW w:w="924" w:type="dxa"/>
            <w:vAlign w:val="center"/>
          </w:tcPr>
          <w:p>
            <w:pPr>
              <w:pStyle w:val="13"/>
            </w:pPr>
            <w:r>
              <w:t>17.00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475</w:t>
            </w:r>
          </w:p>
        </w:tc>
        <w:tc>
          <w:tcPr>
            <w:tcW w:w="924" w:type="dxa"/>
            <w:vAlign w:val="center"/>
          </w:tcPr>
          <w:p>
            <w:pPr>
              <w:pStyle w:val="13"/>
            </w:pPr>
            <w:r>
              <w:t>0.02</w:t>
            </w:r>
          </w:p>
        </w:tc>
        <w:tc>
          <w:tcPr>
            <w:tcW w:w="924" w:type="dxa"/>
            <w:vAlign w:val="center"/>
          </w:tcPr>
          <w:p>
            <w:pPr>
              <w:pStyle w:val="13"/>
            </w:pPr>
            <w:r>
              <w:t>9.50</w:t>
            </w:r>
          </w:p>
        </w:tc>
        <w:tc>
          <w:tcPr>
            <w:tcW w:w="924" w:type="dxa"/>
            <w:vAlign w:val="center"/>
          </w:tcPr>
          <w:p>
            <w:pPr>
              <w:pStyle w:val="13"/>
            </w:pPr>
            <w:r>
              <w:t>9.50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信息工作、社情民意调查</w:t>
            </w:r>
          </w:p>
        </w:tc>
        <w:tc>
          <w:tcPr>
            <w:tcW w:w="924" w:type="dxa"/>
            <w:vAlign w:val="center"/>
          </w:tcPr>
          <w:p>
            <w:pPr>
              <w:pStyle w:val="13"/>
            </w:pPr>
            <w:r>
              <w:t>5.00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份</w:t>
            </w:r>
          </w:p>
        </w:tc>
        <w:tc>
          <w:tcPr>
            <w:tcW w:w="924" w:type="dxa"/>
            <w:vAlign w:val="center"/>
          </w:tcPr>
          <w:p>
            <w:pPr>
              <w:pStyle w:val="13"/>
            </w:pPr>
            <w:r>
              <w:t>200</w:t>
            </w:r>
          </w:p>
        </w:tc>
        <w:tc>
          <w:tcPr>
            <w:tcW w:w="924" w:type="dxa"/>
            <w:vAlign w:val="center"/>
          </w:tcPr>
          <w:p>
            <w:pPr>
              <w:pStyle w:val="13"/>
            </w:pPr>
            <w:r>
              <w:t>0.01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隆尧县机关事务管理局小计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705.00</w:t>
            </w:r>
          </w:p>
        </w:tc>
        <w:tc>
          <w:tcPr>
            <w:tcW w:w="924" w:type="dxa"/>
            <w:vAlign w:val="center"/>
          </w:tcPr>
          <w:p>
            <w:pPr>
              <w:pStyle w:val="17"/>
            </w:pPr>
            <w:r>
              <w:t>705.00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705.00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电动汽车购置</w:t>
            </w:r>
          </w:p>
        </w:tc>
        <w:tc>
          <w:tcPr>
            <w:tcW w:w="924" w:type="dxa"/>
            <w:vAlign w:val="center"/>
          </w:tcPr>
          <w:p>
            <w:pPr>
              <w:pStyle w:val="13"/>
            </w:pPr>
            <w:r>
              <w:t>100.00</w:t>
            </w:r>
          </w:p>
        </w:tc>
        <w:tc>
          <w:tcPr>
            <w:tcW w:w="924" w:type="dxa"/>
            <w:vAlign w:val="center"/>
          </w:tcPr>
          <w:p>
            <w:pPr>
              <w:pStyle w:val="14"/>
            </w:pPr>
            <w:r>
              <w:t>其他乘用车</w:t>
            </w:r>
          </w:p>
        </w:tc>
        <w:tc>
          <w:tcPr>
            <w:tcW w:w="924" w:type="dxa"/>
            <w:vAlign w:val="center"/>
          </w:tcPr>
          <w:p>
            <w:pPr>
              <w:pStyle w:val="14"/>
            </w:pPr>
            <w:r>
              <w:t>A02030599</w:t>
            </w:r>
          </w:p>
        </w:tc>
        <w:tc>
          <w:tcPr>
            <w:tcW w:w="924" w:type="dxa"/>
            <w:vAlign w:val="center"/>
          </w:tcPr>
          <w:p>
            <w:pPr>
              <w:pStyle w:val="15"/>
            </w:pPr>
            <w:r>
              <w:t>辆</w:t>
            </w:r>
          </w:p>
        </w:tc>
        <w:tc>
          <w:tcPr>
            <w:tcW w:w="924" w:type="dxa"/>
            <w:vAlign w:val="center"/>
          </w:tcPr>
          <w:p>
            <w:pPr>
              <w:pStyle w:val="13"/>
            </w:pPr>
            <w:r>
              <w:t>8</w:t>
            </w:r>
          </w:p>
        </w:tc>
        <w:tc>
          <w:tcPr>
            <w:tcW w:w="924" w:type="dxa"/>
            <w:vAlign w:val="center"/>
          </w:tcPr>
          <w:p>
            <w:pPr>
              <w:pStyle w:val="13"/>
            </w:pPr>
            <w:r>
              <w:t>12.50</w:t>
            </w:r>
          </w:p>
        </w:tc>
        <w:tc>
          <w:tcPr>
            <w:tcW w:w="924" w:type="dxa"/>
            <w:vAlign w:val="center"/>
          </w:tcPr>
          <w:p>
            <w:pPr>
              <w:pStyle w:val="13"/>
            </w:pPr>
            <w:r>
              <w:t>100.00</w:t>
            </w:r>
          </w:p>
        </w:tc>
        <w:tc>
          <w:tcPr>
            <w:tcW w:w="924" w:type="dxa"/>
            <w:vAlign w:val="center"/>
          </w:tcPr>
          <w:p>
            <w:pPr>
              <w:pStyle w:val="13"/>
            </w:pPr>
            <w:r>
              <w:t>100.00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公务用车运行维护费</w:t>
            </w:r>
          </w:p>
        </w:tc>
        <w:tc>
          <w:tcPr>
            <w:tcW w:w="924" w:type="dxa"/>
            <w:vAlign w:val="center"/>
          </w:tcPr>
          <w:p>
            <w:pPr>
              <w:pStyle w:val="13"/>
            </w:pPr>
            <w:r>
              <w:t>155.00</w:t>
            </w:r>
          </w:p>
        </w:tc>
        <w:tc>
          <w:tcPr>
            <w:tcW w:w="924" w:type="dxa"/>
            <w:vAlign w:val="center"/>
          </w:tcPr>
          <w:p>
            <w:pPr>
              <w:pStyle w:val="14"/>
            </w:pPr>
            <w:r>
              <w:t>其他商业保险服务</w:t>
            </w:r>
          </w:p>
        </w:tc>
        <w:tc>
          <w:tcPr>
            <w:tcW w:w="924" w:type="dxa"/>
            <w:vAlign w:val="center"/>
          </w:tcPr>
          <w:p>
            <w:pPr>
              <w:pStyle w:val="14"/>
            </w:pPr>
            <w:r>
              <w:t>C18040199</w:t>
            </w:r>
          </w:p>
        </w:tc>
        <w:tc>
          <w:tcPr>
            <w:tcW w:w="924" w:type="dxa"/>
            <w:vAlign w:val="center"/>
          </w:tcPr>
          <w:p>
            <w:pPr>
              <w:pStyle w:val="15"/>
            </w:pPr>
            <w:r>
              <w:t>辆</w:t>
            </w:r>
          </w:p>
        </w:tc>
        <w:tc>
          <w:tcPr>
            <w:tcW w:w="924" w:type="dxa"/>
            <w:vAlign w:val="center"/>
          </w:tcPr>
          <w:p>
            <w:pPr>
              <w:pStyle w:val="13"/>
            </w:pPr>
            <w:r>
              <w:t>78</w:t>
            </w:r>
          </w:p>
        </w:tc>
        <w:tc>
          <w:tcPr>
            <w:tcW w:w="924" w:type="dxa"/>
            <w:vAlign w:val="center"/>
          </w:tcPr>
          <w:p>
            <w:pPr>
              <w:pStyle w:val="13"/>
            </w:pPr>
            <w:r>
              <w:t>0.30</w:t>
            </w:r>
          </w:p>
        </w:tc>
        <w:tc>
          <w:tcPr>
            <w:tcW w:w="924" w:type="dxa"/>
            <w:vAlign w:val="center"/>
          </w:tcPr>
          <w:p>
            <w:pPr>
              <w:pStyle w:val="13"/>
            </w:pPr>
            <w:r>
              <w:t>23.40</w:t>
            </w:r>
          </w:p>
        </w:tc>
        <w:tc>
          <w:tcPr>
            <w:tcW w:w="924" w:type="dxa"/>
            <w:vAlign w:val="center"/>
          </w:tcPr>
          <w:p>
            <w:pPr>
              <w:pStyle w:val="13"/>
            </w:pPr>
            <w:r>
              <w:t>23.40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公务用车运行维护费</w:t>
            </w:r>
          </w:p>
        </w:tc>
        <w:tc>
          <w:tcPr>
            <w:tcW w:w="924" w:type="dxa"/>
            <w:vAlign w:val="center"/>
          </w:tcPr>
          <w:p>
            <w:pPr>
              <w:pStyle w:val="13"/>
            </w:pPr>
            <w:r>
              <w:t>155.00</w:t>
            </w:r>
          </w:p>
        </w:tc>
        <w:tc>
          <w:tcPr>
            <w:tcW w:w="924" w:type="dxa"/>
            <w:vAlign w:val="center"/>
          </w:tcPr>
          <w:p>
            <w:pPr>
              <w:pStyle w:val="14"/>
            </w:pPr>
            <w:r>
              <w:t>车辆维修和保养服务</w:t>
            </w:r>
          </w:p>
        </w:tc>
        <w:tc>
          <w:tcPr>
            <w:tcW w:w="924" w:type="dxa"/>
            <w:vAlign w:val="center"/>
          </w:tcPr>
          <w:p>
            <w:pPr>
              <w:pStyle w:val="14"/>
            </w:pPr>
            <w:r>
              <w:t>C23120301</w:t>
            </w:r>
          </w:p>
        </w:tc>
        <w:tc>
          <w:tcPr>
            <w:tcW w:w="924" w:type="dxa"/>
            <w:vAlign w:val="center"/>
          </w:tcPr>
          <w:p>
            <w:pPr>
              <w:pStyle w:val="15"/>
            </w:pPr>
            <w:r>
              <w:t>辆</w:t>
            </w:r>
          </w:p>
        </w:tc>
        <w:tc>
          <w:tcPr>
            <w:tcW w:w="924" w:type="dxa"/>
            <w:vAlign w:val="center"/>
          </w:tcPr>
          <w:p>
            <w:pPr>
              <w:pStyle w:val="13"/>
            </w:pPr>
            <w:r>
              <w:t>78</w:t>
            </w:r>
          </w:p>
        </w:tc>
        <w:tc>
          <w:tcPr>
            <w:tcW w:w="924" w:type="dxa"/>
            <w:vAlign w:val="center"/>
          </w:tcPr>
          <w:p>
            <w:pPr>
              <w:pStyle w:val="13"/>
            </w:pPr>
            <w:r>
              <w:t>0.50</w:t>
            </w:r>
          </w:p>
        </w:tc>
        <w:tc>
          <w:tcPr>
            <w:tcW w:w="924" w:type="dxa"/>
            <w:vAlign w:val="center"/>
          </w:tcPr>
          <w:p>
            <w:pPr>
              <w:pStyle w:val="13"/>
            </w:pPr>
            <w:r>
              <w:t>39.00</w:t>
            </w:r>
          </w:p>
        </w:tc>
        <w:tc>
          <w:tcPr>
            <w:tcW w:w="924" w:type="dxa"/>
            <w:vAlign w:val="center"/>
          </w:tcPr>
          <w:p>
            <w:pPr>
              <w:pStyle w:val="13"/>
            </w:pPr>
            <w:r>
              <w:t>39.00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公务用车运行维护费</w:t>
            </w:r>
          </w:p>
        </w:tc>
        <w:tc>
          <w:tcPr>
            <w:tcW w:w="924" w:type="dxa"/>
            <w:vAlign w:val="center"/>
          </w:tcPr>
          <w:p>
            <w:pPr>
              <w:pStyle w:val="13"/>
            </w:pPr>
            <w:r>
              <w:t>155.00</w:t>
            </w:r>
          </w:p>
        </w:tc>
        <w:tc>
          <w:tcPr>
            <w:tcW w:w="924" w:type="dxa"/>
            <w:vAlign w:val="center"/>
          </w:tcPr>
          <w:p>
            <w:pPr>
              <w:pStyle w:val="14"/>
            </w:pPr>
            <w:r>
              <w:t>车辆加油、添加燃料服务</w:t>
            </w:r>
          </w:p>
        </w:tc>
        <w:tc>
          <w:tcPr>
            <w:tcW w:w="924" w:type="dxa"/>
            <w:vAlign w:val="center"/>
          </w:tcPr>
          <w:p>
            <w:pPr>
              <w:pStyle w:val="14"/>
            </w:pPr>
            <w:r>
              <w:t>C23120302</w:t>
            </w:r>
          </w:p>
        </w:tc>
        <w:tc>
          <w:tcPr>
            <w:tcW w:w="924" w:type="dxa"/>
            <w:vAlign w:val="center"/>
          </w:tcPr>
          <w:p>
            <w:pPr>
              <w:pStyle w:val="15"/>
            </w:pPr>
            <w:r>
              <w:t>辆</w:t>
            </w:r>
          </w:p>
        </w:tc>
        <w:tc>
          <w:tcPr>
            <w:tcW w:w="924" w:type="dxa"/>
            <w:vAlign w:val="center"/>
          </w:tcPr>
          <w:p>
            <w:pPr>
              <w:pStyle w:val="13"/>
            </w:pPr>
            <w:r>
              <w:t>115750</w:t>
            </w:r>
          </w:p>
        </w:tc>
        <w:tc>
          <w:tcPr>
            <w:tcW w:w="924" w:type="dxa"/>
            <w:vAlign w:val="center"/>
          </w:tcPr>
          <w:p>
            <w:pPr>
              <w:pStyle w:val="13"/>
            </w:pPr>
            <w:r>
              <w:t>0.00</w:t>
            </w:r>
          </w:p>
        </w:tc>
        <w:tc>
          <w:tcPr>
            <w:tcW w:w="924" w:type="dxa"/>
            <w:vAlign w:val="center"/>
          </w:tcPr>
          <w:p>
            <w:pPr>
              <w:pStyle w:val="13"/>
            </w:pPr>
            <w:r>
              <w:t>92.60</w:t>
            </w:r>
          </w:p>
        </w:tc>
        <w:tc>
          <w:tcPr>
            <w:tcW w:w="924" w:type="dxa"/>
            <w:vAlign w:val="center"/>
          </w:tcPr>
          <w:p>
            <w:pPr>
              <w:pStyle w:val="13"/>
            </w:pPr>
            <w:r>
              <w:t>92.60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92.60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县直党政机关办公用房维修基金</w:t>
            </w:r>
          </w:p>
        </w:tc>
        <w:tc>
          <w:tcPr>
            <w:tcW w:w="924" w:type="dxa"/>
            <w:vAlign w:val="center"/>
          </w:tcPr>
          <w:p>
            <w:pPr>
              <w:pStyle w:val="13"/>
            </w:pPr>
            <w:r>
              <w:t>450.00</w:t>
            </w:r>
          </w:p>
        </w:tc>
        <w:tc>
          <w:tcPr>
            <w:tcW w:w="924" w:type="dxa"/>
            <w:vAlign w:val="center"/>
          </w:tcPr>
          <w:p>
            <w:pPr>
              <w:pStyle w:val="14"/>
            </w:pPr>
            <w:r>
              <w:t>办公用房施工</w:t>
            </w:r>
          </w:p>
        </w:tc>
        <w:tc>
          <w:tcPr>
            <w:tcW w:w="924" w:type="dxa"/>
            <w:vAlign w:val="center"/>
          </w:tcPr>
          <w:p>
            <w:pPr>
              <w:pStyle w:val="14"/>
            </w:pPr>
            <w:r>
              <w:t>B01010000</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450.00</w:t>
            </w:r>
          </w:p>
        </w:tc>
        <w:tc>
          <w:tcPr>
            <w:tcW w:w="924" w:type="dxa"/>
            <w:vAlign w:val="center"/>
          </w:tcPr>
          <w:p>
            <w:pPr>
              <w:pStyle w:val="13"/>
            </w:pPr>
            <w:r>
              <w:t>450.00</w:t>
            </w:r>
          </w:p>
        </w:tc>
        <w:tc>
          <w:tcPr>
            <w:tcW w:w="924" w:type="dxa"/>
            <w:vAlign w:val="center"/>
          </w:tcPr>
          <w:p>
            <w:pPr>
              <w:pStyle w:val="13"/>
            </w:pPr>
            <w:r>
              <w:t>450.00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中国共产党隆尧县委员会办公室（含所属单位）上年末固定资产金额为2849.19万元（详见下表）。本年度拟购置固定资产总额为</w:t>
      </w:r>
      <w:r>
        <w:rPr>
          <w:rFonts w:hint="eastAsia" w:eastAsia="方正仿宋_GBK" w:cs="Times New Roman"/>
          <w:b w:val="0"/>
          <w:color w:val="000000"/>
          <w:sz w:val="28"/>
          <w:lang w:val="en-US" w:eastAsia="zh-CN"/>
        </w:rPr>
        <w:t>102.45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201中国共产党隆尧县委员会办公室</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2849.19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r>
              <w:t>30997.38</w:t>
            </w:r>
          </w:p>
        </w:tc>
        <w:tc>
          <w:tcPr>
            <w:tcW w:w="4933" w:type="dxa"/>
            <w:vAlign w:val="center"/>
          </w:tcPr>
          <w:p>
            <w:pPr>
              <w:pStyle w:val="13"/>
            </w:pPr>
            <w:r>
              <w:t>1473.64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5325.75</w:t>
            </w:r>
          </w:p>
        </w:tc>
        <w:tc>
          <w:tcPr>
            <w:tcW w:w="4933" w:type="dxa"/>
            <w:vAlign w:val="center"/>
          </w:tcPr>
          <w:p>
            <w:pPr>
              <w:pStyle w:val="13"/>
            </w:pPr>
            <w:r>
              <w:t>359.00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83</w:t>
            </w:r>
          </w:p>
        </w:tc>
        <w:tc>
          <w:tcPr>
            <w:tcW w:w="4933" w:type="dxa"/>
            <w:vAlign w:val="center"/>
          </w:tcPr>
          <w:p>
            <w:pPr>
              <w:pStyle w:val="13"/>
            </w:pPr>
            <w:r>
              <w:t>1066.79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r>
              <w:t>1007</w:t>
            </w:r>
          </w:p>
        </w:tc>
        <w:tc>
          <w:tcPr>
            <w:tcW w:w="4933" w:type="dxa"/>
            <w:vAlign w:val="center"/>
          </w:tcPr>
          <w:p>
            <w:pPr>
              <w:pStyle w:val="13"/>
            </w:pPr>
            <w:r>
              <w:t>308.76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SimSun">
    <w:panose1 w:val="02010600030101010101"/>
    <w:charset w:val="86"/>
    <w:family w:val="auto"/>
    <w:pitch w:val="default"/>
    <w:sig w:usb0="00000003" w:usb1="288F0000" w:usb2="0000000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EF920A"/>
    <w:multiLevelType w:val="singleLevel"/>
    <w:tmpl w:val="EFEF920A"/>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6F986A"/>
    <w:rsid w:val="23672339"/>
    <w:rsid w:val="29B63604"/>
    <w:rsid w:val="331B09FB"/>
    <w:rsid w:val="3FFF17AF"/>
    <w:rsid w:val="53AF010C"/>
    <w:rsid w:val="57FB9FDF"/>
    <w:rsid w:val="5B4EDA5A"/>
    <w:rsid w:val="5E7AC9D8"/>
    <w:rsid w:val="5FE79760"/>
    <w:rsid w:val="5FEF15A0"/>
    <w:rsid w:val="6EFCEC2A"/>
    <w:rsid w:val="77EF6B79"/>
    <w:rsid w:val="7B7F2A3D"/>
    <w:rsid w:val="7BFEB9EC"/>
    <w:rsid w:val="7F5F3B9B"/>
    <w:rsid w:val="7FF970BE"/>
    <w:rsid w:val="A17BFF93"/>
    <w:rsid w:val="B7AF2794"/>
    <w:rsid w:val="D472350D"/>
    <w:rsid w:val="DFBD7B31"/>
    <w:rsid w:val="EAFEE6B0"/>
    <w:rsid w:val="EFEFC62D"/>
    <w:rsid w:val="F3FB49B4"/>
    <w:rsid w:val="FBF2BB2B"/>
    <w:rsid w:val="FBFF32CA"/>
    <w:rsid w:val="FFFE6AAA"/>
    <w:rsid w:val="FFFF009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2</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2023-01-22T07:10:00Z</dcterms:created>
  <dc:creator>Administrator.USER-20151009QP</dc:creator>
  <cp:lastModifiedBy>work</cp:lastModifiedBy>
  <dcterms:modified xsi:type="dcterms:W3CDTF">2025-01-24T08:49:52Z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B3401F44F1D7466A243DF864DED6C666</vt:lpwstr>
  </property>
</Properties>
</file>