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千户营乡</w:t>
      </w: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</w:t>
      </w:r>
      <w:r>
        <w:rPr>
          <w:rFonts w:ascii="华文中宋" w:eastAsia="华文中宋" w:cs="华文中宋" w:hAnsi="华文中宋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年度</w:t>
      </w: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ascii="华文中宋" w:eastAsia="华文中宋" w:cs="华文中宋" w:hAnsi="华文中宋" w:hint="eastAsia"/>
          <w:i w:val="0"/>
          <w:caps w:val="0"/>
          <w:smallCaps w:val="0"/>
          <w:color w:val="333333"/>
          <w:spacing w:val="0"/>
          <w:sz w:val="44"/>
          <w:szCs w:val="44"/>
        </w:rPr>
      </w:pPr>
      <w:r>
        <w:rPr>
          <w:rFonts w:ascii="华文中宋" w:eastAsia="华文中宋" w:cs="华文中宋" w:hAnsi="华文中宋" w:hint="eastAsia"/>
          <w:b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报告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420" w:right="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right="0" w:firstLineChars="200" w:firstLine="640"/>
        <w:jc w:val="both"/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根据《中华人民共和国政府信息公开条例》（以下简称《条例》）要求，</w:t>
      </w:r>
      <w:r>
        <w:rPr>
          <w:rFonts w:ascii="CESI仿宋-GB2312" w:eastAsia="CESI仿宋-GB2312" w:cs="CESI仿宋-GB2312" w:hAnsi="CESI仿宋-GB2312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年度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报告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由千户营乡根据年度信息公开工作编制而成。全文包括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总体情况、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主动公开政府信息情况、收到和处理政府信息公开申请情况、政府信息公开行政复议、行政诉讼情况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存在的主要问题及改进情况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及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其他需要报告的事项，并附部分指标统计表等。本年度报告中所列数据的统计期限从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2024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年1月1日到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月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31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日止。本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年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度报告发布于隆尧县人民政府门户网站。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黑体" w:eastAsia="黑体" w:cs="黑体" w:hAnsi="黑体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黑体" w:eastAsia="黑体" w:cs="黑体" w:hAnsi="黑体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</w:t>
      </w:r>
      <w:r>
        <w:rPr>
          <w:rFonts w:ascii="黑体" w:eastAsia="黑体" w:cs="黑体" w:hAnsi="黑体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总体情况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CESI仿宋-GB2312" w:eastAsia="CESI仿宋-GB2312" w:cs="CESI仿宋-GB2312" w:hAnsi="CESI仿宋-GB2312" w:hint="eastAsia"/>
          <w:sz w:val="32"/>
          <w:szCs w:val="32"/>
        </w:rPr>
      </w:pP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2024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年，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千户营乡人民政府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紧紧围绕政府的中心工作，大力推进信息公开工作，不断规范信息内容，创新工作形式，提高工作水平，有力地促进了各项工作的开展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ascii="CESI仿宋-GB2312" w:eastAsia="CESI仿宋-GB2312" w:cs="CESI仿宋-GB2312" w:hAnsi="CESI仿宋-GB2312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信息公开工作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有序推进，把公开透明原则贯穿于整个工作过程，以公正便民、勤政廉政为基本要求，及时、准确地向社会公开政府信息，依法保障了人民群众的知情权、参与权和监督权。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(一)</w:t>
      </w:r>
      <w:r>
        <w:rPr>
          <w:rFonts w:ascii="仿宋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 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加强主动公开。着力抓好政策信息公开发布，乡政府网站全年更新各类政府信息。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(二) 规范依申请公开。严格执行《河北省政府信息公开申请办理规范》，依据《答复格式文本》制作政府信息公开申请答复书、告知书等，扎实推进依申请公开工作规范化标准化。树牢宗旨意识，加强同申请人沟通联系，最大限度满足群众信息需求。2024年，未收到向乡政府申请的信息公开件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（三）严格政府信息管理。组织专人每日登录相关网站，了解县委县政府及其他政府部门动态，收集整理民众在平台上的意见建议，可以公开的内容，做到依法公开。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(四) 推动公开平台建设。按照上级要求，主动通过政务新媒体、政务服务大厅等渠道加强乡政府</w:t>
      </w:r>
      <w:r>
        <w:rPr>
          <w:rFonts w:ascii="CESI仿宋-GB2312" w:eastAsia="CESI仿宋-GB2312" w:cs="CESI仿宋-GB2312" w:hAnsi="CESI仿宋-GB2312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信息公开工作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，方便群众查阅。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（五）进一步加强监督保障。结合工作实际，对政府信息公开领导小组及时调整，细化分解工作职责，确保工作扎实，稳步推进，把政务公</w:t>
      </w:r>
      <w:bookmarkStart w:id="0" w:name="_GoBack"/>
      <w:bookmarkEnd w:id="0"/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开纳入严格执行信息发布审核机制范围，全面落实监督岗位责任。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tbl>
      <w:tblPr>
        <w:jc w:val="center"/>
        <w:tblW w:w="81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rPr>
          <w:trHeight w:val="495"/>
        </w:trPr>
        <w:tc>
          <w:tcPr>
            <w:tcW w:w="814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>
        <w:trPr>
          <w:trHeight w:val="882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年度</w:t>
            </w: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新</w:t>
              <w:br/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</w:t>
            </w: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年度</w:t>
            </w: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新</w:t>
              <w:br/>
            </w:r>
            <w:r>
              <w:rPr>
                <w:rFonts w:ascii="宋体" w:eastAsia="宋体" w:cs="宋体" w:hAnsi="宋体"/>
                <w:kern w:val="0"/>
                <w:sz w:val="20"/>
                <w:szCs w:val="20"/>
                <w:lang w:val="en-US" w:eastAsia="zh-CN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对外公开总数量</w:t>
            </w:r>
          </w:p>
        </w:tc>
      </w:tr>
      <w:tr>
        <w:trPr>
          <w:trHeight w:val="523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471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480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>
        <w:trPr>
          <w:trHeight w:val="634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处理决定数量</w:t>
            </w:r>
          </w:p>
        </w:tc>
      </w:tr>
      <w:tr>
        <w:trPr>
          <w:trHeight w:val="528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eastAsia="宋体"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rPr>
          <w:trHeight w:val="550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406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>
        <w:trPr>
          <w:trHeight w:val="634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处理决定数量</w:t>
            </w:r>
          </w:p>
        </w:tc>
      </w:tr>
      <w:tr>
        <w:trPr>
          <w:trHeight w:val="430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</w:tr>
      <w:tr>
        <w:trPr>
          <w:trHeight w:val="409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474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>
        <w:trPr>
          <w:trHeight w:val="270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本年增/减</w:t>
            </w:r>
          </w:p>
        </w:tc>
      </w:tr>
      <w:tr>
        <w:trPr>
          <w:trHeight w:val="551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rPr>
          <w:trHeight w:val="476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第二十条第（九）项</w:t>
            </w:r>
          </w:p>
        </w:tc>
      </w:tr>
      <w:tr>
        <w:trPr>
          <w:trHeight w:val="585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采购总金额</w:t>
            </w:r>
          </w:p>
        </w:tc>
      </w:tr>
      <w:tr>
        <w:trPr>
          <w:trHeight w:val="539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eastAsia="宋体" w:hint="eastAsia"/>
                <w:lang w:val="en-US" w:eastAsia="zh-CN"/>
              </w:rPr>
            </w:pPr>
            <w:r>
              <w:rPr>
                <w:rFonts w:ascii="等线" w:eastAsia="等线" w:cs="等线" w:hAnsi="等线" w:hint="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ascii="等线" w:eastAsia="等线" w:cs="等线" w:hAnsi="等线" w:hint="eastAsia"/>
                <w:i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0</w:t>
            </w:r>
          </w:p>
        </w:tc>
      </w:tr>
    </w:tbl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caps w:val="0"/>
          <w:smallCaps w:val="0"/>
          <w:color w:val="333333"/>
          <w:spacing w:val="0"/>
          <w:sz w:val="24"/>
          <w:szCs w:val="24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240" w:afterAutospacing="0"/>
        <w:ind w:left="0" w:right="0" w:firstLine="42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tbl>
      <w:tblPr>
        <w:jc w:val="center"/>
        <w:tblW w:w="9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c>
          <w:tcPr>
            <w:tcW w:w="355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13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13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科研机构</w:t>
            </w:r>
          </w:p>
        </w:tc>
        <w:tc>
          <w:tcPr>
            <w:tcW w:w="8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7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95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</w:tr>
      <w:t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rPr>
          <w:trHeight w:val="669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eastAsia="宋体" w:cs="Calibri" w:hAnsi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</w:tbl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/>
        <w:jc w:val="both"/>
        <w:rPr>
          <w:rFonts w:ascii="黑体" w:eastAsia="黑体" w:cs="黑体" w:hAnsi="黑体" w:hint="eastAsia"/>
          <w:b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黑体" w:eastAsia="黑体" w:cs="黑体" w:hAnsi="黑体" w:hint="eastAsia"/>
          <w:b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ascii="宋体" w:eastAsia="宋体" w:cs="宋体" w:hAnsi="宋体" w:hint="eastAsia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jc w:val="center"/>
        <w:tblW w:w="90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1"/>
        <w:gridCol w:w="601"/>
        <w:gridCol w:w="601"/>
        <w:gridCol w:w="601"/>
        <w:gridCol w:w="659"/>
        <w:gridCol w:w="548"/>
        <w:gridCol w:w="602"/>
        <w:gridCol w:w="602"/>
        <w:gridCol w:w="602"/>
        <w:gridCol w:w="605"/>
        <w:gridCol w:w="602"/>
        <w:gridCol w:w="602"/>
        <w:gridCol w:w="602"/>
        <w:gridCol w:w="603"/>
        <w:gridCol w:w="608"/>
      </w:tblGrid>
      <w:tr>
        <w:trPr>
          <w:trHeight w:val="882"/>
        </w:trPr>
        <w:tc>
          <w:tcPr>
            <w:tcW w:w="306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5976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>
        <w:trPr>
          <w:trHeight w:val="882"/>
        </w:trPr>
        <w:tc>
          <w:tcPr>
            <w:tcW w:w="60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1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59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295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01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>
        <w:trPr>
          <w:trHeight w:val="2496"/>
        </w:trPr>
        <w:tc>
          <w:tcPr>
            <w:tcW w:w="60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01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01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659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结果纠正</w:t>
            </w:r>
          </w:p>
        </w:tc>
        <w:tc>
          <w:tcPr>
            <w:tcW w:w="6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其他结果</w:t>
            </w:r>
          </w:p>
        </w:tc>
        <w:tc>
          <w:tcPr>
            <w:tcW w:w="6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  <w:lang w:val="en-US" w:eastAsia="zh-CN"/>
              </w:rPr>
              <w:t>尚未审结</w:t>
            </w:r>
          </w:p>
        </w:tc>
        <w:tc>
          <w:tcPr>
            <w:tcW w:w="6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>
        <w:trPr>
          <w:trHeight w:val="917"/>
        </w:trPr>
        <w:tc>
          <w:tcPr>
            <w:tcW w:w="6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  <w:rPr>
                <w:lang w:val="en-US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both"/>
              <w:rPr>
                <w:rFonts w:ascii="宋体" w:hint="eastAsia"/>
                <w:sz w:val="24"/>
                <w:szCs w:val="24"/>
              </w:rPr>
            </w:pPr>
            <w:r>
              <w:rPr>
                <w:rFonts w:ascii="Calibri" w:cs="Calibri" w:hAnsi="Calibri" w:hint="eastAsia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/>
        <w:jc w:val="both"/>
        <w:rPr>
          <w:rFonts w:ascii="宋体" w:eastAsia="宋体" w:cs="宋体" w:hAnsi="宋体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64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Chars="200" w:firstLine="640"/>
        <w:jc w:val="both"/>
        <w:textAlignment w:val="auto"/>
        <w:rPr>
          <w:rFonts w:ascii="CESI仿宋-GB2312" w:eastAsia="CESI仿宋-GB2312" w:cs="CESI仿宋-GB2312" w:hAnsi="CESI仿宋-GB2312" w:hint="eastAsia"/>
          <w:sz w:val="32"/>
          <w:szCs w:val="32"/>
        </w:rPr>
      </w:pPr>
      <w:r>
        <w:rPr>
          <w:rStyle w:val="18"/>
          <w:rFonts w:ascii="CESI仿宋-GB2312" w:eastAsia="CESI仿宋-GB2312" w:cs="CESI仿宋-GB2312" w:hAnsi="CESI仿宋-GB2312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（一）存在的问题。</w:t>
      </w:r>
      <w:r>
        <w:rPr>
          <w:rFonts w:ascii="CESI仿宋-GB2312" w:eastAsia="CESI仿宋-GB2312" w:cs="CESI仿宋-GB2312" w:hAnsi="CESI仿宋-GB2312" w:hint="eastAsia"/>
          <w:b/>
          <w:bCs/>
          <w:sz w:val="32"/>
          <w:szCs w:val="32"/>
        </w:rPr>
        <w:t>一是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信息公开数量和质量还有提升空间</w:t>
      </w:r>
      <w:r>
        <w:rPr>
          <w:rFonts w:ascii="CESI仿宋-GB2312" w:eastAsia="CESI仿宋-GB2312" w:cs="CESI仿宋-GB2312" w:hAnsi="CESI仿宋-GB2312" w:hint="eastAsia"/>
          <w:sz w:val="32"/>
          <w:szCs w:val="32"/>
        </w:rPr>
        <w:t>；</w:t>
      </w:r>
      <w:r>
        <w:rPr>
          <w:rStyle w:val="18"/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二是</w:t>
      </w:r>
      <w:r>
        <w:rPr>
          <w:rFonts w:ascii="CESI仿宋-GB2312" w:eastAsia="CESI仿宋-GB2312" w:cs="CESI仿宋-GB2312" w:hAnsi="CESI仿宋-GB2312" w:hint="eastAsia"/>
          <w:sz w:val="32"/>
          <w:szCs w:val="32"/>
        </w:rPr>
        <w:t>公开形式还需进一步创新、丰富。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Chars="200" w:firstLine="640"/>
        <w:jc w:val="both"/>
        <w:textAlignment w:val="auto"/>
        <w:rPr>
          <w:rFonts w:ascii="CESI仿宋-GB2312" w:eastAsia="CESI仿宋-GB2312" w:cs="CESI仿宋-GB2312" w:hAnsi="CESI仿宋-GB2312" w:hint="eastAsia"/>
          <w:b/>
          <w:i w:val="0"/>
          <w:caps w:val="0"/>
          <w:smallCaps w:val="0"/>
          <w:color w:val="333333"/>
          <w:spacing w:val="0"/>
          <w:sz w:val="24"/>
          <w:szCs w:val="24"/>
          <w:shd w:val="clear" w:color="auto" w:fill="FFFFFF"/>
        </w:rPr>
      </w:pPr>
      <w:r>
        <w:rPr>
          <w:rStyle w:val="18"/>
          <w:rFonts w:ascii="CESI仿宋-GB2312" w:eastAsia="CESI仿宋-GB2312" w:cs="CESI仿宋-GB2312" w:hAnsi="CESI仿宋-GB2312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Style w:val="18"/>
          <w:rFonts w:ascii="CESI仿宋-GB2312" w:eastAsia="CESI仿宋-GB2312" w:cs="CESI仿宋-GB2312" w:hAnsi="CESI仿宋-GB2312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Style w:val="18"/>
          <w:rFonts w:ascii="CESI仿宋-GB2312" w:eastAsia="CESI仿宋-GB2312" w:cs="CESI仿宋-GB2312" w:hAnsi="CESI仿宋-GB2312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）改进措施。</w:t>
      </w:r>
      <w:r>
        <w:rPr>
          <w:rStyle w:val="18"/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一是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加强培训，广泛宣传，在提高认识上下功夫。通过多种形式重点学习《中华人民共和国政府信息公开条例》等有关政务公开的法律、法规和政策，充分认识到政务公开的重要性和紧迫性，消除认识上的误区和片面性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ascii="CESI仿宋-GB2312" w:eastAsia="CESI仿宋-GB2312" w:cs="CESI仿宋-GB2312" w:hAnsi="CESI仿宋-GB2312" w:hint="eastAsia"/>
          <w:b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Fonts w:ascii="CESI仿宋-GB2312" w:eastAsia="CESI仿宋-GB2312" w:cs="CESI仿宋-GB2312" w:hAnsi="CESI仿宋-GB2312" w:hint="eastAsia"/>
          <w:b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是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加强信息发布、解读和回应。针对重点工作进行梳理，通过多种形式加大对重要政策、进展成效、先进典型的发布解读力度，积极回应群众关切，及时解决问题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；</w:t>
      </w:r>
      <w:r>
        <w:rPr>
          <w:rFonts w:ascii="CESI仿宋-GB2312" w:eastAsia="CESI仿宋-GB2312" w:cs="CESI仿宋-GB2312" w:hAnsi="CESI仿宋-GB2312" w:hint="eastAsia"/>
          <w:b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</w:t>
      </w:r>
      <w:r>
        <w:rPr>
          <w:rFonts w:ascii="CESI仿宋-GB2312" w:eastAsia="CESI仿宋-GB2312" w:cs="CESI仿宋-GB2312" w:hAnsi="CESI仿宋-GB2312" w:hint="eastAsia"/>
          <w:b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是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深入推进重点领域信息公开。结合新形势、新要求，将社会关注度高的信息纳入重点公开范围，进行适时更新。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/>
        <w:ind w:right="0" w:firstLineChars="200" w:firstLine="640"/>
        <w:jc w:val="both"/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黑体" w:eastAsia="黑体" w:cs="黑体" w:hAnsi="黑体" w:hint="eastAsia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六、其他需要报告的事项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jc w:val="both"/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2025年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我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乡将</w:t>
      </w:r>
      <w:r>
        <w:rPr>
          <w:rFonts w:ascii="CESI仿宋-GB2312" w:eastAsia="CESI仿宋-GB2312" w:cs="CESI仿宋-GB2312" w:hAnsi="CESI仿宋-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进一步提高政府信息公开和社会服务全面的信息化治理水平，按照国家有关法律法规要求，切实做到政务公开，充分履行自身职能，落实各项信息公开政策。</w:t>
      </w:r>
    </w:p>
    <w:p>
      <w:pPr>
        <w:pStyle w:val="17"/>
        <w:keepNext w:val="0"/>
        <w:keepLines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before="0" w:beforeAutospacing="0" w:after="0" w:afterAutospacing="0" w:line="420" w:lineRule="atLeast"/>
        <w:ind w:left="0" w:right="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num="1" w:space="72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方正书宋_GBK"/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华文中宋">
    <w:altName w:val="文泉驿微米黑"/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CESI仿宋-GB2312">
    <w:panose1 w:val="02000500000000000000"/>
    <w:charset w:val="86"/>
    <w:family w:val="script"/>
    <w:pitch w:val="variable"/>
    <w:sig w:usb0="800002AF" w:usb1="084F6CF8" w:usb2="00000010" w:usb3="00000000" w:csb0="0004000F" w:csb1="00000000"/>
  </w:font>
  <w:font w:name="黑体">
    <w:altName w:val="方正黑体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altName w:val="永中仿宋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等线">
    <w:altName w:val="文泉驿微米黑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altName w:val="DejaVu Sans"/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楷体">
    <w:altName w:val="永中楷体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altName w:val="永中仿宋"/>
    <w:panose1 w:val="02010609030101010101"/>
    <w:charset w:val="86"/>
    <w:family w:val="auto"/>
    <w:pitch w:val="variable"/>
    <w:sig w:usb0="00000000" w:usb1="00000000" w:usb2="00000000" w:usb3="00000000" w:csb0="00000000" w:csb1="00000000"/>
  </w:font>
  <w:font w:name="Times New Roman">
    <w:altName w:val="DejaVu Sans"/>
    <w:panose1 w:val="02020603050405020304"/>
    <w:charset w:val="50"/>
    <w:family w:val="auto"/>
    <w:pitch w:val="variable"/>
    <w:sig w:usb0="E0002EFF" w:usb1="C000785B" w:usb2="00000009" w:usb3="00000000" w:csb0="400001FF" w:csb1="FFFF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ourier New">
    <w:altName w:val="DejaVu Sans"/>
    <w:panose1 w:val="02070309020205020404"/>
    <w:charset w:val="01"/>
    <w:family w:val="modern"/>
    <w:pitch w:val="variable"/>
    <w:sig w:usb0="E0002EFF" w:usb1="C0007843" w:usb2="00000009" w:usb3="00000000" w:csb0="400001FF" w:csb1="FFFF0000"/>
  </w:font>
  <w:font w:name="Monaco">
    <w:altName w:val="DejaVu Sans"/>
    <w:panose1 w:val="020B0509030004040204"/>
    <w:charset w:val="00"/>
    <w:family w:val="auto"/>
    <w:pitch w:val="variable"/>
    <w:sig w:usb0="00000000" w:usb1="00000000" w:usb2="00000000" w:usb3="00000000" w:csb0="00000000" w:csb1="00000000"/>
  </w:font>
  <w:font w:name="Arial">
    <w:altName w:val="DejaVu Sans"/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微软雅黑">
    <w:altName w:val="文泉驿微米黑"/>
    <w:panose1 w:val="020B0503020204020204"/>
    <w:charset w:val="86"/>
    <w:family w:val="auto"/>
    <w:pitch w:val="variable"/>
    <w:sig w:usb0="80000287" w:usb1="2ACF3C50" w:usb2="00000016" w:usb3="00000000" w:csb0="0004001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0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17">
    <w:name w:val="Normal (Web)"/>
    <w:basedOn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-SA"/>
    </w:rPr>
  </w:style>
  <w:style w:type="character" w:styleId="18">
    <w:name w:val="Strong"/>
    <w:basedOn w:val="10"/>
    <w:rPr>
      <w:b/>
    </w:rPr>
  </w:style>
  <w:style w:type="character" w:styleId="19">
    <w:name w:val="FollowedHyperlink"/>
    <w:basedOn w:val="10"/>
    <w:rPr>
      <w:color w:val="000000"/>
      <w:u w:val="none"/>
    </w:rPr>
  </w:style>
  <w:style w:type="character" w:styleId="20">
    <w:name w:val="Emphasis"/>
    <w:basedOn w:val="10"/>
  </w:style>
  <w:style w:type="character" w:styleId="21">
    <w:name w:val="HTML Definition"/>
    <w:basedOn w:val="10"/>
    <w:rPr>
      <w:i/>
    </w:rPr>
  </w:style>
  <w:style w:type="character" w:styleId="22">
    <w:name w:val="Hyperlink"/>
    <w:basedOn w:val="10"/>
    <w:rPr>
      <w:color w:val="000000"/>
      <w:u w:val="none"/>
    </w:rPr>
  </w:style>
  <w:style w:type="character" w:styleId="23">
    <w:name w:val="HTML Code"/>
    <w:basedOn w:val="10"/>
    <w:rPr>
      <w:rFonts w:ascii="Courier New" w:hAnsi="Courier New"/>
      <w:sz w:val="20"/>
    </w:rPr>
  </w:style>
  <w:style w:type="character" w:styleId="24">
    <w:name w:val="HTML Keyboard"/>
    <w:basedOn w:val="10"/>
    <w:rPr>
      <w:rFonts w:ascii="Monaco" w:eastAsia="Monaco" w:cs="Monaco" w:hAnsi="Monaco"/>
      <w:color w:val="FFFFFF"/>
      <w:sz w:val="21"/>
      <w:szCs w:val="21"/>
      <w:shd w:val="clear" w:color="auto" w:fill="333333"/>
    </w:rPr>
  </w:style>
  <w:style w:type="character" w:styleId="25">
    <w:name w:val="HTML Sample"/>
    <w:basedOn w:val="10"/>
    <w:rPr>
      <w:rFonts w:ascii="Monaco" w:eastAsia="Monaco" w:cs="Monaco" w:hAnsi="Monaco"/>
      <w:sz w:val="21"/>
      <w:szCs w:val="21"/>
    </w:rPr>
  </w:style>
  <w:style w:type="character" w:customStyle="1" w:styleId="26">
    <w:name w:val="dates"/>
    <w:basedOn w:val="10"/>
  </w:style>
  <w:style w:type="character" w:customStyle="1" w:styleId="27">
    <w:name w:val="m01"/>
    <w:basedOn w:val="10"/>
  </w:style>
  <w:style w:type="character" w:customStyle="1" w:styleId="28">
    <w:name w:val="m011"/>
    <w:basedOn w:val="10"/>
  </w:style>
  <w:style w:type="character" w:customStyle="1" w:styleId="29">
    <w:name w:val="name"/>
    <w:basedOn w:val="10"/>
    <w:rPr>
      <w:color w:val="6A6A6A"/>
      <w:u w:val="single"/>
    </w:rPr>
  </w:style>
  <w:style w:type="character" w:customStyle="1" w:styleId="30">
    <w:name w:val="laypage_curr"/>
    <w:basedOn w:val="10"/>
    <w:rPr>
      <w:color w:val="FFFDF4"/>
      <w:shd w:val="clear" w:color="auto" w:fill="0B67A6"/>
    </w:rPr>
  </w:style>
  <w:style w:type="character" w:customStyle="1" w:styleId="31">
    <w:name w:val="bg01"/>
    <w:basedOn w:val="10"/>
  </w:style>
  <w:style w:type="character" w:customStyle="1" w:styleId="32">
    <w:name w:val="gwds_nopic"/>
    <w:basedOn w:val="10"/>
  </w:style>
  <w:style w:type="character" w:customStyle="1" w:styleId="33">
    <w:name w:val="gwds_nopic1"/>
    <w:basedOn w:val="10"/>
  </w:style>
  <w:style w:type="character" w:customStyle="1" w:styleId="34">
    <w:name w:val="gwds_nopic2"/>
    <w:basedOn w:val="10"/>
  </w:style>
  <w:style w:type="character" w:customStyle="1" w:styleId="35">
    <w:name w:val="tabg"/>
    <w:basedOn w:val="10"/>
    <w:rPr>
      <w:color w:val="FFFFFF"/>
      <w:sz w:val="27"/>
      <w:szCs w:val="27"/>
    </w:rPr>
  </w:style>
  <w:style w:type="character" w:customStyle="1" w:styleId="36">
    <w:name w:val="bg02"/>
    <w:basedOn w:val="10"/>
  </w:style>
  <w:style w:type="character" w:customStyle="1" w:styleId="37">
    <w:name w:val="more4"/>
    <w:basedOn w:val="10"/>
    <w:rPr>
      <w:color w:val="666666"/>
      <w:sz w:val="18"/>
      <w:szCs w:val="18"/>
    </w:rPr>
  </w:style>
  <w:style w:type="character" w:customStyle="1" w:styleId="38">
    <w:name w:val="font2"/>
    <w:basedOn w:val="10"/>
  </w:style>
  <w:style w:type="character" w:customStyle="1" w:styleId="39">
    <w:name w:val="font3"/>
    <w:basedOn w:val="10"/>
  </w:style>
  <w:style w:type="character" w:customStyle="1" w:styleId="40">
    <w:name w:val="hover24"/>
    <w:basedOn w:val="10"/>
    <w:rPr>
      <w:color w:val="015293"/>
    </w:rPr>
  </w:style>
  <w:style w:type="character" w:customStyle="1" w:styleId="41">
    <w:name w:val="sp4"/>
    <w:basedOn w:val="10"/>
  </w:style>
  <w:style w:type="character" w:customStyle="1" w:styleId="42">
    <w:name w:val="time"/>
    <w:basedOn w:val="10"/>
    <w:rPr>
      <w:rFonts w:ascii="Arial" w:cs="Arial" w:hAnsi="Arial"/>
      <w:color w:val="999999"/>
      <w:sz w:val="21"/>
      <w:szCs w:val="21"/>
    </w:rPr>
  </w:style>
  <w:style w:type="character" w:customStyle="1" w:styleId="43">
    <w:name w:val="sp5"/>
    <w:basedOn w:val="10"/>
  </w:style>
  <w:style w:type="character" w:customStyle="1" w:styleId="44">
    <w:name w:val="box6"/>
    <w:basedOn w:val="10"/>
    <w:rPr>
      <w:rFonts w:ascii="微软雅黑" w:eastAsia="微软雅黑" w:cs="微软雅黑" w:hAnsi="微软雅黑"/>
      <w:sz w:val="21"/>
      <w:szCs w:val="21"/>
    </w:rPr>
  </w:style>
  <w:style w:type="character" w:customStyle="1" w:styleId="45">
    <w:name w:val="s3"/>
    <w:basedOn w:val="10"/>
  </w:style>
  <w:style w:type="character" w:customStyle="1" w:styleId="46">
    <w:name w:val="sp6"/>
    <w:basedOn w:val="10"/>
  </w:style>
  <w:style w:type="character" w:customStyle="1" w:styleId="47">
    <w:name w:val="last"/>
    <w:basedOn w:val="10"/>
  </w:style>
  <w:style w:type="character" w:customStyle="1" w:styleId="48">
    <w:name w:val="last1"/>
    <w:basedOn w:val="10"/>
  </w:style>
  <w:style w:type="character" w:customStyle="1" w:styleId="49">
    <w:name w:val="sp1"/>
    <w:basedOn w:val="10"/>
  </w:style>
  <w:style w:type="character" w:customStyle="1" w:styleId="50">
    <w:name w:val="sp2"/>
    <w:basedOn w:val="10"/>
  </w:style>
  <w:style w:type="character" w:customStyle="1" w:styleId="51">
    <w:name w:val="sp7"/>
    <w:basedOn w:val="10"/>
  </w:style>
  <w:style w:type="character" w:customStyle="1" w:styleId="52">
    <w:name w:val="sp3"/>
    <w:basedOn w:val="10"/>
  </w:style>
  <w:style w:type="character" w:customStyle="1" w:styleId="53">
    <w:name w:val="hover74"/>
    <w:basedOn w:val="10"/>
    <w:rPr>
      <w:color w:val="000000"/>
      <w:shd w:val="clear" w:color="auto" w:fill="FFFFFF"/>
    </w:rPr>
  </w:style>
  <w:style w:type="character" w:customStyle="1" w:styleId="54">
    <w:name w:val="select2-selection__rendered"/>
    <w:basedOn w:val="10"/>
    <w:rPr>
      <w:sz w:val="18"/>
      <w:szCs w:val="18"/>
    </w:rPr>
  </w:style>
  <w:style w:type="character" w:customStyle="1" w:styleId="55">
    <w:name w:val="active20"/>
    <w:basedOn w:val="10"/>
    <w:rPr>
      <w:color w:val="FFFFFF"/>
      <w:shd w:val="clear" w:color="auto" w:fill="0069AE"/>
    </w:rPr>
  </w:style>
  <w:style w:type="character" w:customStyle="1" w:styleId="56">
    <w:name w:val="active21"/>
    <w:basedOn w:val="10"/>
    <w:rPr>
      <w:shd w:val="clear" w:color="auto" w:fill="20A0E4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4E743069-5412-4E7B-A06C-E4777A90E7F2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100</TotalTime>
  <Application>Yozo_Office27021597764231179</Application>
  <Pages>6</Pages>
  <Words>0</Words>
  <Characters>1929</Characters>
  <Lines>0</Lines>
  <Paragraphs>34</Paragraphs>
  <CharactersWithSpaces>2572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王珊Jennifer</dc:creator>
  <cp:lastModifiedBy>HUAWEI</cp:lastModifiedBy>
  <cp:revision>1</cp:revision>
  <cp:lastPrinted>2020-01-20T09:08:00Z</cp:lastPrinted>
  <dcterms:created xsi:type="dcterms:W3CDTF">2020-01-20T06:19:00Z</dcterms:created>
  <dcterms:modified xsi:type="dcterms:W3CDTF">2025-01-15T03:35:15Z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2052-11.8.2.8053</vt:lpwstr>
  </property>
</Properties>
</file>