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30AAD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宋体" w:hAnsi="宋体" w:eastAsia="宋体" w:cs="宋体"/>
          <w:b/>
          <w:bCs/>
          <w:i w:val="0"/>
          <w:iCs w:val="0"/>
          <w:color w:val="333333"/>
          <w:sz w:val="44"/>
          <w:szCs w:val="44"/>
          <w:u w:val="none"/>
        </w:rPr>
      </w:pPr>
    </w:p>
    <w:p w14:paraId="5BD879C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val="0"/>
          <w:i w:val="0"/>
          <w:iCs w:val="0"/>
          <w:color w:val="333333"/>
          <w:sz w:val="44"/>
          <w:szCs w:val="44"/>
          <w:u w:val="none"/>
        </w:rPr>
      </w:pPr>
      <w:r>
        <w:rPr>
          <w:rFonts w:hint="eastAsia" w:ascii="方正小标宋简体" w:hAnsi="方正小标宋简体" w:eastAsia="方正小标宋简体" w:cs="方正小标宋简体"/>
          <w:b w:val="0"/>
          <w:bCs w:val="0"/>
          <w:i w:val="0"/>
          <w:iCs w:val="0"/>
          <w:color w:val="333333"/>
          <w:sz w:val="44"/>
          <w:szCs w:val="44"/>
          <w:u w:val="none"/>
        </w:rPr>
        <w:t>隆尧县农业农村局</w:t>
      </w:r>
    </w:p>
    <w:p w14:paraId="4E28A14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宋体" w:hAnsi="宋体" w:eastAsia="宋体" w:cs="宋体"/>
          <w:b/>
          <w:bCs/>
          <w:i w:val="0"/>
          <w:iCs w:val="0"/>
          <w:color w:val="333333"/>
          <w:sz w:val="44"/>
          <w:szCs w:val="44"/>
          <w:u w:val="none"/>
        </w:rPr>
      </w:pPr>
      <w:r>
        <w:rPr>
          <w:rFonts w:hint="eastAsia" w:ascii="方正小标宋简体" w:hAnsi="方正小标宋简体" w:eastAsia="方正小标宋简体" w:cs="方正小标宋简体"/>
          <w:b w:val="0"/>
          <w:bCs w:val="0"/>
          <w:i w:val="0"/>
          <w:iCs w:val="0"/>
          <w:color w:val="333333"/>
          <w:sz w:val="44"/>
          <w:szCs w:val="44"/>
          <w:u w:val="none"/>
        </w:rPr>
        <w:t>202</w:t>
      </w:r>
      <w:r>
        <w:rPr>
          <w:rFonts w:hint="eastAsia" w:ascii="方正小标宋简体" w:hAnsi="方正小标宋简体" w:eastAsia="方正小标宋简体" w:cs="方正小标宋简体"/>
          <w:b w:val="0"/>
          <w:bCs w:val="0"/>
          <w:i w:val="0"/>
          <w:iCs w:val="0"/>
          <w:color w:val="333333"/>
          <w:sz w:val="44"/>
          <w:szCs w:val="44"/>
          <w:u w:val="none"/>
          <w:lang w:val="en-US" w:eastAsia="zh-CN"/>
        </w:rPr>
        <w:t>4</w:t>
      </w:r>
      <w:r>
        <w:rPr>
          <w:rFonts w:hint="eastAsia" w:ascii="方正小标宋简体" w:hAnsi="方正小标宋简体" w:eastAsia="方正小标宋简体" w:cs="方正小标宋简体"/>
          <w:b w:val="0"/>
          <w:bCs w:val="0"/>
          <w:i w:val="0"/>
          <w:iCs w:val="0"/>
          <w:color w:val="333333"/>
          <w:sz w:val="44"/>
          <w:szCs w:val="44"/>
          <w:u w:val="none"/>
        </w:rPr>
        <w:t>年政府信息公开工作年度报告</w:t>
      </w:r>
    </w:p>
    <w:p w14:paraId="67E82527">
      <w:pPr>
        <w:rPr>
          <w:sz w:val="32"/>
          <w:szCs w:val="32"/>
        </w:rPr>
      </w:pPr>
    </w:p>
    <w:p w14:paraId="2A22971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202</w:t>
      </w:r>
      <w:r>
        <w:rPr>
          <w:rFonts w:hint="eastAsia" w:ascii="Times New Roman" w:hAnsi="Times New Roman" w:eastAsia="仿宋_GB2312" w:cs="Times New Roman"/>
          <w:b w:val="0"/>
          <w:bCs w:val="0"/>
          <w:kern w:val="2"/>
          <w:sz w:val="32"/>
          <w:szCs w:val="32"/>
          <w:lang w:val="en-US" w:eastAsia="zh-CN" w:bidi="ar-SA"/>
        </w:rPr>
        <w:t>4</w:t>
      </w:r>
      <w:r>
        <w:rPr>
          <w:rFonts w:hint="default" w:ascii="Times New Roman" w:hAnsi="Times New Roman" w:eastAsia="仿宋_GB2312" w:cs="Times New Roman"/>
          <w:b w:val="0"/>
          <w:bCs w:val="0"/>
          <w:kern w:val="2"/>
          <w:sz w:val="32"/>
          <w:szCs w:val="32"/>
          <w:lang w:val="en-US" w:eastAsia="zh-CN" w:bidi="ar-SA"/>
        </w:rPr>
        <w:t>年，在县委、县政府的正确领导下，县农业农村局按照《中华人民共和国政府信息公开条例》和隆尧县人民政府办公室有关要求，明确责任分工，细化工作举措，进一步加强信息公开工作，政府信息公开工作得到有序推进。现公开202</w:t>
      </w:r>
      <w:r>
        <w:rPr>
          <w:rFonts w:hint="eastAsia" w:ascii="Times New Roman" w:hAnsi="Times New Roman" w:eastAsia="仿宋_GB2312" w:cs="Times New Roman"/>
          <w:b w:val="0"/>
          <w:bCs w:val="0"/>
          <w:kern w:val="2"/>
          <w:sz w:val="32"/>
          <w:szCs w:val="32"/>
          <w:lang w:val="en-US" w:eastAsia="zh-CN" w:bidi="ar-SA"/>
        </w:rPr>
        <w:t>4</w:t>
      </w:r>
      <w:r>
        <w:rPr>
          <w:rFonts w:hint="default" w:ascii="Times New Roman" w:hAnsi="Times New Roman" w:eastAsia="仿宋_GB2312" w:cs="Times New Roman"/>
          <w:b w:val="0"/>
          <w:bCs w:val="0"/>
          <w:kern w:val="2"/>
          <w:sz w:val="32"/>
          <w:szCs w:val="32"/>
          <w:lang w:val="en-US" w:eastAsia="zh-CN" w:bidi="ar-SA"/>
        </w:rPr>
        <w:t>年政府信息公开工作年度报告如下：</w:t>
      </w:r>
    </w:p>
    <w:p w14:paraId="5B92E248">
      <w:pPr>
        <w:keepNext w:val="0"/>
        <w:keepLines w:val="0"/>
        <w:pageBreakBefore w:val="0"/>
        <w:widowControl w:val="0"/>
        <w:tabs>
          <w:tab w:val="left" w:pos="7428"/>
        </w:tabs>
        <w:kinsoku/>
        <w:wordWrap/>
        <w:overflowPunct/>
        <w:topLinePunct w:val="0"/>
        <w:autoSpaceDE/>
        <w:autoSpaceDN/>
        <w:bidi w:val="0"/>
        <w:adjustRightInd/>
        <w:snapToGrid/>
        <w:spacing w:beforeAutospacing="0" w:afterAutospacing="0" w:line="600" w:lineRule="exact"/>
        <w:ind w:firstLine="640" w:firstLineChars="200"/>
        <w:jc w:val="both"/>
        <w:textAlignment w:val="auto"/>
        <w:rPr>
          <w:rFonts w:hint="eastAsia" w:ascii="Times New Roman" w:hAnsi="Times New Roman" w:eastAsia="黑体" w:cs="Times New Roman"/>
          <w:sz w:val="32"/>
          <w:szCs w:val="32"/>
          <w:lang w:eastAsia="zh-CN"/>
        </w:rPr>
      </w:pPr>
      <w:r>
        <w:rPr>
          <w:rFonts w:hint="default" w:ascii="Times New Roman" w:hAnsi="Times New Roman" w:eastAsia="黑体" w:cs="Times New Roman"/>
          <w:sz w:val="32"/>
          <w:szCs w:val="32"/>
        </w:rPr>
        <w:t>一、总体情况</w:t>
      </w:r>
      <w:r>
        <w:rPr>
          <w:rFonts w:hint="eastAsia" w:ascii="Times New Roman" w:hAnsi="Times New Roman" w:eastAsia="黑体" w:cs="Times New Roman"/>
          <w:sz w:val="32"/>
          <w:szCs w:val="32"/>
          <w:lang w:eastAsia="zh-CN"/>
        </w:rPr>
        <w:tab/>
      </w:r>
    </w:p>
    <w:p w14:paraId="157A196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仿宋_GB2312" w:cs="Times New Roman"/>
          <w:b w:val="0"/>
          <w:bCs w:val="0"/>
          <w:kern w:val="2"/>
          <w:sz w:val="32"/>
          <w:szCs w:val="32"/>
          <w:lang w:val="en-US" w:eastAsia="zh-CN" w:bidi="ar-SA"/>
        </w:rPr>
        <w:t>202</w:t>
      </w:r>
      <w:r>
        <w:rPr>
          <w:rFonts w:hint="eastAsia" w:ascii="Times New Roman" w:hAnsi="Times New Roman" w:eastAsia="仿宋_GB2312" w:cs="Times New Roman"/>
          <w:b w:val="0"/>
          <w:bCs w:val="0"/>
          <w:kern w:val="2"/>
          <w:sz w:val="32"/>
          <w:szCs w:val="32"/>
          <w:lang w:val="en-US" w:eastAsia="zh-CN" w:bidi="ar-SA"/>
        </w:rPr>
        <w:t>4</w:t>
      </w:r>
      <w:r>
        <w:rPr>
          <w:rFonts w:hint="default" w:ascii="Times New Roman" w:hAnsi="Times New Roman" w:eastAsia="仿宋_GB2312" w:cs="Times New Roman"/>
          <w:b w:val="0"/>
          <w:bCs w:val="0"/>
          <w:kern w:val="2"/>
          <w:sz w:val="32"/>
          <w:szCs w:val="32"/>
          <w:lang w:val="en-US" w:eastAsia="zh-CN" w:bidi="ar-SA"/>
        </w:rPr>
        <w:t>年度，隆尧县农业农村局坚持以习近平新时代中国特色社会主义思想为指导，全面贯彻中国共产党第二十次全国代表大会精神，深入推进基层政务公开标准化、规范化建设，积极保障公众知情权和监督权，规范工作程序，拓展公开深度，加大主动公开力度，全面提升政务公开工作的能力和水平，政府信息公开工作取得新进展。</w:t>
      </w:r>
    </w:p>
    <w:p w14:paraId="6EC46B3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（一）加强主动公开。</w:t>
      </w:r>
      <w:r>
        <w:rPr>
          <w:rFonts w:hint="default" w:ascii="Times New Roman" w:hAnsi="Times New Roman" w:eastAsia="仿宋_GB2312" w:cs="Times New Roman"/>
          <w:b w:val="0"/>
          <w:bCs w:val="0"/>
          <w:kern w:val="2"/>
          <w:sz w:val="32"/>
          <w:szCs w:val="32"/>
          <w:lang w:val="en-US" w:eastAsia="zh-CN" w:bidi="ar-SA"/>
        </w:rPr>
        <w:t>202</w:t>
      </w:r>
      <w:r>
        <w:rPr>
          <w:rFonts w:hint="eastAsia" w:ascii="Times New Roman" w:hAnsi="Times New Roman" w:eastAsia="仿宋_GB2312" w:cs="Times New Roman"/>
          <w:b w:val="0"/>
          <w:bCs w:val="0"/>
          <w:kern w:val="2"/>
          <w:sz w:val="32"/>
          <w:szCs w:val="32"/>
          <w:lang w:val="en-US" w:eastAsia="zh-CN" w:bidi="ar-SA"/>
        </w:rPr>
        <w:t>4</w:t>
      </w:r>
      <w:r>
        <w:rPr>
          <w:rFonts w:hint="default" w:ascii="Times New Roman" w:hAnsi="Times New Roman" w:eastAsia="仿宋_GB2312" w:cs="Times New Roman"/>
          <w:b w:val="0"/>
          <w:bCs w:val="0"/>
          <w:kern w:val="2"/>
          <w:sz w:val="32"/>
          <w:szCs w:val="32"/>
          <w:lang w:val="en-US" w:eastAsia="zh-CN" w:bidi="ar-SA"/>
        </w:rPr>
        <w:t>年，我局认真贯彻落实《中华人民共和国政府信息公开条例》，对农业农村工作动态、农业资源管理、行政许可、行政执法等主动公开，公开了涉农补贴、乡村振兴、农业产业升级、农业文化及技术服务、扶贫专项资金分配使用、新农村建设等方面确定的重点任务共计</w:t>
      </w:r>
      <w:r>
        <w:rPr>
          <w:rFonts w:hint="eastAsia" w:ascii="Times New Roman" w:hAnsi="Times New Roman" w:eastAsia="仿宋_GB2312" w:cs="Times New Roman"/>
          <w:b w:val="0"/>
          <w:bCs w:val="0"/>
          <w:kern w:val="2"/>
          <w:sz w:val="32"/>
          <w:szCs w:val="32"/>
          <w:lang w:val="en-US" w:eastAsia="zh-CN" w:bidi="ar-SA"/>
        </w:rPr>
        <w:t>155</w:t>
      </w:r>
      <w:r>
        <w:rPr>
          <w:rFonts w:hint="default" w:ascii="Times New Roman" w:hAnsi="Times New Roman" w:eastAsia="仿宋_GB2312" w:cs="Times New Roman"/>
          <w:b w:val="0"/>
          <w:bCs w:val="0"/>
          <w:kern w:val="2"/>
          <w:sz w:val="32"/>
          <w:szCs w:val="32"/>
          <w:lang w:val="en-US" w:eastAsia="zh-CN" w:bidi="ar-SA"/>
        </w:rPr>
        <w:t>条公开信息。详细情况如下：政府信息公开年报1条，</w:t>
      </w:r>
      <w:r>
        <w:rPr>
          <w:rFonts w:hint="eastAsia" w:ascii="Times New Roman" w:hAnsi="Times New Roman" w:eastAsia="仿宋_GB2312" w:cs="Times New Roman"/>
          <w:b w:val="0"/>
          <w:bCs w:val="0"/>
          <w:kern w:val="2"/>
          <w:sz w:val="32"/>
          <w:szCs w:val="32"/>
          <w:lang w:val="en-US" w:eastAsia="zh-CN" w:bidi="ar-SA"/>
        </w:rPr>
        <w:t>机构职能</w:t>
      </w:r>
      <w:r>
        <w:rPr>
          <w:rFonts w:hint="default" w:ascii="Times New Roman" w:hAnsi="Times New Roman" w:eastAsia="仿宋_GB2312" w:cs="Times New Roman"/>
          <w:b w:val="0"/>
          <w:bCs w:val="0"/>
          <w:kern w:val="2"/>
          <w:sz w:val="32"/>
          <w:szCs w:val="32"/>
          <w:lang w:val="en-US" w:eastAsia="zh-CN" w:bidi="ar-SA"/>
        </w:rPr>
        <w:t>1条，权责清单1条，公告公示</w:t>
      </w:r>
      <w:r>
        <w:rPr>
          <w:rFonts w:hint="eastAsia" w:ascii="Times New Roman" w:hAnsi="Times New Roman" w:eastAsia="仿宋_GB2312" w:cs="Times New Roman"/>
          <w:b w:val="0"/>
          <w:bCs w:val="0"/>
          <w:kern w:val="2"/>
          <w:sz w:val="32"/>
          <w:szCs w:val="32"/>
          <w:lang w:val="en-US" w:eastAsia="zh-CN" w:bidi="ar-SA"/>
        </w:rPr>
        <w:t>113</w:t>
      </w:r>
      <w:r>
        <w:rPr>
          <w:rFonts w:hint="default" w:ascii="Times New Roman" w:hAnsi="Times New Roman" w:eastAsia="仿宋_GB2312" w:cs="Times New Roman"/>
          <w:b w:val="0"/>
          <w:bCs w:val="0"/>
          <w:kern w:val="2"/>
          <w:sz w:val="32"/>
          <w:szCs w:val="32"/>
          <w:lang w:val="en-US" w:eastAsia="zh-CN" w:bidi="ar-SA"/>
        </w:rPr>
        <w:t>条，工作部署</w:t>
      </w:r>
      <w:r>
        <w:rPr>
          <w:rFonts w:hint="eastAsia" w:ascii="Times New Roman" w:hAnsi="Times New Roman" w:eastAsia="仿宋_GB2312" w:cs="Times New Roman"/>
          <w:b w:val="0"/>
          <w:bCs w:val="0"/>
          <w:kern w:val="2"/>
          <w:sz w:val="32"/>
          <w:szCs w:val="32"/>
          <w:lang w:val="en-US" w:eastAsia="zh-CN" w:bidi="ar-SA"/>
        </w:rPr>
        <w:t>2</w:t>
      </w:r>
      <w:r>
        <w:rPr>
          <w:rFonts w:hint="default" w:ascii="Times New Roman" w:hAnsi="Times New Roman" w:eastAsia="仿宋_GB2312" w:cs="Times New Roman"/>
          <w:b w:val="0"/>
          <w:bCs w:val="0"/>
          <w:kern w:val="2"/>
          <w:sz w:val="32"/>
          <w:szCs w:val="32"/>
          <w:lang w:val="en-US" w:eastAsia="zh-CN" w:bidi="ar-SA"/>
        </w:rPr>
        <w:t>条，</w:t>
      </w:r>
      <w:r>
        <w:rPr>
          <w:rFonts w:hint="eastAsia" w:ascii="Times New Roman" w:hAnsi="Times New Roman" w:eastAsia="仿宋_GB2312" w:cs="Times New Roman"/>
          <w:b w:val="0"/>
          <w:bCs w:val="0"/>
          <w:kern w:val="2"/>
          <w:sz w:val="32"/>
          <w:szCs w:val="32"/>
          <w:lang w:val="en-US" w:eastAsia="zh-CN" w:bidi="ar-SA"/>
        </w:rPr>
        <w:t>政府采购3条，</w:t>
      </w:r>
      <w:r>
        <w:rPr>
          <w:rFonts w:hint="default" w:ascii="Times New Roman" w:hAnsi="Times New Roman" w:eastAsia="仿宋_GB2312" w:cs="Times New Roman"/>
          <w:b w:val="0"/>
          <w:bCs w:val="0"/>
          <w:kern w:val="2"/>
          <w:sz w:val="32"/>
          <w:szCs w:val="32"/>
          <w:lang w:val="en-US" w:eastAsia="zh-CN" w:bidi="ar-SA"/>
        </w:rPr>
        <w:t>部门预决算</w:t>
      </w:r>
      <w:r>
        <w:rPr>
          <w:rFonts w:hint="eastAsia" w:ascii="Times New Roman" w:hAnsi="Times New Roman" w:eastAsia="仿宋_GB2312" w:cs="Times New Roman"/>
          <w:b w:val="0"/>
          <w:bCs w:val="0"/>
          <w:kern w:val="2"/>
          <w:sz w:val="32"/>
          <w:szCs w:val="32"/>
          <w:lang w:val="en-US" w:eastAsia="zh-CN" w:bidi="ar-SA"/>
        </w:rPr>
        <w:t>2</w:t>
      </w:r>
      <w:r>
        <w:rPr>
          <w:rFonts w:hint="default" w:ascii="Times New Roman" w:hAnsi="Times New Roman" w:eastAsia="仿宋_GB2312" w:cs="Times New Roman"/>
          <w:b w:val="0"/>
          <w:bCs w:val="0"/>
          <w:kern w:val="2"/>
          <w:sz w:val="32"/>
          <w:szCs w:val="32"/>
          <w:lang w:val="en-US" w:eastAsia="zh-CN" w:bidi="ar-SA"/>
        </w:rPr>
        <w:t>条，行政</w:t>
      </w:r>
      <w:r>
        <w:rPr>
          <w:rFonts w:hint="eastAsia" w:ascii="Times New Roman" w:hAnsi="Times New Roman" w:eastAsia="仿宋_GB2312" w:cs="Times New Roman"/>
          <w:b w:val="0"/>
          <w:bCs w:val="0"/>
          <w:kern w:val="2"/>
          <w:sz w:val="32"/>
          <w:szCs w:val="32"/>
          <w:lang w:val="en-US" w:eastAsia="zh-CN" w:bidi="ar-SA"/>
        </w:rPr>
        <w:t>执法事项11</w:t>
      </w:r>
      <w:r>
        <w:rPr>
          <w:rFonts w:hint="default" w:ascii="Times New Roman" w:hAnsi="Times New Roman" w:eastAsia="仿宋_GB2312" w:cs="Times New Roman"/>
          <w:b w:val="0"/>
          <w:bCs w:val="0"/>
          <w:kern w:val="2"/>
          <w:sz w:val="32"/>
          <w:szCs w:val="32"/>
          <w:lang w:val="en-US" w:eastAsia="zh-CN" w:bidi="ar-SA"/>
        </w:rPr>
        <w:t>条，重大事项及计划</w:t>
      </w:r>
      <w:r>
        <w:rPr>
          <w:rFonts w:hint="eastAsia" w:ascii="Times New Roman" w:hAnsi="Times New Roman" w:eastAsia="仿宋_GB2312" w:cs="Times New Roman"/>
          <w:b w:val="0"/>
          <w:bCs w:val="0"/>
          <w:kern w:val="2"/>
          <w:sz w:val="32"/>
          <w:szCs w:val="32"/>
          <w:lang w:val="en-US" w:eastAsia="zh-CN" w:bidi="ar-SA"/>
        </w:rPr>
        <w:t>方案3</w:t>
      </w:r>
      <w:r>
        <w:rPr>
          <w:rFonts w:hint="default" w:ascii="Times New Roman" w:hAnsi="Times New Roman" w:eastAsia="仿宋_GB2312" w:cs="Times New Roman"/>
          <w:b w:val="0"/>
          <w:bCs w:val="0"/>
          <w:kern w:val="2"/>
          <w:sz w:val="32"/>
          <w:szCs w:val="32"/>
          <w:lang w:val="en-US" w:eastAsia="zh-CN" w:bidi="ar-SA"/>
        </w:rPr>
        <w:t>条，惠民惠农财政补贴专栏</w:t>
      </w:r>
      <w:r>
        <w:rPr>
          <w:rFonts w:hint="eastAsia" w:ascii="Times New Roman" w:hAnsi="Times New Roman" w:eastAsia="仿宋_GB2312" w:cs="Times New Roman"/>
          <w:b w:val="0"/>
          <w:bCs w:val="0"/>
          <w:kern w:val="2"/>
          <w:sz w:val="32"/>
          <w:szCs w:val="32"/>
          <w:lang w:val="en-US" w:eastAsia="zh-CN" w:bidi="ar-SA"/>
        </w:rPr>
        <w:t>18</w:t>
      </w:r>
      <w:r>
        <w:rPr>
          <w:rFonts w:hint="default" w:ascii="Times New Roman" w:hAnsi="Times New Roman" w:eastAsia="仿宋_GB2312" w:cs="Times New Roman"/>
          <w:b w:val="0"/>
          <w:bCs w:val="0"/>
          <w:kern w:val="2"/>
          <w:sz w:val="32"/>
          <w:szCs w:val="32"/>
          <w:lang w:val="en-US" w:eastAsia="zh-CN" w:bidi="ar-SA"/>
        </w:rPr>
        <w:t>条，共计公开信息1</w:t>
      </w:r>
      <w:r>
        <w:rPr>
          <w:rFonts w:hint="eastAsia" w:ascii="Times New Roman" w:hAnsi="Times New Roman" w:eastAsia="仿宋_GB2312" w:cs="Times New Roman"/>
          <w:b w:val="0"/>
          <w:bCs w:val="0"/>
          <w:kern w:val="2"/>
          <w:sz w:val="32"/>
          <w:szCs w:val="32"/>
          <w:lang w:val="en-US" w:eastAsia="zh-CN" w:bidi="ar-SA"/>
        </w:rPr>
        <w:t>55</w:t>
      </w:r>
      <w:r>
        <w:rPr>
          <w:rFonts w:hint="default" w:ascii="Times New Roman" w:hAnsi="Times New Roman" w:eastAsia="仿宋_GB2312" w:cs="Times New Roman"/>
          <w:b w:val="0"/>
          <w:bCs w:val="0"/>
          <w:kern w:val="2"/>
          <w:sz w:val="32"/>
          <w:szCs w:val="32"/>
          <w:lang w:val="en-US" w:eastAsia="zh-CN" w:bidi="ar-SA"/>
        </w:rPr>
        <w:t>条。通过信息公开，农业农村局各项政务透明度进一步提高,办事程序进一步规范,各项工作进一步的顺利开展,各项重点工作取得了新的突破。</w:t>
      </w:r>
    </w:p>
    <w:p w14:paraId="4D5B249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（二）规范依申请公开。</w:t>
      </w:r>
      <w:r>
        <w:rPr>
          <w:rFonts w:hint="default" w:ascii="Times New Roman" w:hAnsi="Times New Roman" w:eastAsia="仿宋_GB2312" w:cs="Times New Roman"/>
          <w:b w:val="0"/>
          <w:bCs w:val="0"/>
          <w:kern w:val="2"/>
          <w:sz w:val="32"/>
          <w:szCs w:val="32"/>
          <w:lang w:val="en-US" w:eastAsia="zh-CN" w:bidi="ar-SA"/>
        </w:rPr>
        <w:t>我局高度重视政府信息依申请公开工作，认真贯彻落实《河北省政府信息公开申请办理规范》，进一步完善了政府信息公开申请登记、审核、办理、答复、归档制度，按照标准化流程和答复格式文书，切实担负起答复主体责任，未出现拒不答复、答复超期和答复书不规范现象，全面提升工作质量。我局按要求在网站开设依申请公开栏目，畅通网络、信函、当面申请等渠道。</w:t>
      </w:r>
    </w:p>
    <w:p w14:paraId="0C752179">
      <w:pPr>
        <w:pStyle w:val="4"/>
        <w:keepNext w:val="0"/>
        <w:keepLines w:val="0"/>
        <w:pageBreakBefore w:val="0"/>
        <w:kinsoku/>
        <w:wordWrap/>
        <w:overflowPunct/>
        <w:topLinePunct w:val="0"/>
        <w:autoSpaceDE/>
        <w:autoSpaceDN/>
        <w:bidi w:val="0"/>
        <w:adjustRightInd/>
        <w:snapToGrid/>
        <w:spacing w:beforeAutospacing="0" w:afterAutospacing="0" w:line="600" w:lineRule="exact"/>
        <w:ind w:firstLine="640" w:firstLineChars="200"/>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（三）严格政府信息管理。</w:t>
      </w:r>
      <w:r>
        <w:rPr>
          <w:rFonts w:hint="default" w:ascii="Times New Roman" w:hAnsi="Times New Roman" w:eastAsia="仿宋_GB2312" w:cs="Times New Roman"/>
          <w:b w:val="0"/>
          <w:bCs w:val="0"/>
          <w:kern w:val="2"/>
          <w:sz w:val="32"/>
          <w:szCs w:val="32"/>
          <w:lang w:val="en-US" w:eastAsia="zh-CN" w:bidi="ar-SA"/>
        </w:rPr>
        <w:t>坚决落实网络意识形态工作责任制，健全风险排查机制，按照“谁主管、谁负责”的原则，压实工作责任，完善责任到人工作制度，确保政府网站和政务新媒体安全、平稳、有序运行。我局成立了主要领导为组长，分管领导为副组长，相关股（室）负责人为成员的政府信息公开工作领导小组，领导小组下设办公室，配备1名工作人员具体负责做好政</w:t>
      </w:r>
      <w:r>
        <w:rPr>
          <w:rFonts w:hint="eastAsia" w:ascii="Times New Roman" w:hAnsi="Times New Roman" w:eastAsia="仿宋_GB2312" w:cs="Times New Roman"/>
          <w:b w:val="0"/>
          <w:bCs w:val="0"/>
          <w:kern w:val="2"/>
          <w:sz w:val="32"/>
          <w:szCs w:val="32"/>
          <w:lang w:val="en-US" w:eastAsia="zh-CN" w:bidi="ar-SA"/>
        </w:rPr>
        <w:t>府</w:t>
      </w:r>
      <w:r>
        <w:rPr>
          <w:rFonts w:hint="default" w:ascii="Times New Roman" w:hAnsi="Times New Roman" w:eastAsia="仿宋_GB2312" w:cs="Times New Roman"/>
          <w:b w:val="0"/>
          <w:bCs w:val="0"/>
          <w:kern w:val="2"/>
          <w:sz w:val="32"/>
          <w:szCs w:val="32"/>
          <w:lang w:val="en-US" w:eastAsia="zh-CN" w:bidi="ar-SA"/>
        </w:rPr>
        <w:t>信息公开各项日常工作。形成“主要领导亲自抓，分管领导具体抓，职能股室抓落实”的工作机制，及时协调解决工作中的问题，确保工作的顺利推进。</w:t>
      </w:r>
      <w:bookmarkStart w:id="0" w:name="_GoBack"/>
      <w:bookmarkEnd w:id="0"/>
    </w:p>
    <w:p w14:paraId="7D8DDD9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（四）推进政府信息公开平台建设。</w:t>
      </w:r>
      <w:r>
        <w:rPr>
          <w:rFonts w:hint="default" w:ascii="Times New Roman" w:hAnsi="Times New Roman" w:eastAsia="仿宋_GB2312" w:cs="Times New Roman"/>
          <w:b/>
          <w:bCs/>
          <w:kern w:val="2"/>
          <w:sz w:val="32"/>
          <w:szCs w:val="32"/>
          <w:lang w:val="en-US" w:eastAsia="zh-CN" w:bidi="ar-SA"/>
        </w:rPr>
        <w:t>一是</w:t>
      </w:r>
      <w:r>
        <w:rPr>
          <w:rFonts w:hint="default" w:ascii="Times New Roman" w:hAnsi="Times New Roman" w:eastAsia="仿宋_GB2312" w:cs="Times New Roman"/>
          <w:b w:val="0"/>
          <w:bCs w:val="0"/>
          <w:kern w:val="2"/>
          <w:sz w:val="32"/>
          <w:szCs w:val="32"/>
          <w:lang w:val="en-US" w:eastAsia="zh-CN" w:bidi="ar-SA"/>
        </w:rPr>
        <w:t>重视对《中华人民共和国政府信息公开条例》的学习宣传。定期组织局信息公开领导小组成员和相关同志进行集中学习，并对农业农村信息公开情况进行监督，提出改进意见，确保政府信息公开落到实处。</w:t>
      </w:r>
      <w:r>
        <w:rPr>
          <w:rFonts w:hint="default" w:ascii="Times New Roman" w:hAnsi="Times New Roman" w:eastAsia="仿宋_GB2312" w:cs="Times New Roman"/>
          <w:b/>
          <w:bCs/>
          <w:kern w:val="2"/>
          <w:sz w:val="32"/>
          <w:szCs w:val="32"/>
          <w:lang w:val="en-US" w:eastAsia="zh-CN" w:bidi="ar-SA"/>
        </w:rPr>
        <w:t>二是</w:t>
      </w:r>
      <w:r>
        <w:rPr>
          <w:rFonts w:hint="default" w:ascii="Times New Roman" w:hAnsi="Times New Roman" w:eastAsia="仿宋_GB2312" w:cs="Times New Roman"/>
          <w:b w:val="0"/>
          <w:bCs w:val="0"/>
          <w:kern w:val="2"/>
          <w:sz w:val="32"/>
          <w:szCs w:val="32"/>
          <w:lang w:val="en-US" w:eastAsia="zh-CN" w:bidi="ar-SA"/>
        </w:rPr>
        <w:t>利用群众喜闻乐见的形式，开展有关农业及新农村建设、乡村振兴的宣传，增强宣传效果。组织各股室业务骨干进行宣传和解答群众提出的农业农村方面相关问题。通过设咨询台、宣传展板、悬挂宣传条幅、发放农业及新农村建设知识资料等形式，既营造了宣传氛围，又确保了宣传质量。</w:t>
      </w:r>
    </w:p>
    <w:p w14:paraId="0BC6499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5"/>
        <w:jc w:val="both"/>
        <w:textAlignment w:val="auto"/>
        <w:rPr>
          <w:rFonts w:hint="default" w:ascii="Times New Roman" w:hAnsi="Times New Roman" w:eastAsia="仿宋_GB2312" w:cs="Times New Roman"/>
          <w:b w:val="0"/>
          <w:bCs w:val="0"/>
          <w:kern w:val="2"/>
          <w:sz w:val="32"/>
          <w:szCs w:val="32"/>
          <w:lang w:val="en-US" w:eastAsia="zh-CN" w:bidi="ar-SA"/>
        </w:rPr>
      </w:pPr>
      <w:r>
        <w:rPr>
          <w:rFonts w:hint="default" w:ascii="Times New Roman" w:hAnsi="Times New Roman" w:eastAsia="楷体_GB2312" w:cs="Times New Roman"/>
          <w:b w:val="0"/>
          <w:bCs w:val="0"/>
          <w:kern w:val="2"/>
          <w:sz w:val="32"/>
          <w:szCs w:val="32"/>
          <w:lang w:val="en-US" w:eastAsia="zh-CN" w:bidi="ar-SA"/>
        </w:rPr>
        <w:t>（五）加强组织协调监督保障。</w:t>
      </w:r>
      <w:r>
        <w:rPr>
          <w:rFonts w:hint="default" w:ascii="Times New Roman" w:hAnsi="Times New Roman" w:eastAsia="仿宋_GB2312" w:cs="Times New Roman"/>
          <w:b w:val="0"/>
          <w:bCs w:val="0"/>
          <w:kern w:val="2"/>
          <w:sz w:val="32"/>
          <w:szCs w:val="32"/>
          <w:lang w:val="en-US" w:eastAsia="zh-CN" w:bidi="ar-SA"/>
        </w:rPr>
        <w:t>我局建立健全各项工作制度和工作机制。</w:t>
      </w:r>
      <w:r>
        <w:rPr>
          <w:rFonts w:hint="default" w:ascii="Times New Roman" w:hAnsi="Times New Roman" w:eastAsia="仿宋_GB2312" w:cs="Times New Roman"/>
          <w:b/>
          <w:bCs/>
          <w:kern w:val="2"/>
          <w:sz w:val="32"/>
          <w:szCs w:val="32"/>
          <w:lang w:val="en-US" w:eastAsia="zh-CN" w:bidi="ar-SA"/>
        </w:rPr>
        <w:t>一是</w:t>
      </w:r>
      <w:r>
        <w:rPr>
          <w:rFonts w:hint="default" w:ascii="Times New Roman" w:hAnsi="Times New Roman" w:eastAsia="仿宋_GB2312" w:cs="Times New Roman"/>
          <w:b w:val="0"/>
          <w:bCs w:val="0"/>
          <w:kern w:val="2"/>
          <w:sz w:val="32"/>
          <w:szCs w:val="32"/>
          <w:lang w:val="en-US" w:eastAsia="zh-CN" w:bidi="ar-SA"/>
        </w:rPr>
        <w:t>建立信息发布审核制度，发布信息必填写《隆尧县</w:t>
      </w:r>
      <w:r>
        <w:rPr>
          <w:rFonts w:hint="eastAsia" w:ascii="Times New Roman" w:hAnsi="Times New Roman" w:eastAsia="仿宋_GB2312" w:cs="Times New Roman"/>
          <w:b w:val="0"/>
          <w:bCs w:val="0"/>
          <w:kern w:val="2"/>
          <w:sz w:val="32"/>
          <w:szCs w:val="32"/>
          <w:lang w:val="en-US" w:eastAsia="zh-CN" w:bidi="ar-SA"/>
        </w:rPr>
        <w:t>政府网站、政务新媒体信息发布“三审”备案表</w:t>
      </w:r>
      <w:r>
        <w:rPr>
          <w:rFonts w:hint="default" w:ascii="Times New Roman" w:hAnsi="Times New Roman" w:eastAsia="仿宋_GB2312" w:cs="Times New Roman"/>
          <w:b w:val="0"/>
          <w:bCs w:val="0"/>
          <w:kern w:val="2"/>
          <w:sz w:val="32"/>
          <w:szCs w:val="32"/>
          <w:lang w:val="en-US" w:eastAsia="zh-CN" w:bidi="ar-SA"/>
        </w:rPr>
        <w:t>》，确保信息来源真实有效。</w:t>
      </w:r>
      <w:r>
        <w:rPr>
          <w:rFonts w:hint="default" w:ascii="Times New Roman" w:hAnsi="Times New Roman" w:eastAsia="仿宋_GB2312" w:cs="Times New Roman"/>
          <w:b/>
          <w:bCs/>
          <w:kern w:val="2"/>
          <w:sz w:val="32"/>
          <w:szCs w:val="32"/>
          <w:lang w:val="en-US" w:eastAsia="zh-CN" w:bidi="ar-SA"/>
        </w:rPr>
        <w:t>二是</w:t>
      </w:r>
      <w:r>
        <w:rPr>
          <w:rFonts w:hint="default" w:ascii="Times New Roman" w:hAnsi="Times New Roman" w:eastAsia="仿宋_GB2312" w:cs="Times New Roman"/>
          <w:b w:val="0"/>
          <w:bCs w:val="0"/>
          <w:kern w:val="2"/>
          <w:sz w:val="32"/>
          <w:szCs w:val="32"/>
          <w:lang w:val="en-US" w:eastAsia="zh-CN" w:bidi="ar-SA"/>
        </w:rPr>
        <w:t>严格落实政务公开工作考核，将政务公开工作纳入绩效考核体系。按照要求，为科学评价和深入推进各股室政务公开工作，结合实际和考核办要求，设置政务公开考核指标，对股室开展政务公开考核。</w:t>
      </w:r>
      <w:r>
        <w:rPr>
          <w:rFonts w:hint="default" w:ascii="Times New Roman" w:hAnsi="Times New Roman" w:eastAsia="仿宋_GB2312" w:cs="Times New Roman"/>
          <w:b/>
          <w:bCs/>
          <w:kern w:val="2"/>
          <w:sz w:val="32"/>
          <w:szCs w:val="32"/>
          <w:lang w:val="en-US" w:eastAsia="zh-CN" w:bidi="ar-SA"/>
        </w:rPr>
        <w:t>三是</w:t>
      </w:r>
      <w:r>
        <w:rPr>
          <w:rFonts w:hint="default" w:ascii="Times New Roman" w:hAnsi="Times New Roman" w:eastAsia="仿宋_GB2312" w:cs="Times New Roman"/>
          <w:b w:val="0"/>
          <w:bCs w:val="0"/>
          <w:kern w:val="2"/>
          <w:sz w:val="32"/>
          <w:szCs w:val="32"/>
          <w:lang w:val="en-US" w:eastAsia="zh-CN" w:bidi="ar-SA"/>
        </w:rPr>
        <w:t>推进行政服务体系标准化建设工作，按照国办公开办函{2021}30号统一格式编制发布政府信息公开工作年度报告。报告内容按照要求主动公开，同时保证报告高质量完成，接受社会监督。</w:t>
      </w:r>
    </w:p>
    <w:p w14:paraId="7E62350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二、主动公开政府信息情况</w:t>
      </w:r>
    </w:p>
    <w:p w14:paraId="1F8010C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default" w:ascii="Times New Roman" w:hAnsi="Times New Roman" w:eastAsia="仿宋_GB2312" w:cs="Times New Roman"/>
          <w:b w:val="0"/>
          <w:bCs w:val="0"/>
          <w:kern w:val="2"/>
          <w:sz w:val="32"/>
          <w:szCs w:val="32"/>
          <w:lang w:val="en-US" w:eastAsia="zh-CN" w:bidi="ar-SA"/>
        </w:rPr>
        <w:sectPr>
          <w:pgSz w:w="11906" w:h="16838"/>
          <w:pgMar w:top="1814" w:right="1417" w:bottom="1417" w:left="1417" w:header="851" w:footer="992" w:gutter="0"/>
          <w:cols w:space="0" w:num="1"/>
          <w:rtlGutter w:val="0"/>
          <w:docGrid w:type="lines" w:linePitch="312" w:charSpace="0"/>
        </w:sectPr>
      </w:pPr>
    </w:p>
    <w:tbl>
      <w:tblPr>
        <w:tblStyle w:val="5"/>
        <w:tblW w:w="78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965"/>
        <w:gridCol w:w="1965"/>
        <w:gridCol w:w="1965"/>
        <w:gridCol w:w="1965"/>
      </w:tblGrid>
      <w:tr w14:paraId="6D62B5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786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1D0C3E8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第二十条第（一）项</w:t>
            </w:r>
          </w:p>
        </w:tc>
      </w:tr>
      <w:tr w14:paraId="7547C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D8F31A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196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B3E7E1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196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59EE67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本年废止件数</w:t>
            </w:r>
          </w:p>
        </w:tc>
        <w:tc>
          <w:tcPr>
            <w:tcW w:w="196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94D607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2C36C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DD8310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规章</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1C24CB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13881CF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lang w:val="en-US" w:eastAsia="zh-CN"/>
              </w:rPr>
              <w:t>0</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4033DF7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color w:val="auto"/>
                <w:kern w:val="0"/>
                <w:sz w:val="21"/>
                <w:szCs w:val="21"/>
                <w:lang w:val="en-US" w:eastAsia="zh-CN" w:bidi="ar"/>
              </w:rPr>
              <w:t>0</w:t>
            </w:r>
          </w:p>
        </w:tc>
      </w:tr>
      <w:tr w14:paraId="52B94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3D2491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行政规范性文件</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7D4A715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auto"/>
                <w:kern w:val="0"/>
                <w:sz w:val="20"/>
                <w:szCs w:val="20"/>
                <w:lang w:val="en-US" w:eastAsia="zh-CN" w:bidi="ar"/>
              </w:rPr>
              <w:t>0</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7CF1217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eastAsia" w:eastAsia="等线"/>
                <w:lang w:val="en-US" w:eastAsia="zh-CN"/>
              </w:rPr>
            </w:pPr>
            <w:r>
              <w:rPr>
                <w:rFonts w:hint="eastAsia"/>
                <w:color w:val="auto"/>
                <w:lang w:val="en-US" w:eastAsia="zh-CN"/>
              </w:rPr>
              <w:t>0</w:t>
            </w:r>
          </w:p>
        </w:tc>
        <w:tc>
          <w:tcPr>
            <w:tcW w:w="1965" w:type="dxa"/>
            <w:tcBorders>
              <w:top w:val="nil"/>
              <w:left w:val="nil"/>
              <w:bottom w:val="single" w:color="auto" w:sz="8" w:space="0"/>
              <w:right w:val="single" w:color="auto" w:sz="8" w:space="0"/>
            </w:tcBorders>
            <w:shd w:val="clear" w:color="auto" w:fill="auto"/>
            <w:tcMar>
              <w:left w:w="57" w:type="dxa"/>
              <w:right w:w="57" w:type="dxa"/>
            </w:tcMar>
            <w:vAlign w:val="center"/>
          </w:tcPr>
          <w:p w14:paraId="1D4C0BF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color w:val="auto"/>
                <w:kern w:val="0"/>
                <w:sz w:val="21"/>
                <w:szCs w:val="21"/>
                <w:lang w:val="en-US" w:eastAsia="zh-CN" w:bidi="ar"/>
              </w:rPr>
              <w:t>0</w:t>
            </w:r>
          </w:p>
        </w:tc>
      </w:tr>
      <w:tr w14:paraId="47EE8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786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5FC5322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第二十条第（五）项</w:t>
            </w:r>
          </w:p>
        </w:tc>
      </w:tr>
      <w:tr w14:paraId="2A1E4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BBFAA4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DDC06C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本年处理决定数量</w:t>
            </w:r>
          </w:p>
        </w:tc>
      </w:tr>
      <w:tr w14:paraId="29B83A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B10A3C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行政许可</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5DCE52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Calibri" w:hAnsi="Calibri" w:cs="Calibri"/>
                <w:kern w:val="0"/>
                <w:sz w:val="21"/>
                <w:szCs w:val="21"/>
                <w:lang w:val="en-US" w:eastAsia="zh-CN" w:bidi="ar"/>
              </w:rPr>
              <w:t>0</w:t>
            </w:r>
          </w:p>
        </w:tc>
      </w:tr>
      <w:tr w14:paraId="1D8B4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786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64EA9B1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第二十条第（六）项</w:t>
            </w:r>
          </w:p>
        </w:tc>
      </w:tr>
      <w:tr w14:paraId="778FB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474E2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信息内容</w:t>
            </w:r>
          </w:p>
        </w:tc>
        <w:tc>
          <w:tcPr>
            <w:tcW w:w="589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B2BB9B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firstLine="0"/>
              <w:jc w:val="center"/>
              <w:textAlignment w:val="auto"/>
            </w:pPr>
            <w:r>
              <w:rPr>
                <w:rFonts w:hint="eastAsia" w:ascii="宋体" w:hAnsi="宋体" w:eastAsia="宋体" w:cs="宋体"/>
                <w:color w:val="000000"/>
                <w:kern w:val="0"/>
                <w:sz w:val="20"/>
                <w:szCs w:val="20"/>
                <w:lang w:val="en-US" w:eastAsia="zh-CN" w:bidi="ar"/>
              </w:rPr>
              <w:t>本年处理决定数量</w:t>
            </w:r>
          </w:p>
        </w:tc>
      </w:tr>
      <w:tr w14:paraId="36796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19FDF7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行政处罚</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8614FA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10</w:t>
            </w:r>
          </w:p>
        </w:tc>
      </w:tr>
      <w:tr w14:paraId="5F9E9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810A02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行政强制</w:t>
            </w:r>
          </w:p>
        </w:tc>
        <w:tc>
          <w:tcPr>
            <w:tcW w:w="589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0C0334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rPr>
                <w:rFonts w:hint="default"/>
                <w:lang w:val="en-US"/>
              </w:rPr>
            </w:pPr>
            <w:r>
              <w:rPr>
                <w:rFonts w:hint="eastAsia" w:ascii="宋体" w:hAnsi="宋体" w:eastAsia="宋体" w:cs="宋体"/>
                <w:color w:val="000000"/>
                <w:kern w:val="0"/>
                <w:sz w:val="20"/>
                <w:szCs w:val="20"/>
                <w:lang w:val="en-US" w:eastAsia="zh-CN" w:bidi="ar"/>
              </w:rPr>
              <w:t>0</w:t>
            </w:r>
          </w:p>
        </w:tc>
      </w:tr>
      <w:tr w14:paraId="49098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786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F498D5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第二十条第（八）项</w:t>
            </w:r>
          </w:p>
        </w:tc>
      </w:tr>
      <w:tr w14:paraId="581BE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C07E5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信息内容</w:t>
            </w:r>
          </w:p>
        </w:tc>
        <w:tc>
          <w:tcPr>
            <w:tcW w:w="589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5BD74A3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000000"/>
                <w:kern w:val="0"/>
                <w:sz w:val="20"/>
                <w:szCs w:val="20"/>
                <w:lang w:val="en-US" w:eastAsia="zh-CN" w:bidi="ar"/>
              </w:rPr>
              <w:t>本年收费金额（单位：万元）</w:t>
            </w:r>
          </w:p>
        </w:tc>
      </w:tr>
      <w:tr w14:paraId="1CA0E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196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A88CBE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left="0" w:right="0"/>
              <w:jc w:val="center"/>
              <w:textAlignment w:val="auto"/>
            </w:pPr>
            <w:r>
              <w:rPr>
                <w:rFonts w:hint="eastAsia" w:ascii="宋体" w:hAnsi="宋体" w:eastAsia="宋体" w:cs="宋体"/>
                <w:color w:val="auto"/>
                <w:kern w:val="0"/>
                <w:sz w:val="20"/>
                <w:szCs w:val="20"/>
                <w:lang w:val="en-US" w:eastAsia="zh-CN" w:bidi="ar"/>
              </w:rPr>
              <w:t>行政事业性收费</w:t>
            </w:r>
          </w:p>
        </w:tc>
        <w:tc>
          <w:tcPr>
            <w:tcW w:w="589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8F64B90">
            <w:pPr>
              <w:keepNext w:val="0"/>
              <w:keepLines w:val="0"/>
              <w:pageBreakBefore w:val="0"/>
              <w:kinsoku/>
              <w:wordWrap/>
              <w:overflowPunct/>
              <w:topLinePunct w:val="0"/>
              <w:autoSpaceDE/>
              <w:autoSpaceDN/>
              <w:bidi w:val="0"/>
              <w:snapToGrid/>
              <w:spacing w:line="540" w:lineRule="exact"/>
              <w:jc w:val="center"/>
              <w:textAlignment w:val="auto"/>
              <w:rPr>
                <w:rFonts w:hint="eastAsia" w:ascii="宋体" w:eastAsiaTheme="minorEastAsia"/>
                <w:sz w:val="24"/>
                <w:szCs w:val="24"/>
                <w:lang w:val="en-US" w:eastAsia="zh-CN"/>
              </w:rPr>
            </w:pPr>
            <w:r>
              <w:rPr>
                <w:rFonts w:hint="eastAsia" w:ascii="宋体"/>
                <w:color w:val="auto"/>
                <w:sz w:val="24"/>
                <w:szCs w:val="24"/>
                <w:lang w:val="en-US" w:eastAsia="zh-CN"/>
              </w:rPr>
              <w:t>0</w:t>
            </w:r>
          </w:p>
        </w:tc>
      </w:tr>
    </w:tbl>
    <w:p w14:paraId="5B48820A">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645"/>
        <w:jc w:val="both"/>
        <w:rPr>
          <w:rFonts w:hint="eastAsia" w:ascii="宋体" w:hAnsi="宋体" w:eastAsia="宋体" w:cs="宋体"/>
          <w:i w:val="0"/>
          <w:iCs w:val="0"/>
          <w:caps w:val="0"/>
          <w:color w:val="666666"/>
          <w:spacing w:val="0"/>
          <w:sz w:val="24"/>
          <w:szCs w:val="24"/>
          <w:u w:val="none"/>
          <w:shd w:val="clear" w:fill="FFFFFF"/>
        </w:rPr>
      </w:pPr>
    </w:p>
    <w:p w14:paraId="6D7289AC">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645"/>
        <w:jc w:val="both"/>
        <w:rPr>
          <w:rFonts w:hint="eastAsia" w:ascii="宋体" w:hAnsi="宋体" w:eastAsia="宋体" w:cs="宋体"/>
          <w:i w:val="0"/>
          <w:iCs w:val="0"/>
          <w:caps w:val="0"/>
          <w:color w:val="666666"/>
          <w:spacing w:val="0"/>
          <w:sz w:val="24"/>
          <w:szCs w:val="24"/>
          <w:u w:val="none"/>
          <w:shd w:val="clear" w:fill="FFFFFF"/>
        </w:rPr>
      </w:pPr>
    </w:p>
    <w:p w14:paraId="4E81F0CD">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645"/>
        <w:jc w:val="both"/>
        <w:rPr>
          <w:rFonts w:hint="eastAsia" w:ascii="宋体" w:hAnsi="宋体" w:eastAsia="宋体" w:cs="宋体"/>
          <w:i w:val="0"/>
          <w:iCs w:val="0"/>
          <w:caps w:val="0"/>
          <w:color w:val="666666"/>
          <w:spacing w:val="0"/>
          <w:sz w:val="24"/>
          <w:szCs w:val="24"/>
          <w:u w:val="none"/>
          <w:shd w:val="clear" w:fill="FFFFFF"/>
        </w:rPr>
      </w:pPr>
    </w:p>
    <w:p w14:paraId="311283C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三、收到和处理政府信息公开申请情况</w:t>
      </w:r>
    </w:p>
    <w:tbl>
      <w:tblPr>
        <w:tblStyle w:val="5"/>
        <w:tblW w:w="14319"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118"/>
        <w:gridCol w:w="1378"/>
        <w:gridCol w:w="4701"/>
        <w:gridCol w:w="1008"/>
        <w:gridCol w:w="1072"/>
        <w:gridCol w:w="1072"/>
        <w:gridCol w:w="1008"/>
        <w:gridCol w:w="1008"/>
        <w:gridCol w:w="1020"/>
        <w:gridCol w:w="934"/>
      </w:tblGrid>
      <w:tr w14:paraId="675C1024">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trPr>
        <w:tc>
          <w:tcPr>
            <w:tcW w:w="7197" w:type="dxa"/>
            <w:gridSpan w:val="3"/>
            <w:vMerge w:val="restart"/>
            <w:tcBorders>
              <w:top w:val="single" w:color="auto" w:sz="6" w:space="0"/>
              <w:left w:val="single" w:color="auto" w:sz="6" w:space="0"/>
              <w:bottom w:val="outset" w:color="auto" w:sz="6" w:space="0"/>
              <w:right w:val="single" w:color="auto" w:sz="6" w:space="0"/>
            </w:tcBorders>
            <w:shd w:val="clear" w:color="auto" w:fill="auto"/>
            <w:tcMar>
              <w:left w:w="105" w:type="dxa"/>
              <w:right w:w="105" w:type="dxa"/>
            </w:tcMar>
            <w:vAlign w:val="center"/>
          </w:tcPr>
          <w:p w14:paraId="746C361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（本列数据的勾稽关系为：第一项加第二项之和，等于第三项加第四项之和）</w:t>
            </w:r>
          </w:p>
        </w:tc>
        <w:tc>
          <w:tcPr>
            <w:tcW w:w="7122" w:type="dxa"/>
            <w:gridSpan w:val="7"/>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14:paraId="188EE8E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申请人情况</w:t>
            </w:r>
          </w:p>
        </w:tc>
      </w:tr>
      <w:tr w14:paraId="78B05997">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vMerge w:val="continue"/>
            <w:tcBorders>
              <w:top w:val="single" w:color="auto" w:sz="6" w:space="0"/>
              <w:left w:val="single" w:color="auto" w:sz="6" w:space="0"/>
              <w:bottom w:val="outset" w:color="auto" w:sz="6" w:space="0"/>
              <w:right w:val="single" w:color="auto" w:sz="6" w:space="0"/>
            </w:tcBorders>
            <w:shd w:val="clear" w:color="auto" w:fill="auto"/>
            <w:tcMar>
              <w:left w:w="105" w:type="dxa"/>
              <w:right w:w="105" w:type="dxa"/>
            </w:tcMar>
            <w:vAlign w:val="center"/>
          </w:tcPr>
          <w:p w14:paraId="1F9B40A9">
            <w:pPr>
              <w:jc w:val="both"/>
              <w:rPr>
                <w:rFonts w:hint="eastAsia" w:ascii="微软雅黑" w:hAnsi="微软雅黑" w:eastAsia="微软雅黑" w:cs="微软雅黑"/>
                <w:i w:val="0"/>
                <w:iCs w:val="0"/>
                <w:color w:val="666666"/>
                <w:sz w:val="24"/>
                <w:szCs w:val="24"/>
                <w:u w:val="none"/>
              </w:rPr>
            </w:pPr>
          </w:p>
        </w:tc>
        <w:tc>
          <w:tcPr>
            <w:tcW w:w="1008" w:type="dxa"/>
            <w:vMerge w:val="restart"/>
            <w:tcBorders>
              <w:top w:val="nil"/>
              <w:left w:val="nil"/>
              <w:bottom w:val="single" w:color="auto" w:sz="6" w:space="0"/>
              <w:right w:val="single" w:color="auto" w:sz="6" w:space="0"/>
            </w:tcBorders>
            <w:shd w:val="clear" w:color="auto" w:fill="auto"/>
            <w:tcMar>
              <w:left w:w="60" w:type="dxa"/>
              <w:right w:w="60" w:type="dxa"/>
            </w:tcMar>
            <w:vAlign w:val="center"/>
          </w:tcPr>
          <w:p w14:paraId="5EF051D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自然人</w:t>
            </w:r>
          </w:p>
        </w:tc>
        <w:tc>
          <w:tcPr>
            <w:tcW w:w="5180" w:type="dxa"/>
            <w:gridSpan w:val="5"/>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14:paraId="7F34FBE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法人或其他组织</w:t>
            </w:r>
          </w:p>
        </w:tc>
        <w:tc>
          <w:tcPr>
            <w:tcW w:w="934" w:type="dxa"/>
            <w:vMerge w:val="restart"/>
            <w:tcBorders>
              <w:top w:val="single" w:color="auto" w:sz="6" w:space="0"/>
              <w:left w:val="nil"/>
              <w:bottom w:val="outset" w:color="auto" w:sz="6" w:space="0"/>
              <w:right w:val="single" w:color="auto" w:sz="6" w:space="0"/>
            </w:tcBorders>
            <w:shd w:val="clear" w:color="auto" w:fill="auto"/>
            <w:tcMar>
              <w:left w:w="60" w:type="dxa"/>
              <w:right w:w="60" w:type="dxa"/>
            </w:tcMar>
            <w:vAlign w:val="center"/>
          </w:tcPr>
          <w:p w14:paraId="55876EC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总计</w:t>
            </w:r>
          </w:p>
        </w:tc>
      </w:tr>
      <w:tr w14:paraId="43308536">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vMerge w:val="continue"/>
            <w:tcBorders>
              <w:top w:val="single" w:color="auto" w:sz="6" w:space="0"/>
              <w:left w:val="single" w:color="auto" w:sz="6" w:space="0"/>
              <w:bottom w:val="outset" w:color="auto" w:sz="6" w:space="0"/>
              <w:right w:val="single" w:color="auto" w:sz="6" w:space="0"/>
            </w:tcBorders>
            <w:shd w:val="clear" w:color="auto" w:fill="auto"/>
            <w:tcMar>
              <w:left w:w="105" w:type="dxa"/>
              <w:right w:w="105" w:type="dxa"/>
            </w:tcMar>
            <w:vAlign w:val="center"/>
          </w:tcPr>
          <w:p w14:paraId="3F48EECD">
            <w:pPr>
              <w:jc w:val="both"/>
              <w:rPr>
                <w:rFonts w:hint="eastAsia" w:ascii="微软雅黑" w:hAnsi="微软雅黑" w:eastAsia="微软雅黑" w:cs="微软雅黑"/>
                <w:i w:val="0"/>
                <w:iCs w:val="0"/>
                <w:color w:val="666666"/>
                <w:sz w:val="24"/>
                <w:szCs w:val="24"/>
                <w:u w:val="none"/>
              </w:rPr>
            </w:pPr>
          </w:p>
        </w:tc>
        <w:tc>
          <w:tcPr>
            <w:tcW w:w="1008" w:type="dxa"/>
            <w:vMerge w:val="continue"/>
            <w:tcBorders>
              <w:top w:val="nil"/>
              <w:left w:val="nil"/>
              <w:bottom w:val="single" w:color="auto" w:sz="6" w:space="0"/>
              <w:right w:val="single" w:color="auto" w:sz="6" w:space="0"/>
            </w:tcBorders>
            <w:shd w:val="clear" w:color="auto" w:fill="auto"/>
            <w:tcMar>
              <w:left w:w="60" w:type="dxa"/>
              <w:right w:w="60" w:type="dxa"/>
            </w:tcMar>
            <w:vAlign w:val="center"/>
          </w:tcPr>
          <w:p w14:paraId="76A2DD43">
            <w:pPr>
              <w:jc w:val="both"/>
              <w:rPr>
                <w:rFonts w:hint="eastAsia" w:ascii="微软雅黑" w:hAnsi="微软雅黑" w:eastAsia="微软雅黑" w:cs="微软雅黑"/>
                <w:i w:val="0"/>
                <w:iCs w:val="0"/>
                <w:color w:val="666666"/>
                <w:sz w:val="24"/>
                <w:szCs w:val="24"/>
                <w:u w:val="none"/>
              </w:rPr>
            </w:pP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C96E56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商业</w:t>
            </w:r>
          </w:p>
          <w:p w14:paraId="79ACDB6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企业</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33CF6F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科研</w:t>
            </w:r>
          </w:p>
          <w:p w14:paraId="582AB7F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机构</w:t>
            </w:r>
          </w:p>
        </w:tc>
        <w:tc>
          <w:tcPr>
            <w:tcW w:w="1008" w:type="dxa"/>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14:paraId="3256DD4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社会公益组织</w:t>
            </w:r>
          </w:p>
        </w:tc>
        <w:tc>
          <w:tcPr>
            <w:tcW w:w="1008" w:type="dxa"/>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14:paraId="58B6628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法律服务机构</w:t>
            </w:r>
          </w:p>
        </w:tc>
        <w:tc>
          <w:tcPr>
            <w:tcW w:w="1020" w:type="dxa"/>
            <w:tcBorders>
              <w:top w:val="single" w:color="auto" w:sz="6" w:space="0"/>
              <w:left w:val="nil"/>
              <w:bottom w:val="single" w:color="auto" w:sz="6" w:space="0"/>
              <w:right w:val="single" w:color="auto" w:sz="6" w:space="0"/>
            </w:tcBorders>
            <w:shd w:val="clear" w:color="auto" w:fill="auto"/>
            <w:tcMar>
              <w:left w:w="60" w:type="dxa"/>
              <w:right w:w="60" w:type="dxa"/>
            </w:tcMar>
            <w:vAlign w:val="center"/>
          </w:tcPr>
          <w:p w14:paraId="3DFA137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其他</w:t>
            </w:r>
          </w:p>
        </w:tc>
        <w:tc>
          <w:tcPr>
            <w:tcW w:w="934" w:type="dxa"/>
            <w:vMerge w:val="continue"/>
            <w:tcBorders>
              <w:top w:val="single" w:color="auto" w:sz="6" w:space="0"/>
              <w:left w:val="nil"/>
              <w:bottom w:val="outset" w:color="auto" w:sz="6" w:space="0"/>
              <w:right w:val="single" w:color="auto" w:sz="6" w:space="0"/>
            </w:tcBorders>
            <w:shd w:val="clear" w:color="auto" w:fill="auto"/>
            <w:tcMar>
              <w:left w:w="60" w:type="dxa"/>
              <w:right w:w="60" w:type="dxa"/>
            </w:tcMar>
            <w:vAlign w:val="center"/>
          </w:tcPr>
          <w:p w14:paraId="20E3C735">
            <w:pPr>
              <w:jc w:val="both"/>
              <w:rPr>
                <w:rFonts w:hint="eastAsia" w:ascii="微软雅黑" w:hAnsi="微软雅黑" w:eastAsia="微软雅黑" w:cs="微软雅黑"/>
                <w:i w:val="0"/>
                <w:iCs w:val="0"/>
                <w:color w:val="666666"/>
                <w:sz w:val="24"/>
                <w:szCs w:val="24"/>
                <w:u w:val="none"/>
              </w:rPr>
            </w:pPr>
          </w:p>
        </w:tc>
      </w:tr>
      <w:tr w14:paraId="253289A9">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tcBorders>
              <w:top w:val="nil"/>
              <w:left w:val="single" w:color="auto" w:sz="6" w:space="0"/>
              <w:bottom w:val="single" w:color="auto" w:sz="6" w:space="0"/>
              <w:right w:val="single" w:color="auto" w:sz="6" w:space="0"/>
            </w:tcBorders>
            <w:shd w:val="clear" w:color="auto" w:fill="auto"/>
            <w:tcMar>
              <w:left w:w="60" w:type="dxa"/>
              <w:right w:w="60" w:type="dxa"/>
            </w:tcMar>
            <w:vAlign w:val="center"/>
          </w:tcPr>
          <w:p w14:paraId="46A4CF1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一、本年新收政府信息公开申请数量</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8AB899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4B38D4F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7E44488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FE0AD8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2948FB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5EB1848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133FE50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0</w:t>
            </w:r>
          </w:p>
        </w:tc>
      </w:tr>
      <w:tr w14:paraId="77CA0483">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tcBorders>
              <w:top w:val="nil"/>
              <w:left w:val="single" w:color="auto" w:sz="6" w:space="0"/>
              <w:bottom w:val="single" w:color="auto" w:sz="6" w:space="0"/>
              <w:right w:val="single" w:color="auto" w:sz="6" w:space="0"/>
            </w:tcBorders>
            <w:shd w:val="clear" w:color="auto" w:fill="auto"/>
            <w:tcMar>
              <w:left w:w="60" w:type="dxa"/>
              <w:right w:w="60" w:type="dxa"/>
            </w:tcMar>
            <w:vAlign w:val="center"/>
          </w:tcPr>
          <w:p w14:paraId="4BB97E9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二、上年结转政府信息公开申请数量</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EB26C9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0D754B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3A3EC64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B49327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78D1DA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5176D67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3765DCE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14:paraId="1061F705">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restart"/>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40EF87F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三、本年度办理结果</w:t>
            </w:r>
          </w:p>
        </w:tc>
        <w:tc>
          <w:tcPr>
            <w:tcW w:w="6079" w:type="dxa"/>
            <w:gridSpan w:val="2"/>
            <w:tcBorders>
              <w:top w:val="nil"/>
              <w:left w:val="nil"/>
              <w:bottom w:val="single" w:color="auto" w:sz="6" w:space="0"/>
              <w:right w:val="single" w:color="auto" w:sz="6" w:space="0"/>
            </w:tcBorders>
            <w:shd w:val="clear" w:color="auto" w:fill="auto"/>
            <w:tcMar>
              <w:left w:w="60" w:type="dxa"/>
              <w:right w:w="60" w:type="dxa"/>
            </w:tcMar>
            <w:vAlign w:val="center"/>
          </w:tcPr>
          <w:p w14:paraId="613FEDA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（一）予以公开</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2447C3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66E46A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3D6A355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1F4C9A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F4205B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6FCEBA0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single" w:color="auto" w:sz="6" w:space="0"/>
              <w:left w:val="nil"/>
              <w:bottom w:val="single" w:color="auto" w:sz="6" w:space="0"/>
              <w:right w:val="single" w:color="auto" w:sz="6" w:space="0"/>
            </w:tcBorders>
            <w:shd w:val="clear" w:color="auto" w:fill="auto"/>
            <w:tcMar>
              <w:left w:w="60" w:type="dxa"/>
              <w:right w:w="60" w:type="dxa"/>
            </w:tcMar>
            <w:vAlign w:val="top"/>
          </w:tcPr>
          <w:p w14:paraId="3C6D8DB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14:paraId="6D2A995D">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76BB76DC">
            <w:pPr>
              <w:jc w:val="both"/>
              <w:rPr>
                <w:rFonts w:hint="eastAsia" w:ascii="微软雅黑" w:hAnsi="微软雅黑" w:eastAsia="微软雅黑" w:cs="微软雅黑"/>
                <w:i w:val="0"/>
                <w:iCs w:val="0"/>
                <w:color w:val="666666"/>
                <w:sz w:val="24"/>
                <w:szCs w:val="24"/>
                <w:u w:val="none"/>
              </w:rPr>
            </w:pPr>
          </w:p>
        </w:tc>
        <w:tc>
          <w:tcPr>
            <w:tcW w:w="6079" w:type="dxa"/>
            <w:gridSpan w:val="2"/>
            <w:tcBorders>
              <w:top w:val="nil"/>
              <w:left w:val="nil"/>
              <w:bottom w:val="single" w:color="auto" w:sz="6" w:space="0"/>
              <w:right w:val="single" w:color="auto" w:sz="6" w:space="0"/>
            </w:tcBorders>
            <w:shd w:val="clear" w:color="auto" w:fill="auto"/>
            <w:tcMar>
              <w:left w:w="60" w:type="dxa"/>
              <w:right w:w="60" w:type="dxa"/>
            </w:tcMar>
            <w:vAlign w:val="center"/>
          </w:tcPr>
          <w:p w14:paraId="468D504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（二）部分公开（区分处理的，只计这一情形，不计其他情形）</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E17098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F65380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4922409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0FDEC9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98132F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01C2A77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4C02F9B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14:paraId="160C0117">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3AB1C5B">
            <w:pPr>
              <w:jc w:val="both"/>
              <w:rPr>
                <w:rFonts w:hint="eastAsia" w:ascii="微软雅黑" w:hAnsi="微软雅黑" w:eastAsia="微软雅黑" w:cs="微软雅黑"/>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14:paraId="4D9F3F7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（三）不予公开</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1808876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1.属于国家秘密</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E6591F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63FE57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84EFBA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C8B977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FBF25B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1B4AADC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single" w:color="auto" w:sz="6" w:space="0"/>
              <w:left w:val="nil"/>
              <w:bottom w:val="single" w:color="auto" w:sz="6" w:space="0"/>
              <w:right w:val="single" w:color="auto" w:sz="6" w:space="0"/>
            </w:tcBorders>
            <w:shd w:val="clear" w:color="auto" w:fill="auto"/>
            <w:tcMar>
              <w:left w:w="60" w:type="dxa"/>
              <w:right w:w="60" w:type="dxa"/>
            </w:tcMar>
            <w:vAlign w:val="top"/>
          </w:tcPr>
          <w:p w14:paraId="15E0729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0</w:t>
            </w:r>
          </w:p>
        </w:tc>
      </w:tr>
      <w:tr w14:paraId="0E425B6A">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3F794DE">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2EB3BD83">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6C5D7FE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2.其他法律行政法规禁止公开</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21DE94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D2DDED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342888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EE9031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3B3083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28AA05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8D3C04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14:paraId="0BE47135">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2ED017D1">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6CEC3D56">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3379240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3.危及“三安全一稳定”</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1A3C06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17634E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7B854A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DF55A4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B44B74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441BFEE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DA6C68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14:paraId="7B407B38">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7E2DC218">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37028FF8">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6C1AF85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4.保护第三方合法权益</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C494E6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F95FF2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777F227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0C8F79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FDABE4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65E8D96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04C0BC0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14:paraId="74C91C2C">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2E7B5EEE">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3E784532">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3E712D6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5.属于三类内部事务信息</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28F3D0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3ED377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227B6C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AC6977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A62F33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5889A09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B2399F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14:paraId="4EB83113">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32C4402">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5BA90C9B">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68C82A4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6.属于四类过程性信息</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08B844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7C0319B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4DBB7EC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0B0BD8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4F1065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6323AEC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2A540F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14:paraId="4364144E">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47D7B4DD">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67B4B787">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69C341E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7.属于行政执法案卷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63A9F9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7CFBC0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4AD3B70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3F825A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325722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0C4B94A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21F4947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14:paraId="445B8BC9">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1D8261B6">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14838CC8">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52663EF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8.属于行政查询事项</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CF82D2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0302C7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2F01DC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ED9F16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227511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1CA361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 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2E45FCE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0 </w:t>
            </w:r>
          </w:p>
        </w:tc>
      </w:tr>
      <w:tr w14:paraId="09EA055D">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24D02ACF">
            <w:pPr>
              <w:jc w:val="both"/>
              <w:rPr>
                <w:rFonts w:hint="eastAsia" w:ascii="微软雅黑" w:hAnsi="微软雅黑" w:eastAsia="微软雅黑" w:cs="微软雅黑"/>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14:paraId="7E06D7C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（四）无法提供</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403D1FF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1.本机关不掌握相关政府信息</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98AFC8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30236E0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DF054E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5CE3E7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E0F98D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5BA74E9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A09C33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0</w:t>
            </w:r>
          </w:p>
        </w:tc>
      </w:tr>
      <w:tr w14:paraId="2403772F">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1364DCB9">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63BA1CCB">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3D3AE74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2.没有现成信息需要另行制作</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B352D7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8BE5F9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F2B2BC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629CD2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35A43D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27F124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0C79ACE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14:paraId="7FF71FBD">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62633EE5">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25FC27E4">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4BDFF99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3.补正后申请内容仍不明确</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84FD5D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6C8031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B468EE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357748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615FD3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972894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1A862E2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14:paraId="0175C9F8">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1F440563">
            <w:pPr>
              <w:jc w:val="both"/>
              <w:rPr>
                <w:rFonts w:hint="eastAsia" w:ascii="微软雅黑" w:hAnsi="微软雅黑" w:eastAsia="微软雅黑" w:cs="微软雅黑"/>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14:paraId="5D75381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（五）不予处理</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436684A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1.信访举报投诉类申请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6A2B2C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2DF818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428490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67D23B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E49000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54C8D0D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57B9702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14:paraId="795BD786">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5A26238">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5FBF79B4">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3A8EAEC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2.重复申请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74ABF5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303CF7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57B6C9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7CF1646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4BD262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1D0AE04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75EA3DC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14:paraId="36D31C72">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3F50604">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4F477DE5">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3ED19C9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3.要求提供公开出版物</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F81C41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F3596D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4CC5FD6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2FBB4D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693740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7D185BE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4BB14B5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14:paraId="0C6A1D55">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51719C08">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0D1C89F5">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top"/>
          </w:tcPr>
          <w:p w14:paraId="140318E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4.无正当理由大量反复申请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BEA0E4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6AB4F0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54FDD1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C8E554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DA93A8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10AB230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44E31DB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14:paraId="40815B9B">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1C5D3B33">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52D16A9B">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outset" w:color="auto" w:sz="6" w:space="0"/>
              <w:right w:val="single" w:color="auto" w:sz="6" w:space="0"/>
            </w:tcBorders>
            <w:shd w:val="clear" w:color="auto" w:fill="auto"/>
            <w:tcMar>
              <w:left w:w="60" w:type="dxa"/>
              <w:right w:w="60" w:type="dxa"/>
            </w:tcMar>
            <w:vAlign w:val="center"/>
          </w:tcPr>
          <w:p w14:paraId="070EE00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5.要求行政机关确认或重新出具已获取信息</w:t>
            </w:r>
          </w:p>
        </w:tc>
        <w:tc>
          <w:tcPr>
            <w:tcW w:w="1008" w:type="dxa"/>
            <w:tcBorders>
              <w:top w:val="nil"/>
              <w:left w:val="nil"/>
              <w:bottom w:val="outset" w:color="auto" w:sz="6" w:space="0"/>
              <w:right w:val="single" w:color="auto" w:sz="6" w:space="0"/>
            </w:tcBorders>
            <w:shd w:val="clear" w:color="auto" w:fill="auto"/>
            <w:tcMar>
              <w:left w:w="60" w:type="dxa"/>
              <w:right w:w="60" w:type="dxa"/>
            </w:tcMar>
            <w:vAlign w:val="center"/>
          </w:tcPr>
          <w:p w14:paraId="5C4801D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outset" w:color="auto" w:sz="6" w:space="0"/>
              <w:right w:val="single" w:color="auto" w:sz="6" w:space="0"/>
            </w:tcBorders>
            <w:shd w:val="clear" w:color="auto" w:fill="auto"/>
            <w:tcMar>
              <w:left w:w="60" w:type="dxa"/>
              <w:right w:w="60" w:type="dxa"/>
            </w:tcMar>
            <w:vAlign w:val="center"/>
          </w:tcPr>
          <w:p w14:paraId="583538C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outset" w:color="auto" w:sz="6" w:space="0"/>
              <w:right w:val="single" w:color="auto" w:sz="6" w:space="0"/>
            </w:tcBorders>
            <w:shd w:val="clear" w:color="auto" w:fill="auto"/>
            <w:tcMar>
              <w:left w:w="60" w:type="dxa"/>
              <w:right w:w="60" w:type="dxa"/>
            </w:tcMar>
            <w:vAlign w:val="center"/>
          </w:tcPr>
          <w:p w14:paraId="1F083EF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outset" w:color="auto" w:sz="6" w:space="0"/>
              <w:right w:val="single" w:color="auto" w:sz="6" w:space="0"/>
            </w:tcBorders>
            <w:shd w:val="clear" w:color="auto" w:fill="auto"/>
            <w:tcMar>
              <w:left w:w="60" w:type="dxa"/>
              <w:right w:w="60" w:type="dxa"/>
            </w:tcMar>
            <w:vAlign w:val="center"/>
          </w:tcPr>
          <w:p w14:paraId="6E9C254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outset" w:color="auto" w:sz="6" w:space="0"/>
              <w:right w:val="single" w:color="auto" w:sz="6" w:space="0"/>
            </w:tcBorders>
            <w:shd w:val="clear" w:color="auto" w:fill="auto"/>
            <w:tcMar>
              <w:left w:w="60" w:type="dxa"/>
              <w:right w:w="60" w:type="dxa"/>
            </w:tcMar>
            <w:vAlign w:val="center"/>
          </w:tcPr>
          <w:p w14:paraId="26EC713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outset" w:color="auto" w:sz="6" w:space="0"/>
              <w:right w:val="single" w:color="auto" w:sz="6" w:space="0"/>
            </w:tcBorders>
            <w:shd w:val="clear" w:color="auto" w:fill="auto"/>
            <w:tcMar>
              <w:left w:w="60" w:type="dxa"/>
              <w:right w:w="60" w:type="dxa"/>
            </w:tcMar>
            <w:vAlign w:val="center"/>
          </w:tcPr>
          <w:p w14:paraId="5555AF4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outset" w:color="auto" w:sz="6" w:space="0"/>
              <w:right w:val="single" w:color="auto" w:sz="6" w:space="0"/>
            </w:tcBorders>
            <w:shd w:val="clear" w:color="auto" w:fill="auto"/>
            <w:tcMar>
              <w:left w:w="60" w:type="dxa"/>
              <w:right w:w="60" w:type="dxa"/>
            </w:tcMar>
            <w:vAlign w:val="top"/>
          </w:tcPr>
          <w:p w14:paraId="04B7FB5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14:paraId="4302BD50">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7C6D37C7">
            <w:pPr>
              <w:jc w:val="both"/>
              <w:rPr>
                <w:rFonts w:hint="eastAsia" w:ascii="微软雅黑" w:hAnsi="微软雅黑" w:eastAsia="微软雅黑" w:cs="微软雅黑"/>
                <w:i w:val="0"/>
                <w:iCs w:val="0"/>
                <w:color w:val="666666"/>
                <w:sz w:val="24"/>
                <w:szCs w:val="24"/>
                <w:u w:val="none"/>
              </w:rPr>
            </w:pPr>
          </w:p>
        </w:tc>
        <w:tc>
          <w:tcPr>
            <w:tcW w:w="1378" w:type="dxa"/>
            <w:vMerge w:val="restart"/>
            <w:tcBorders>
              <w:top w:val="nil"/>
              <w:left w:val="nil"/>
              <w:bottom w:val="outset" w:color="auto" w:sz="6" w:space="0"/>
              <w:right w:val="single" w:color="auto" w:sz="6" w:space="0"/>
            </w:tcBorders>
            <w:shd w:val="clear" w:color="auto" w:fill="auto"/>
            <w:tcMar>
              <w:left w:w="60" w:type="dxa"/>
              <w:right w:w="60" w:type="dxa"/>
            </w:tcMar>
            <w:vAlign w:val="center"/>
          </w:tcPr>
          <w:p w14:paraId="51640AC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（六）其他处理</w:t>
            </w:r>
          </w:p>
        </w:tc>
        <w:tc>
          <w:tcPr>
            <w:tcW w:w="4701" w:type="dxa"/>
            <w:tcBorders>
              <w:top w:val="nil"/>
              <w:left w:val="nil"/>
              <w:bottom w:val="single" w:color="auto" w:sz="6" w:space="0"/>
              <w:right w:val="single" w:color="auto" w:sz="6" w:space="0"/>
            </w:tcBorders>
            <w:shd w:val="clear" w:color="auto" w:fill="auto"/>
            <w:tcMar>
              <w:left w:w="60" w:type="dxa"/>
              <w:right w:w="60" w:type="dxa"/>
            </w:tcMar>
            <w:vAlign w:val="center"/>
          </w:tcPr>
          <w:p w14:paraId="56813C0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1.申请人无正当理由逾期不补正、行政机关不再处理其政府信息公开申请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314D15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87307B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6E03258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A0ED27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0C72F1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3D1411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11CA7F1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14:paraId="2CFF13B8">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106"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0C2C3586">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4E98923E">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center"/>
          </w:tcPr>
          <w:p w14:paraId="68CCD5B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2.申请人逾期未按收费通知要求缴纳费用、行政机关不再处理其政府信息公开申请</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CC1874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03028D3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D07464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22CF26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6060F6F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4630867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4E2BADC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p>
          <w:p w14:paraId="621C315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14:paraId="7146EF8C">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26591B13">
            <w:pPr>
              <w:jc w:val="both"/>
              <w:rPr>
                <w:rFonts w:hint="eastAsia" w:ascii="微软雅黑" w:hAnsi="微软雅黑" w:eastAsia="微软雅黑" w:cs="微软雅黑"/>
                <w:i w:val="0"/>
                <w:iCs w:val="0"/>
                <w:color w:val="666666"/>
                <w:sz w:val="24"/>
                <w:szCs w:val="24"/>
                <w:u w:val="none"/>
              </w:rPr>
            </w:pPr>
          </w:p>
        </w:tc>
        <w:tc>
          <w:tcPr>
            <w:tcW w:w="1378" w:type="dxa"/>
            <w:vMerge w:val="continue"/>
            <w:tcBorders>
              <w:top w:val="nil"/>
              <w:left w:val="nil"/>
              <w:bottom w:val="outset" w:color="auto" w:sz="6" w:space="0"/>
              <w:right w:val="single" w:color="auto" w:sz="6" w:space="0"/>
            </w:tcBorders>
            <w:shd w:val="clear" w:color="auto" w:fill="auto"/>
            <w:tcMar>
              <w:left w:w="60" w:type="dxa"/>
              <w:right w:w="60" w:type="dxa"/>
            </w:tcMar>
            <w:vAlign w:val="center"/>
          </w:tcPr>
          <w:p w14:paraId="01CFD1BF">
            <w:pPr>
              <w:jc w:val="both"/>
              <w:rPr>
                <w:rFonts w:hint="eastAsia" w:ascii="微软雅黑" w:hAnsi="微软雅黑" w:eastAsia="微软雅黑" w:cs="微软雅黑"/>
                <w:i w:val="0"/>
                <w:iCs w:val="0"/>
                <w:color w:val="666666"/>
                <w:sz w:val="24"/>
                <w:szCs w:val="24"/>
                <w:u w:val="none"/>
              </w:rPr>
            </w:pPr>
          </w:p>
        </w:tc>
        <w:tc>
          <w:tcPr>
            <w:tcW w:w="4701" w:type="dxa"/>
            <w:tcBorders>
              <w:top w:val="nil"/>
              <w:left w:val="nil"/>
              <w:bottom w:val="single" w:color="auto" w:sz="6" w:space="0"/>
              <w:right w:val="single" w:color="auto" w:sz="6" w:space="0"/>
            </w:tcBorders>
            <w:shd w:val="clear" w:color="auto" w:fill="auto"/>
            <w:tcMar>
              <w:left w:w="60" w:type="dxa"/>
              <w:right w:w="60" w:type="dxa"/>
            </w:tcMar>
            <w:vAlign w:val="center"/>
          </w:tcPr>
          <w:p w14:paraId="105FFEB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3.其他</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E4200D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84F002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2B0663B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1E5993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40EAC8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4FA910E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5AB4823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r w14:paraId="5FE12F04">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1118" w:type="dxa"/>
            <w:vMerge w:val="continue"/>
            <w:tcBorders>
              <w:top w:val="nil"/>
              <w:left w:val="single" w:color="auto" w:sz="6" w:space="0"/>
              <w:bottom w:val="outset" w:color="auto" w:sz="6" w:space="0"/>
              <w:right w:val="single" w:color="auto" w:sz="6" w:space="0"/>
            </w:tcBorders>
            <w:shd w:val="clear" w:color="auto" w:fill="auto"/>
            <w:tcMar>
              <w:left w:w="60" w:type="dxa"/>
              <w:right w:w="60" w:type="dxa"/>
            </w:tcMar>
            <w:vAlign w:val="center"/>
          </w:tcPr>
          <w:p w14:paraId="3CD5E65A">
            <w:pPr>
              <w:jc w:val="both"/>
              <w:rPr>
                <w:rFonts w:hint="eastAsia" w:ascii="微软雅黑" w:hAnsi="微软雅黑" w:eastAsia="微软雅黑" w:cs="微软雅黑"/>
                <w:i w:val="0"/>
                <w:iCs w:val="0"/>
                <w:color w:val="666666"/>
                <w:sz w:val="24"/>
                <w:szCs w:val="24"/>
                <w:u w:val="none"/>
              </w:rPr>
            </w:pPr>
          </w:p>
        </w:tc>
        <w:tc>
          <w:tcPr>
            <w:tcW w:w="6079" w:type="dxa"/>
            <w:gridSpan w:val="2"/>
            <w:tcBorders>
              <w:top w:val="nil"/>
              <w:left w:val="nil"/>
              <w:bottom w:val="single" w:color="auto" w:sz="6" w:space="0"/>
              <w:right w:val="single" w:color="auto" w:sz="6" w:space="0"/>
            </w:tcBorders>
            <w:shd w:val="clear" w:color="auto" w:fill="auto"/>
            <w:tcMar>
              <w:left w:w="60" w:type="dxa"/>
              <w:right w:w="60" w:type="dxa"/>
            </w:tcMar>
            <w:vAlign w:val="center"/>
          </w:tcPr>
          <w:p w14:paraId="45B17FD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（七）总计</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24AC839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08EDAA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52E52AB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39399CC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029C665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39C33DB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553FCEB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lang w:eastAsia="zh-CN"/>
              </w:rPr>
            </w:pPr>
            <w:r>
              <w:rPr>
                <w:rStyle w:val="7"/>
                <w:rFonts w:hint="eastAsia" w:ascii="仿宋" w:hAnsi="仿宋" w:eastAsia="仿宋" w:cs="仿宋"/>
                <w:i w:val="0"/>
                <w:iCs w:val="0"/>
                <w:color w:val="666666"/>
                <w:sz w:val="24"/>
                <w:szCs w:val="24"/>
                <w:u w:val="none"/>
                <w:lang w:val="en-US" w:eastAsia="zh-CN"/>
              </w:rPr>
              <w:t>0</w:t>
            </w:r>
          </w:p>
        </w:tc>
      </w:tr>
      <w:tr w14:paraId="1EEB6A6A">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90" w:hRule="atLeast"/>
        </w:trPr>
        <w:tc>
          <w:tcPr>
            <w:tcW w:w="7197" w:type="dxa"/>
            <w:gridSpan w:val="3"/>
            <w:tcBorders>
              <w:top w:val="nil"/>
              <w:left w:val="single" w:color="auto" w:sz="6" w:space="0"/>
              <w:bottom w:val="single" w:color="auto" w:sz="6" w:space="0"/>
              <w:right w:val="single" w:color="auto" w:sz="6" w:space="0"/>
            </w:tcBorders>
            <w:shd w:val="clear" w:color="auto" w:fill="auto"/>
            <w:tcMar>
              <w:left w:w="60" w:type="dxa"/>
              <w:right w:w="60" w:type="dxa"/>
            </w:tcMar>
            <w:vAlign w:val="center"/>
          </w:tcPr>
          <w:p w14:paraId="078DEC0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四、结转下年度继续办理</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562F0E6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A14BCE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72" w:type="dxa"/>
            <w:tcBorders>
              <w:top w:val="nil"/>
              <w:left w:val="nil"/>
              <w:bottom w:val="single" w:color="auto" w:sz="6" w:space="0"/>
              <w:right w:val="single" w:color="auto" w:sz="6" w:space="0"/>
            </w:tcBorders>
            <w:shd w:val="clear" w:color="auto" w:fill="auto"/>
            <w:tcMar>
              <w:left w:w="60" w:type="dxa"/>
              <w:right w:w="60" w:type="dxa"/>
            </w:tcMar>
            <w:vAlign w:val="center"/>
          </w:tcPr>
          <w:p w14:paraId="1B890FA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1D331AC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08" w:type="dxa"/>
            <w:tcBorders>
              <w:top w:val="nil"/>
              <w:left w:val="nil"/>
              <w:bottom w:val="single" w:color="auto" w:sz="6" w:space="0"/>
              <w:right w:val="single" w:color="auto" w:sz="6" w:space="0"/>
            </w:tcBorders>
            <w:shd w:val="clear" w:color="auto" w:fill="auto"/>
            <w:tcMar>
              <w:left w:w="60" w:type="dxa"/>
              <w:right w:w="60" w:type="dxa"/>
            </w:tcMar>
            <w:vAlign w:val="center"/>
          </w:tcPr>
          <w:p w14:paraId="4CEED80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1020" w:type="dxa"/>
            <w:tcBorders>
              <w:top w:val="nil"/>
              <w:left w:val="nil"/>
              <w:bottom w:val="single" w:color="auto" w:sz="6" w:space="0"/>
              <w:right w:val="single" w:color="auto" w:sz="6" w:space="0"/>
            </w:tcBorders>
            <w:shd w:val="clear" w:color="auto" w:fill="auto"/>
            <w:tcMar>
              <w:left w:w="60" w:type="dxa"/>
              <w:right w:w="60" w:type="dxa"/>
            </w:tcMar>
            <w:vAlign w:val="center"/>
          </w:tcPr>
          <w:p w14:paraId="168ECAE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c>
          <w:tcPr>
            <w:tcW w:w="934" w:type="dxa"/>
            <w:tcBorders>
              <w:top w:val="nil"/>
              <w:left w:val="nil"/>
              <w:bottom w:val="single" w:color="auto" w:sz="6" w:space="0"/>
              <w:right w:val="single" w:color="auto" w:sz="6" w:space="0"/>
            </w:tcBorders>
            <w:shd w:val="clear" w:color="auto" w:fill="auto"/>
            <w:tcMar>
              <w:left w:w="60" w:type="dxa"/>
              <w:right w:w="60" w:type="dxa"/>
            </w:tcMar>
            <w:vAlign w:val="top"/>
          </w:tcPr>
          <w:p w14:paraId="3B20DE6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Style w:val="7"/>
                <w:rFonts w:hint="eastAsia" w:ascii="仿宋" w:hAnsi="仿宋" w:eastAsia="仿宋" w:cs="仿宋"/>
                <w:i w:val="0"/>
                <w:iCs w:val="0"/>
                <w:color w:val="666666"/>
                <w:sz w:val="24"/>
                <w:szCs w:val="24"/>
                <w:u w:val="none"/>
              </w:rPr>
              <w:t>0</w:t>
            </w:r>
          </w:p>
        </w:tc>
      </w:tr>
    </w:tbl>
    <w:p w14:paraId="2EC1D560">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right="0"/>
        <w:jc w:val="both"/>
        <w:rPr>
          <w:rFonts w:hint="eastAsia" w:ascii="宋体" w:hAnsi="宋体" w:eastAsia="宋体" w:cs="宋体"/>
          <w:i w:val="0"/>
          <w:iCs w:val="0"/>
          <w:caps w:val="0"/>
          <w:color w:val="666666"/>
          <w:spacing w:val="0"/>
          <w:sz w:val="24"/>
          <w:szCs w:val="24"/>
          <w:u w:val="none"/>
          <w:shd w:val="clear" w:fill="FFFFFF"/>
          <w:lang w:eastAsia="zh-CN"/>
        </w:rPr>
      </w:pPr>
    </w:p>
    <w:p w14:paraId="6F3AE88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四、政府信息公开行政复议、行政诉讼情况</w:t>
      </w:r>
    </w:p>
    <w:p w14:paraId="535B514F">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50" w:lineRule="atLeast"/>
        <w:ind w:left="0" w:right="0" w:firstLine="645"/>
        <w:jc w:val="both"/>
        <w:rPr>
          <w:rFonts w:hint="eastAsia" w:ascii="宋体" w:hAnsi="宋体" w:eastAsia="宋体" w:cs="宋体"/>
          <w:i w:val="0"/>
          <w:iCs w:val="0"/>
          <w:caps w:val="0"/>
          <w:color w:val="666666"/>
          <w:spacing w:val="0"/>
          <w:sz w:val="24"/>
          <w:szCs w:val="24"/>
          <w:u w:val="none"/>
          <w:shd w:val="clear" w:fill="FFFFFF"/>
        </w:rPr>
      </w:pPr>
    </w:p>
    <w:tbl>
      <w:tblPr>
        <w:tblStyle w:val="5"/>
        <w:tblW w:w="14039" w:type="dxa"/>
        <w:tblInd w:w="0" w:type="dxa"/>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922"/>
        <w:gridCol w:w="922"/>
        <w:gridCol w:w="922"/>
        <w:gridCol w:w="922"/>
        <w:gridCol w:w="939"/>
        <w:gridCol w:w="922"/>
        <w:gridCol w:w="923"/>
        <w:gridCol w:w="923"/>
        <w:gridCol w:w="923"/>
        <w:gridCol w:w="938"/>
        <w:gridCol w:w="923"/>
        <w:gridCol w:w="923"/>
        <w:gridCol w:w="923"/>
        <w:gridCol w:w="923"/>
        <w:gridCol w:w="1091"/>
      </w:tblGrid>
      <w:tr w14:paraId="52BCEA49">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shd w:val="clear" w:color="auto" w:fill="FFFFFF"/>
          <w:tblCellMar>
            <w:top w:w="0" w:type="dxa"/>
            <w:left w:w="0" w:type="dxa"/>
            <w:bottom w:w="0" w:type="dxa"/>
            <w:right w:w="0" w:type="dxa"/>
          </w:tblCellMar>
        </w:tblPrEx>
        <w:trPr>
          <w:trHeight w:val="476" w:hRule="atLeast"/>
        </w:trPr>
        <w:tc>
          <w:tcPr>
            <w:tcW w:w="4627" w:type="dxa"/>
            <w:gridSpan w:val="5"/>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14:paraId="7477C18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行政复议</w:t>
            </w:r>
          </w:p>
        </w:tc>
        <w:tc>
          <w:tcPr>
            <w:tcW w:w="9412" w:type="dxa"/>
            <w:gridSpan w:val="10"/>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6609CB8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行政诉讼</w:t>
            </w:r>
          </w:p>
        </w:tc>
      </w:tr>
      <w:tr w14:paraId="68CB42B6">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476" w:hRule="atLeast"/>
        </w:trPr>
        <w:tc>
          <w:tcPr>
            <w:tcW w:w="922" w:type="dxa"/>
            <w:vMerge w:val="restart"/>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14:paraId="31D4D85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结果维持</w:t>
            </w:r>
          </w:p>
        </w:tc>
        <w:tc>
          <w:tcPr>
            <w:tcW w:w="922" w:type="dxa"/>
            <w:vMerge w:val="restart"/>
            <w:tcBorders>
              <w:top w:val="nil"/>
              <w:left w:val="nil"/>
              <w:bottom w:val="single" w:color="auto" w:sz="6" w:space="0"/>
              <w:right w:val="single" w:color="auto" w:sz="6" w:space="0"/>
            </w:tcBorders>
            <w:shd w:val="clear" w:color="auto" w:fill="FFFFFF"/>
            <w:tcMar>
              <w:left w:w="105" w:type="dxa"/>
              <w:right w:w="105" w:type="dxa"/>
            </w:tcMar>
            <w:vAlign w:val="center"/>
          </w:tcPr>
          <w:p w14:paraId="49F648E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纠正</w:t>
            </w:r>
          </w:p>
        </w:tc>
        <w:tc>
          <w:tcPr>
            <w:tcW w:w="922"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1C26642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其他</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结果</w:t>
            </w:r>
          </w:p>
        </w:tc>
        <w:tc>
          <w:tcPr>
            <w:tcW w:w="922"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4FE46C2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尚未</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审结</w:t>
            </w:r>
          </w:p>
        </w:tc>
        <w:tc>
          <w:tcPr>
            <w:tcW w:w="939"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6325639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总计</w:t>
            </w:r>
          </w:p>
        </w:tc>
        <w:tc>
          <w:tcPr>
            <w:tcW w:w="4629" w:type="dxa"/>
            <w:gridSpan w:val="5"/>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13C7870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未经复议直接起诉</w:t>
            </w:r>
          </w:p>
        </w:tc>
        <w:tc>
          <w:tcPr>
            <w:tcW w:w="4783" w:type="dxa"/>
            <w:gridSpan w:val="5"/>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52A50E8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复议后起诉</w:t>
            </w:r>
          </w:p>
        </w:tc>
      </w:tr>
      <w:tr w14:paraId="65CFBB3C">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1729" w:hRule="atLeast"/>
        </w:trPr>
        <w:tc>
          <w:tcPr>
            <w:tcW w:w="922" w:type="dxa"/>
            <w:vMerge w:val="continue"/>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14:paraId="1A3BA41D">
            <w:pPr>
              <w:jc w:val="both"/>
              <w:rPr>
                <w:rFonts w:hint="eastAsia" w:ascii="微软雅黑" w:hAnsi="微软雅黑" w:eastAsia="微软雅黑" w:cs="微软雅黑"/>
                <w:i w:val="0"/>
                <w:iCs w:val="0"/>
                <w:caps w:val="0"/>
                <w:color w:val="666666"/>
                <w:spacing w:val="0"/>
                <w:sz w:val="24"/>
                <w:szCs w:val="24"/>
                <w:u w:val="none"/>
              </w:rPr>
            </w:pPr>
          </w:p>
        </w:tc>
        <w:tc>
          <w:tcPr>
            <w:tcW w:w="922" w:type="dxa"/>
            <w:vMerge w:val="continue"/>
            <w:tcBorders>
              <w:top w:val="nil"/>
              <w:left w:val="nil"/>
              <w:bottom w:val="single" w:color="auto" w:sz="6" w:space="0"/>
              <w:right w:val="single" w:color="auto" w:sz="6" w:space="0"/>
            </w:tcBorders>
            <w:shd w:val="clear" w:color="auto" w:fill="FFFFFF"/>
            <w:tcMar>
              <w:left w:w="105" w:type="dxa"/>
              <w:right w:w="105" w:type="dxa"/>
            </w:tcMar>
            <w:vAlign w:val="center"/>
          </w:tcPr>
          <w:p w14:paraId="7DBF2B8E">
            <w:pPr>
              <w:jc w:val="both"/>
              <w:rPr>
                <w:rFonts w:hint="eastAsia" w:ascii="微软雅黑" w:hAnsi="微软雅黑" w:eastAsia="微软雅黑" w:cs="微软雅黑"/>
                <w:i w:val="0"/>
                <w:iCs w:val="0"/>
                <w:caps w:val="0"/>
                <w:color w:val="666666"/>
                <w:spacing w:val="0"/>
                <w:sz w:val="24"/>
                <w:szCs w:val="24"/>
                <w:u w:val="none"/>
              </w:rPr>
            </w:pPr>
          </w:p>
        </w:tc>
        <w:tc>
          <w:tcPr>
            <w:tcW w:w="922"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58C1DC77">
            <w:pPr>
              <w:jc w:val="both"/>
              <w:rPr>
                <w:rFonts w:hint="eastAsia" w:ascii="微软雅黑" w:hAnsi="微软雅黑" w:eastAsia="微软雅黑" w:cs="微软雅黑"/>
                <w:i w:val="0"/>
                <w:iCs w:val="0"/>
                <w:caps w:val="0"/>
                <w:color w:val="666666"/>
                <w:spacing w:val="0"/>
                <w:sz w:val="24"/>
                <w:szCs w:val="24"/>
                <w:u w:val="none"/>
              </w:rPr>
            </w:pPr>
          </w:p>
        </w:tc>
        <w:tc>
          <w:tcPr>
            <w:tcW w:w="922"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505D35B0">
            <w:pPr>
              <w:jc w:val="both"/>
              <w:rPr>
                <w:rFonts w:hint="eastAsia" w:ascii="微软雅黑" w:hAnsi="微软雅黑" w:eastAsia="微软雅黑" w:cs="微软雅黑"/>
                <w:i w:val="0"/>
                <w:iCs w:val="0"/>
                <w:caps w:val="0"/>
                <w:color w:val="666666"/>
                <w:spacing w:val="0"/>
                <w:sz w:val="24"/>
                <w:szCs w:val="24"/>
                <w:u w:val="none"/>
              </w:rPr>
            </w:pPr>
          </w:p>
        </w:tc>
        <w:tc>
          <w:tcPr>
            <w:tcW w:w="939"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4B051C54">
            <w:pPr>
              <w:jc w:val="both"/>
              <w:rPr>
                <w:rFonts w:hint="eastAsia" w:ascii="微软雅黑" w:hAnsi="微软雅黑" w:eastAsia="微软雅黑" w:cs="微软雅黑"/>
                <w:i w:val="0"/>
                <w:iCs w:val="0"/>
                <w:caps w:val="0"/>
                <w:color w:val="666666"/>
                <w:spacing w:val="0"/>
                <w:sz w:val="24"/>
                <w:szCs w:val="24"/>
                <w:u w:val="none"/>
              </w:rPr>
            </w:pP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14:paraId="76CC6C9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维持</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0DA8107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纠正</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1AF1DE0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其他</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结果</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7A9D9C3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尚未</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审结</w:t>
            </w:r>
          </w:p>
        </w:tc>
        <w:tc>
          <w:tcPr>
            <w:tcW w:w="938"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3DD0403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总计</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350F40A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维持</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2A03137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结果</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纠正</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0730859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其他</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结果</w:t>
            </w:r>
          </w:p>
        </w:tc>
        <w:tc>
          <w:tcPr>
            <w:tcW w:w="923"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0F73EA7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尚未</w:t>
            </w:r>
            <w:r>
              <w:rPr>
                <w:rFonts w:hint="eastAsia" w:ascii="仿宋" w:hAnsi="仿宋" w:eastAsia="仿宋" w:cs="仿宋"/>
                <w:i w:val="0"/>
                <w:iCs w:val="0"/>
                <w:caps w:val="0"/>
                <w:color w:val="666666"/>
                <w:spacing w:val="0"/>
                <w:sz w:val="24"/>
                <w:szCs w:val="24"/>
                <w:u w:val="none"/>
              </w:rPr>
              <w:br w:type="textWrapping"/>
            </w:r>
            <w:r>
              <w:rPr>
                <w:rFonts w:hint="eastAsia" w:ascii="仿宋" w:hAnsi="仿宋" w:eastAsia="仿宋" w:cs="仿宋"/>
                <w:i w:val="0"/>
                <w:iCs w:val="0"/>
                <w:caps w:val="0"/>
                <w:color w:val="666666"/>
                <w:spacing w:val="0"/>
                <w:sz w:val="24"/>
                <w:szCs w:val="24"/>
                <w:u w:val="none"/>
              </w:rPr>
              <w:t>审结</w:t>
            </w:r>
          </w:p>
        </w:tc>
        <w:tc>
          <w:tcPr>
            <w:tcW w:w="1091" w:type="dxa"/>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12942CF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总计</w:t>
            </w:r>
          </w:p>
        </w:tc>
      </w:tr>
      <w:tr w14:paraId="6FDFDF77">
        <w:tblPrEx>
          <w:tblBorders>
            <w:top w:val="single" w:color="666666" w:sz="6" w:space="0"/>
            <w:left w:val="single" w:color="666666" w:sz="6" w:space="0"/>
            <w:bottom w:val="single" w:color="666666" w:sz="6" w:space="0"/>
            <w:right w:val="single" w:color="666666" w:sz="6" w:space="0"/>
            <w:insideH w:val="none" w:color="auto" w:sz="0" w:space="0"/>
            <w:insideV w:val="none" w:color="auto" w:sz="0" w:space="0"/>
          </w:tblBorders>
          <w:tblCellMar>
            <w:top w:w="0" w:type="dxa"/>
            <w:left w:w="0" w:type="dxa"/>
            <w:bottom w:w="0" w:type="dxa"/>
            <w:right w:w="0" w:type="dxa"/>
          </w:tblCellMar>
        </w:tblPrEx>
        <w:trPr>
          <w:trHeight w:val="894" w:hRule="atLeast"/>
        </w:trPr>
        <w:tc>
          <w:tcPr>
            <w:tcW w:w="922" w:type="dxa"/>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14:paraId="5729EF8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14:paraId="004C247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14:paraId="3D8F5F1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14:paraId="1A3BE56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39" w:type="dxa"/>
            <w:tcBorders>
              <w:top w:val="nil"/>
              <w:left w:val="nil"/>
              <w:bottom w:val="single" w:color="auto" w:sz="6" w:space="0"/>
              <w:right w:val="single" w:color="auto" w:sz="6" w:space="0"/>
            </w:tcBorders>
            <w:shd w:val="clear" w:color="auto" w:fill="FFFFFF"/>
            <w:tcMar>
              <w:left w:w="105" w:type="dxa"/>
              <w:right w:w="105" w:type="dxa"/>
            </w:tcMar>
            <w:vAlign w:val="center"/>
          </w:tcPr>
          <w:p w14:paraId="03B409F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2" w:type="dxa"/>
            <w:tcBorders>
              <w:top w:val="nil"/>
              <w:left w:val="nil"/>
              <w:bottom w:val="single" w:color="auto" w:sz="6" w:space="0"/>
              <w:right w:val="single" w:color="auto" w:sz="6" w:space="0"/>
            </w:tcBorders>
            <w:shd w:val="clear" w:color="auto" w:fill="FFFFFF"/>
            <w:tcMar>
              <w:left w:w="105" w:type="dxa"/>
              <w:right w:w="105" w:type="dxa"/>
            </w:tcMar>
            <w:vAlign w:val="center"/>
          </w:tcPr>
          <w:p w14:paraId="740A6C7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3979719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3FA1012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6FA2151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38" w:type="dxa"/>
            <w:tcBorders>
              <w:top w:val="nil"/>
              <w:left w:val="nil"/>
              <w:bottom w:val="single" w:color="auto" w:sz="6" w:space="0"/>
              <w:right w:val="single" w:color="auto" w:sz="6" w:space="0"/>
            </w:tcBorders>
            <w:shd w:val="clear" w:color="auto" w:fill="FFFFFF"/>
            <w:tcMar>
              <w:left w:w="105" w:type="dxa"/>
              <w:right w:w="105" w:type="dxa"/>
            </w:tcMar>
            <w:vAlign w:val="center"/>
          </w:tcPr>
          <w:p w14:paraId="44455A9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67779F8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5B18DF6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1D0058B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923" w:type="dxa"/>
            <w:tcBorders>
              <w:top w:val="nil"/>
              <w:left w:val="nil"/>
              <w:bottom w:val="single" w:color="auto" w:sz="6" w:space="0"/>
              <w:right w:val="single" w:color="auto" w:sz="6" w:space="0"/>
            </w:tcBorders>
            <w:shd w:val="clear" w:color="auto" w:fill="FFFFFF"/>
            <w:tcMar>
              <w:left w:w="105" w:type="dxa"/>
              <w:right w:w="105" w:type="dxa"/>
            </w:tcMar>
            <w:vAlign w:val="center"/>
          </w:tcPr>
          <w:p w14:paraId="68395FD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c>
          <w:tcPr>
            <w:tcW w:w="1091" w:type="dxa"/>
            <w:tcBorders>
              <w:top w:val="nil"/>
              <w:left w:val="nil"/>
              <w:bottom w:val="single" w:color="auto" w:sz="6" w:space="0"/>
              <w:right w:val="single" w:color="auto" w:sz="6" w:space="0"/>
            </w:tcBorders>
            <w:shd w:val="clear" w:color="auto" w:fill="FFFFFF"/>
            <w:tcMar>
              <w:left w:w="105" w:type="dxa"/>
              <w:right w:w="105" w:type="dxa"/>
            </w:tcMar>
            <w:vAlign w:val="center"/>
          </w:tcPr>
          <w:p w14:paraId="6F51C7D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0"/>
              <w:jc w:val="both"/>
              <w:rPr>
                <w:rFonts w:hint="eastAsia" w:ascii="微软雅黑" w:hAnsi="微软雅黑" w:eastAsia="微软雅黑" w:cs="微软雅黑"/>
                <w:i w:val="0"/>
                <w:iCs w:val="0"/>
                <w:color w:val="666666"/>
                <w:sz w:val="24"/>
                <w:szCs w:val="24"/>
                <w:u w:val="none"/>
              </w:rPr>
            </w:pPr>
            <w:r>
              <w:rPr>
                <w:rFonts w:hint="eastAsia" w:ascii="仿宋" w:hAnsi="仿宋" w:eastAsia="仿宋" w:cs="仿宋"/>
                <w:i w:val="0"/>
                <w:iCs w:val="0"/>
                <w:caps w:val="0"/>
                <w:color w:val="666666"/>
                <w:spacing w:val="0"/>
                <w:sz w:val="24"/>
                <w:szCs w:val="24"/>
                <w:u w:val="none"/>
              </w:rPr>
              <w:t>0</w:t>
            </w:r>
          </w:p>
        </w:tc>
      </w:tr>
    </w:tbl>
    <w:p w14:paraId="24CB34A6">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420" w:leftChars="0" w:right="0" w:rightChars="0"/>
        <w:jc w:val="both"/>
        <w:rPr>
          <w:rFonts w:hint="eastAsia" w:ascii="仿宋" w:hAnsi="仿宋" w:eastAsia="仿宋" w:cs="仿宋"/>
          <w:i w:val="0"/>
          <w:iCs w:val="0"/>
          <w:caps w:val="0"/>
          <w:color w:val="666666"/>
          <w:spacing w:val="0"/>
          <w:sz w:val="31"/>
          <w:szCs w:val="31"/>
          <w:u w:val="none"/>
          <w:shd w:val="clear" w:fill="FFFFFF"/>
        </w:rPr>
      </w:pPr>
    </w:p>
    <w:p w14:paraId="5188B222">
      <w:pPr>
        <w:pStyle w:val="4"/>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00" w:lineRule="atLeast"/>
        <w:ind w:left="420" w:leftChars="0" w:right="0" w:rightChars="0"/>
        <w:jc w:val="both"/>
        <w:rPr>
          <w:rFonts w:hint="eastAsia" w:ascii="宋体" w:hAnsi="宋体" w:eastAsia="宋体" w:cs="宋体"/>
          <w:i w:val="0"/>
          <w:iCs w:val="0"/>
          <w:caps w:val="0"/>
          <w:color w:val="666666"/>
          <w:spacing w:val="0"/>
          <w:sz w:val="24"/>
          <w:szCs w:val="24"/>
          <w:u w:val="none"/>
          <w:shd w:val="clear" w:fill="FFFFFF"/>
          <w:lang w:eastAsia="zh-CN"/>
        </w:rPr>
        <w:sectPr>
          <w:pgSz w:w="16838" w:h="11906" w:orient="landscape"/>
          <w:pgMar w:top="1800" w:right="1440" w:bottom="1800" w:left="1440" w:header="851" w:footer="992" w:gutter="0"/>
          <w:cols w:space="425" w:num="1"/>
          <w:docGrid w:type="lines" w:linePitch="312" w:charSpace="0"/>
        </w:sectPr>
      </w:pPr>
    </w:p>
    <w:p w14:paraId="158C1C82">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五、存在的主要问题及改进情况</w:t>
      </w:r>
    </w:p>
    <w:p w14:paraId="39F8231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i w:val="0"/>
          <w:iCs w:val="0"/>
          <w:caps w:val="0"/>
          <w:color w:val="666666"/>
          <w:spacing w:val="0"/>
          <w:sz w:val="32"/>
          <w:szCs w:val="32"/>
          <w:u w:val="none"/>
        </w:rPr>
      </w:pPr>
      <w:r>
        <w:rPr>
          <w:rFonts w:hint="eastAsia" w:ascii="仿宋_GB2312" w:hAnsi="仿宋_GB2312" w:eastAsia="仿宋_GB2312" w:cs="仿宋_GB2312"/>
          <w:sz w:val="32"/>
          <w:szCs w:val="32"/>
          <w:lang w:val="en-US" w:eastAsia="zh-CN"/>
        </w:rPr>
        <w:t>2024年，在开展政府信息公开工作中，我局存在信息公开不及时问题。下一步，我局将完善措施，努力做好政府信息公开工作。</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认真学习、准确领会精神，确保高质量完成政府信息公开工作；</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定期督导进度，组织召开政务公开座谈会，汇总政务公开工作进展情况，查找存在问题，制定改进措施，保证政务公开工作稳步推进；</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及时发布信息，积极协调有关股室，及时编辑、核实、发布有关信息，确保信息时效性。</w:t>
      </w:r>
    </w:p>
    <w:p w14:paraId="74627E0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六、其他需要报告的事项</w:t>
      </w:r>
    </w:p>
    <w:p w14:paraId="172F4C0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本单位暂无其他需要报告的事项。 </w:t>
      </w:r>
    </w:p>
    <w:p w14:paraId="0471029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rightChars="0" w:firstLine="640" w:firstLineChars="200"/>
        <w:jc w:val="both"/>
        <w:textAlignment w:val="auto"/>
        <w:rPr>
          <w:rFonts w:hint="eastAsia" w:ascii="仿宋" w:hAnsi="仿宋" w:eastAsia="仿宋" w:cs="仿宋"/>
          <w:i w:val="0"/>
          <w:iCs w:val="0"/>
          <w:caps w:val="0"/>
          <w:color w:val="666666"/>
          <w:spacing w:val="0"/>
          <w:sz w:val="32"/>
          <w:szCs w:val="32"/>
          <w:u w:val="none"/>
          <w:shd w:val="clear" w:fill="FFFFFF"/>
          <w:lang w:eastAsia="zh-CN"/>
        </w:rPr>
      </w:pPr>
    </w:p>
    <w:p w14:paraId="26823DD0">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rightChars="0" w:firstLine="640" w:firstLineChars="200"/>
        <w:jc w:val="both"/>
        <w:textAlignment w:val="auto"/>
        <w:rPr>
          <w:rFonts w:hint="eastAsia" w:ascii="仿宋" w:hAnsi="仿宋" w:eastAsia="仿宋" w:cs="仿宋"/>
          <w:i w:val="0"/>
          <w:iCs w:val="0"/>
          <w:caps w:val="0"/>
          <w:color w:val="666666"/>
          <w:spacing w:val="0"/>
          <w:sz w:val="32"/>
          <w:szCs w:val="32"/>
          <w:u w:val="none"/>
          <w:shd w:val="clear" w:fill="FFFFFF"/>
          <w:lang w:eastAsia="zh-CN"/>
        </w:rPr>
      </w:pPr>
    </w:p>
    <w:p w14:paraId="76C683D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sz w:val="32"/>
          <w:szCs w:val="32"/>
          <w:lang w:val="en-US" w:eastAsia="zh-CN"/>
        </w:rPr>
      </w:pPr>
      <w:r>
        <w:rPr>
          <w:rFonts w:hint="eastAsia" w:ascii="仿宋" w:hAnsi="仿宋" w:eastAsia="仿宋" w:cs="仿宋"/>
          <w:i w:val="0"/>
          <w:iCs w:val="0"/>
          <w:caps w:val="0"/>
          <w:color w:val="666666"/>
          <w:spacing w:val="0"/>
          <w:sz w:val="32"/>
          <w:szCs w:val="32"/>
          <w:u w:val="none"/>
          <w:shd w:val="clear" w:fill="FFFFFF"/>
          <w:lang w:val="en-US" w:eastAsia="zh-CN"/>
        </w:rPr>
        <w:t xml:space="preserve">                                </w:t>
      </w:r>
      <w:r>
        <w:rPr>
          <w:rFonts w:hint="default" w:ascii="Times New Roman" w:hAnsi="Times New Roman" w:eastAsia="仿宋_GB2312" w:cs="Times New Roman"/>
          <w:sz w:val="32"/>
          <w:szCs w:val="32"/>
          <w:lang w:val="en-US" w:eastAsia="zh-CN"/>
        </w:rPr>
        <w:t>隆尧县农业农村局</w:t>
      </w:r>
    </w:p>
    <w:p w14:paraId="153AC8C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5760" w:firstLineChars="18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2025年1月1</w:t>
      </w:r>
      <w:r>
        <w:rPr>
          <w:rFonts w:hint="eastAsia" w:ascii="Times New Roman" w:hAnsi="Times New Roman" w:eastAsia="仿宋_GB2312" w:cs="Times New Roman"/>
          <w:sz w:val="32"/>
          <w:szCs w:val="32"/>
          <w:lang w:val="en-US" w:eastAsia="zh-CN"/>
        </w:rPr>
        <w:t xml:space="preserve">3 </w:t>
      </w:r>
      <w:r>
        <w:rPr>
          <w:rFonts w:hint="default" w:ascii="Times New Roman" w:hAnsi="Times New Roman" w:eastAsia="仿宋_GB2312" w:cs="Times New Roman"/>
          <w:sz w:val="32"/>
          <w:szCs w:val="32"/>
          <w:lang w:val="en-US" w:eastAsia="zh-CN"/>
        </w:rPr>
        <w:t>日</w:t>
      </w:r>
    </w:p>
    <w:sectPr>
      <w:pgSz w:w="11906" w:h="16838"/>
      <w:pgMar w:top="1440" w:right="1576" w:bottom="1440" w:left="1576"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NhMmUwOWQwNWYxZmUwOGRiYjc5OTkzNjBmN2RlMTAifQ=="/>
  </w:docVars>
  <w:rsids>
    <w:rsidRoot w:val="6F057D7A"/>
    <w:rsid w:val="01BD35AB"/>
    <w:rsid w:val="025B7E44"/>
    <w:rsid w:val="07FB4E2D"/>
    <w:rsid w:val="0BD76ACC"/>
    <w:rsid w:val="10EB73A4"/>
    <w:rsid w:val="117816B9"/>
    <w:rsid w:val="13126763"/>
    <w:rsid w:val="16A86180"/>
    <w:rsid w:val="18DA6CE0"/>
    <w:rsid w:val="1B6B2D7C"/>
    <w:rsid w:val="1D945CCD"/>
    <w:rsid w:val="1DB7373C"/>
    <w:rsid w:val="1E5B7F7C"/>
    <w:rsid w:val="1ECF5AB0"/>
    <w:rsid w:val="24D96952"/>
    <w:rsid w:val="29242EA8"/>
    <w:rsid w:val="2E61029C"/>
    <w:rsid w:val="3012463B"/>
    <w:rsid w:val="32523B47"/>
    <w:rsid w:val="366C4FC4"/>
    <w:rsid w:val="372E0CF4"/>
    <w:rsid w:val="398208E0"/>
    <w:rsid w:val="3A1F5EA9"/>
    <w:rsid w:val="3C850E5A"/>
    <w:rsid w:val="431E02BF"/>
    <w:rsid w:val="448418FA"/>
    <w:rsid w:val="451850BD"/>
    <w:rsid w:val="45E4394D"/>
    <w:rsid w:val="47C5763D"/>
    <w:rsid w:val="494F6C15"/>
    <w:rsid w:val="4B0F610D"/>
    <w:rsid w:val="4C502428"/>
    <w:rsid w:val="4CE90CC5"/>
    <w:rsid w:val="4F5D14F6"/>
    <w:rsid w:val="4FDEF1DF"/>
    <w:rsid w:val="531770A4"/>
    <w:rsid w:val="53952781"/>
    <w:rsid w:val="53B95953"/>
    <w:rsid w:val="5BB66216"/>
    <w:rsid w:val="5C1D634A"/>
    <w:rsid w:val="5DAC0455"/>
    <w:rsid w:val="5E62059E"/>
    <w:rsid w:val="5F531FCE"/>
    <w:rsid w:val="6189617B"/>
    <w:rsid w:val="61A1293E"/>
    <w:rsid w:val="623941D1"/>
    <w:rsid w:val="661F1B01"/>
    <w:rsid w:val="67ED117D"/>
    <w:rsid w:val="6A2D29FA"/>
    <w:rsid w:val="6A4C294C"/>
    <w:rsid w:val="6C3F4006"/>
    <w:rsid w:val="6C967660"/>
    <w:rsid w:val="6D9F7164"/>
    <w:rsid w:val="6EE573DC"/>
    <w:rsid w:val="6F057D7A"/>
    <w:rsid w:val="731B5FCA"/>
    <w:rsid w:val="73C860E7"/>
    <w:rsid w:val="74D44721"/>
    <w:rsid w:val="79BE2849"/>
    <w:rsid w:val="7B17757D"/>
    <w:rsid w:val="7EA62C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autoRedefine/>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1"/>
    <w:autoRedefine/>
    <w:qFormat/>
    <w:uiPriority w:val="0"/>
    <w:pPr>
      <w:ind w:firstLine="420"/>
    </w:pPr>
    <w:rPr>
      <w:rFonts w:ascii="Times New Roman" w:hAnsi="Times New Roman" w:eastAsia="宋体" w:cs="Times New Roman"/>
    </w:rPr>
  </w:style>
  <w:style w:type="paragraph" w:styleId="4">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7">
    <w:name w:val="Strong"/>
    <w:basedOn w:val="6"/>
    <w:autoRedefine/>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1702</Words>
  <Characters>1733</Characters>
  <Lines>0</Lines>
  <Paragraphs>0</Paragraphs>
  <TotalTime>461</TotalTime>
  <ScaleCrop>false</ScaleCrop>
  <LinksUpToDate>false</LinksUpToDate>
  <CharactersWithSpaces>1734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2023-01-13T15:53:00Z</dcterms:created>
  <dc:creator>Administrator</dc:creator>
  <cp:lastModifiedBy>Administrator</cp:lastModifiedBy>
  <cp:lastPrinted>2025-01-13T01:37:00Z</cp:lastPrinted>
  <dcterms:modified xsi:type="dcterms:W3CDTF">2025-01-14T07:57:41Z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E606CE2E18B2C6526114E26321454EDF</vt:lpwstr>
  </property>
  <property fmtid="{D5CDD505-2E9C-101B-9397-08002B2CF9AE}" pid="4" name="KSOTemplateDocerSaveRecord">
    <vt:lpwstr>eyJoZGlkIjoiMDNhMmUwOWQwNWYxZmUwOGRiYjc5OTkzNjBmN2RlMTAifQ==</vt:lpwstr>
  </property>
</Properties>
</file>