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jc w:val="center"/>
        <w:rPr>
          <w:rFonts w:ascii="Times New Roman" w:eastAsia="方正小标宋_GBK" w:cs="方正小标宋_GBK" w:hAnsi="Times New Roman"/>
          <w:sz w:val="44"/>
          <w:szCs w:val="44"/>
        </w:rPr>
      </w:pPr>
      <w:r>
        <w:rPr>
          <w:rFonts w:ascii="Times New Roman" w:eastAsia="方正小标宋_GBK" w:cs="方正小标宋_GBK" w:hAnsi="Times New Roman" w:hint="eastAsia"/>
          <w:sz w:val="44"/>
          <w:szCs w:val="44"/>
        </w:rPr>
        <w:t>隆尧县审计局</w:t>
      </w:r>
    </w:p>
    <w:p>
      <w:pPr>
        <w:adjustRightInd w:val="0"/>
        <w:snapToGrid w:val="0"/>
        <w:jc w:val="center"/>
        <w:rPr>
          <w:rFonts w:ascii="方正小标宋_GBK" w:eastAsia="方正小标宋_GBK" w:cs="Times New Roman" w:hAnsi="Times New Roman"/>
          <w:bCs/>
          <w:sz w:val="44"/>
          <w:szCs w:val="44"/>
        </w:rPr>
      </w:pPr>
      <w:r>
        <w:rPr>
          <w:rFonts w:ascii="方正小标宋_GBK" w:eastAsia="方正小标宋_GBK" w:cs="Times New Roman" w:hAnsi="Times New Roman" w:hint="eastAsia"/>
          <w:bCs/>
          <w:sz w:val="44"/>
          <w:szCs w:val="44"/>
        </w:rPr>
        <w:t>2021年部门预算信息公开情况说明</w:t>
      </w:r>
    </w:p>
    <w:p>
      <w:pPr>
        <w:ind w:firstLine="640"/>
        <w:rPr>
          <w:rFonts w:ascii="Times New Roman" w:eastAsia="仿宋" w:cs="Times New Roman" w:hAnsi="Times New Roman"/>
          <w:sz w:val="32"/>
          <w:szCs w:val="32"/>
        </w:rPr>
      </w:pPr>
    </w:p>
    <w:p>
      <w:pPr>
        <w:ind w:firstLineChars="200" w:firstLine="640"/>
        <w:rPr>
          <w:rFonts w:ascii="仿宋" w:eastAsia="仿宋" w:cs="Times New Roman" w:hAnsi="仿宋"/>
          <w:sz w:val="32"/>
          <w:szCs w:val="32"/>
        </w:rPr>
      </w:pPr>
      <w:r>
        <w:rPr>
          <w:rFonts w:ascii="仿宋" w:eastAsia="仿宋" w:cs="仿宋" w:hAnsi="仿宋" w:hint="eastAsia"/>
          <w:sz w:val="32"/>
          <w:szCs w:val="32"/>
        </w:rPr>
        <w:t>按照《预算法》、《地方预决算公开操作规程》和《河北省省级预算公开办法》规定，现将隆尧县审计局</w:t>
      </w:r>
      <w:r>
        <w:rPr>
          <w:rFonts w:ascii="仿宋" w:eastAsia="仿宋" w:cs="仿宋" w:hAnsi="仿宋"/>
          <w:sz w:val="32"/>
          <w:szCs w:val="32"/>
        </w:rPr>
        <w:t>20</w:t>
      </w:r>
      <w:r>
        <w:rPr>
          <w:rFonts w:ascii="仿宋" w:eastAsia="仿宋" w:cs="仿宋" w:hAnsi="仿宋" w:hint="eastAsia"/>
          <w:sz w:val="32"/>
          <w:szCs w:val="32"/>
        </w:rPr>
        <w:t>21年部门预算公开如下：</w:t>
      </w:r>
    </w:p>
    <w:p>
      <w:pPr>
        <w:ind w:firstLine="640"/>
        <w:rPr>
          <w:rFonts w:ascii="黑体" w:eastAsia="黑体" w:cs="Times New Roman" w:hAnsi="黑体"/>
          <w:sz w:val="32"/>
          <w:szCs w:val="32"/>
        </w:rPr>
      </w:pPr>
      <w:r>
        <w:rPr>
          <w:rFonts w:ascii="黑体" w:eastAsia="黑体" w:cs="Times New Roman" w:hAnsi="黑体" w:hint="eastAsia"/>
          <w:sz w:val="32"/>
          <w:szCs w:val="32"/>
        </w:rPr>
        <w:t>一、部门职责及机构设置情况</w:t>
      </w:r>
    </w:p>
    <w:p>
      <w:pPr>
        <w:ind w:firstLine="640"/>
        <w:rPr>
          <w:rFonts w:ascii="仿宋" w:eastAsia="仿宋" w:cs="Times New Roman" w:hAnsi="仿宋"/>
          <w:b/>
          <w:sz w:val="32"/>
          <w:szCs w:val="32"/>
        </w:rPr>
      </w:pPr>
      <w:r>
        <w:rPr>
          <w:rFonts w:ascii="仿宋" w:eastAsia="仿宋" w:cs="Times New Roman" w:hAnsi="仿宋" w:hint="eastAsia"/>
          <w:b/>
          <w:sz w:val="32"/>
          <w:szCs w:val="32"/>
        </w:rPr>
        <w:t>部门</w:t>
      </w:r>
      <w:r>
        <w:rPr>
          <w:rFonts w:ascii="仿宋" w:eastAsia="仿宋" w:cs="Times New Roman" w:hAnsi="仿宋"/>
          <w:b/>
          <w:sz w:val="32"/>
          <w:szCs w:val="32"/>
        </w:rPr>
        <w:t>职责：</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（五）按规定对县管党政主要领导干部及其他单位主要负责人实施经济责任审计和自然资源资产离任审计。</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（六）组织实施对财经法律法规、规章、政策和宏观调控措施执行情况、财政预算管理及国有资产管理使用等与财政收支有关的特定事项进行专项审计调查。</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（七）依法检查审计决定执行情况，督促整改审计查出的问题，依法办理被审计单位对审计决定提请行政复议、行政诉讼或县政府裁决中的有关事项，协助配合有关部门查处相关重大案件。</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（八）指导和监督内部审计工作，核查社会审计机构对依法属于审计监督对象的单位出具的相关审计报告。</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（九）组织开展审计领域的交流与合作，指导和推广信息技术在审计领域的应用。</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（十）完成县委、县政府和省、市审计部门交办的其他任务。</w:t>
        <w:br/>
      </w:r>
      <w:r>
        <w:rPr>
          <w:rFonts w:ascii="仿宋" w:eastAsia="仿宋" w:cs="Times New Roman" w:hAnsi="仿宋" w:hint="eastAsia"/>
          <w:b/>
          <w:sz w:val="32"/>
          <w:szCs w:val="32"/>
        </w:rPr>
        <w:t>机构设置：</w:t>
      </w:r>
    </w:p>
    <w:p>
      <w:pPr>
        <w:autoSpaceDE w:val="0"/>
        <w:autoSpaceDN w:val="0"/>
        <w:adjustRightInd w:val="0"/>
        <w:ind w:firstLineChars="221" w:firstLine="707"/>
        <w:jc w:val="left"/>
        <w:rPr>
          <w:rFonts w:ascii="仿宋" w:eastAsia="仿宋" w:cs="Times New Roman" w:hAnsi="仿宋"/>
          <w:kern w:val="0"/>
          <w:sz w:val="32"/>
          <w:szCs w:val="32"/>
        </w:rPr>
      </w:pPr>
      <w:r>
        <w:rPr>
          <w:rFonts w:ascii="仿宋" w:eastAsia="仿宋" w:cs="仿宋" w:hAnsi="仿宋" w:hint="eastAsia"/>
          <w:kern w:val="0"/>
          <w:sz w:val="32"/>
          <w:szCs w:val="32"/>
        </w:rPr>
        <w:t>隆尧县审计局部门机构设置情况：</w:t>
      </w:r>
    </w:p>
    <w:tbl>
      <w:tblPr>
        <w:jc w:val="left"/>
        <w:tblInd w:w="-106" w:type="dxa"/>
        <w:tblW w:w="99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3419"/>
        <w:gridCol w:w="1832"/>
        <w:gridCol w:w="1466"/>
        <w:gridCol w:w="3250"/>
      </w:tblGrid>
      <w:tr>
        <w:trPr>
          <w:trHeight w:val="549"/>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单位名称</w:t>
            </w:r>
          </w:p>
        </w:tc>
        <w:tc>
          <w:tcPr>
            <w:tcW w:w="1832"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单位性质</w:t>
            </w:r>
          </w:p>
        </w:tc>
        <w:tc>
          <w:tcPr>
            <w:tcW w:w="1466"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单位规格</w:t>
            </w:r>
          </w:p>
        </w:tc>
        <w:tc>
          <w:tcPr>
            <w:tcW w:w="3250"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经费保障形式</w:t>
            </w:r>
          </w:p>
        </w:tc>
      </w:tr>
      <w:tr>
        <w:trPr>
          <w:trHeight w:val="279"/>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隆尧县审计局（机关）</w:t>
            </w:r>
          </w:p>
        </w:tc>
        <w:tc>
          <w:tcPr>
            <w:tcW w:w="1832"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行政</w:t>
            </w:r>
          </w:p>
        </w:tc>
        <w:tc>
          <w:tcPr>
            <w:tcW w:w="1466"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正科级</w:t>
            </w:r>
          </w:p>
        </w:tc>
        <w:tc>
          <w:tcPr>
            <w:tcW w:w="3250"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财政拨款</w:t>
            </w:r>
          </w:p>
        </w:tc>
      </w:tr>
    </w:tbl>
    <w:p/>
    <w:p>
      <w:pPr>
        <w:numPr>
          <w:ilvl w:val="0"/>
          <w:numId w:val="1"/>
        </w:numPr>
        <w:ind w:left="0" w:firstLine="640"/>
        <w:rPr>
          <w:rFonts w:ascii="黑体" w:eastAsia="黑体" w:cs="Times New Roman" w:hAnsi="黑体"/>
          <w:sz w:val="32"/>
          <w:szCs w:val="32"/>
        </w:rPr>
      </w:pPr>
      <w:r>
        <w:rPr>
          <w:rFonts w:ascii="黑体" w:eastAsia="黑体" w:cs="Times New Roman" w:hAnsi="黑体" w:hint="eastAsia"/>
          <w:sz w:val="32"/>
          <w:szCs w:val="32"/>
        </w:rPr>
        <w:t>部门预算安排的总体情况</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按照预算管理有关规定，目前我局部门预算的编制实行综合预算管理，即全部收入和支出都反映的预算中。</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1、收入说明</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反映本部门当年全部收入。2021年预算收入369.25万元，其中：一般公共预算收入369.25万元，基金预算收入0万元，</w:t>
      </w:r>
      <w:r>
        <w:rPr>
          <w:rFonts w:ascii="Times New Roman" w:eastAsia="仿宋" w:cs="Times New Roman" w:hAnsi="Times New Roman" w:hint="eastAsia"/>
          <w:sz w:val="32"/>
          <w:szCs w:val="32"/>
          <w:lang w:eastAsia="zh-CN"/>
        </w:rPr>
        <w:t>国有资本经营预算收入</w:t>
      </w:r>
      <w:r>
        <w:rPr>
          <w:rFonts w:ascii="Times New Roman" w:eastAsia="仿宋" w:cs="Times New Roman" w:hAnsi="Times New Roman" w:hint="eastAsia"/>
          <w:sz w:val="32"/>
          <w:szCs w:val="32"/>
          <w:lang w:val="en-US" w:eastAsia="zh-CN"/>
        </w:rPr>
        <w:t>0万元，</w:t>
      </w:r>
      <w:r>
        <w:rPr>
          <w:rFonts w:ascii="Times New Roman" w:eastAsia="仿宋" w:cs="Times New Roman" w:hAnsi="Times New Roman" w:hint="eastAsia"/>
          <w:sz w:val="32"/>
          <w:szCs w:val="32"/>
        </w:rPr>
        <w:t>财政专户核拨收入0万元，</w:t>
      </w:r>
      <w:r>
        <w:rPr>
          <w:rFonts w:ascii="Times New Roman" w:eastAsia="仿宋" w:cs="Times New Roman" w:hAnsi="Times New Roman" w:hint="eastAsia"/>
          <w:sz w:val="32"/>
          <w:szCs w:val="32"/>
          <w:lang w:eastAsia="zh-CN"/>
        </w:rPr>
        <w:t>单位资金收入</w:t>
      </w:r>
      <w:r>
        <w:rPr>
          <w:rFonts w:ascii="Times New Roman" w:eastAsia="仿宋" w:cs="Times New Roman" w:hAnsi="Times New Roman" w:hint="eastAsia"/>
          <w:sz w:val="32"/>
          <w:szCs w:val="32"/>
          <w:lang w:val="en-US" w:eastAsia="zh-CN"/>
        </w:rPr>
        <w:t>0万元，上年结转结余0万元</w:t>
      </w:r>
      <w:r>
        <w:rPr>
          <w:rFonts w:ascii="Times New Roman" w:eastAsia="仿宋" w:cs="Times New Roman" w:hAnsi="Times New Roman" w:hint="eastAsia"/>
          <w:sz w:val="32"/>
          <w:szCs w:val="32"/>
        </w:rPr>
        <w:t>。</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2、支出说明</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收支预算总表支出栏、基本支出表、项目支出表按经济分类和支出功能分类科目编制，反映隆尧县审计局年度部门预算中支出预算的总体情况。2021年部门支出预算为369.25万元，其中基本支出204.25万元，包括人员经费182.69万元和日常公用经费21.56万元；项目支出165万元，主要为审计事务支出165万元。</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3、比上年增减情况</w:t>
      </w:r>
    </w:p>
    <w:p>
      <w:pPr>
        <w:ind w:firstLine="640"/>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 xml:space="preserve"> 2021年部门预算收支安排369.25万元，较2020年减少2.54万元，其中：基本支出</w:t>
      </w:r>
      <w:r>
        <w:rPr>
          <w:rFonts w:ascii="Times New Roman" w:eastAsia="仿宋" w:cs="Times New Roman" w:hAnsi="Times New Roman" w:hint="eastAsia"/>
          <w:sz w:val="32"/>
          <w:szCs w:val="32"/>
          <w:lang w:eastAsia="zh-CN"/>
        </w:rPr>
        <w:t>增加</w:t>
      </w:r>
      <w:r>
        <w:rPr>
          <w:rFonts w:ascii="Times New Roman" w:eastAsia="仿宋" w:cs="Times New Roman" w:hAnsi="Times New Roman" w:hint="eastAsia"/>
          <w:sz w:val="32"/>
          <w:szCs w:val="32"/>
          <w:lang w:val="en-US" w:eastAsia="zh-CN"/>
        </w:rPr>
        <w:t>2.46</w:t>
      </w:r>
      <w:r>
        <w:rPr>
          <w:rFonts w:ascii="Times New Roman" w:eastAsia="仿宋" w:cs="Times New Roman" w:hAnsi="Times New Roman" w:hint="eastAsia"/>
          <w:sz w:val="32"/>
          <w:szCs w:val="32"/>
        </w:rPr>
        <w:t>万元，</w:t>
      </w:r>
      <w:r>
        <w:rPr>
          <w:rFonts w:ascii="Times New Roman" w:eastAsia="仿宋" w:cs="Times New Roman" w:hAnsi="Times New Roman" w:hint="eastAsia"/>
          <w:sz w:val="32"/>
          <w:szCs w:val="32"/>
          <w:lang w:eastAsia="zh-CN"/>
        </w:rPr>
        <w:t>主要是人员经费支出增加</w:t>
      </w:r>
      <w:r>
        <w:rPr>
          <w:rFonts w:ascii="Times New Roman" w:eastAsia="仿宋" w:cs="Times New Roman" w:hAnsi="Times New Roman" w:hint="eastAsia"/>
          <w:sz w:val="32"/>
          <w:szCs w:val="32"/>
        </w:rPr>
        <w:t>；项目支出减少5万元</w:t>
      </w:r>
      <w:r>
        <w:rPr>
          <w:rFonts w:ascii="Times New Roman" w:eastAsia="仿宋" w:cs="Times New Roman" w:hAnsi="Times New Roman" w:hint="eastAsia"/>
          <w:sz w:val="32"/>
          <w:szCs w:val="32"/>
          <w:lang w:eastAsia="zh-CN"/>
        </w:rPr>
        <w:t>，主要为落实过紧日子要求，压减项目支出。</w:t>
      </w:r>
    </w:p>
    <w:p>
      <w:pPr>
        <w:numPr>
          <w:ilvl w:val="0"/>
          <w:numId w:val="1"/>
        </w:numPr>
        <w:ind w:left="0" w:firstLine="640"/>
        <w:rPr>
          <w:rFonts w:ascii="黑体" w:eastAsia="黑体" w:cs="Times New Roman" w:hAnsi="黑体"/>
          <w:sz w:val="32"/>
          <w:szCs w:val="32"/>
        </w:rPr>
      </w:pPr>
      <w:r>
        <w:rPr>
          <w:rFonts w:ascii="黑体" w:eastAsia="黑体" w:cs="Times New Roman" w:hAnsi="黑体" w:hint="eastAsia"/>
          <w:sz w:val="32"/>
          <w:szCs w:val="32"/>
        </w:rPr>
        <w:t>机关运行经费安排情况</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20</w:t>
      </w:r>
      <w:r>
        <w:rPr>
          <w:rFonts w:ascii="Times New Roman" w:eastAsia="仿宋" w:cs="Times New Roman" w:hAnsi="Times New Roman" w:hint="eastAsia"/>
          <w:sz w:val="32"/>
          <w:szCs w:val="32"/>
        </w:rPr>
        <w:t>21年，我部门机关运行经费共计安排21.56万元，主要用于办公费、水费、电费、取暖费、工会经费、福利费、残疾人保障金等日常运行支出。</w:t>
      </w:r>
    </w:p>
    <w:p>
      <w:pPr>
        <w:numPr>
          <w:ilvl w:val="0"/>
          <w:numId w:val="1"/>
        </w:numPr>
        <w:ind w:left="0" w:firstLine="640"/>
        <w:rPr>
          <w:rFonts w:ascii="黑体" w:eastAsia="黑体" w:cs="Times New Roman" w:hAnsi="黑体"/>
          <w:sz w:val="32"/>
          <w:szCs w:val="32"/>
        </w:rPr>
      </w:pPr>
      <w:r>
        <w:rPr>
          <w:rFonts w:ascii="黑体" w:eastAsia="黑体" w:cs="Times New Roman" w:hAnsi="黑体" w:hint="eastAsia"/>
          <w:sz w:val="32"/>
          <w:szCs w:val="32"/>
        </w:rPr>
        <w:t>财政拨款“三公”经费预算情况及增减变化原因</w:t>
      </w:r>
    </w:p>
    <w:p>
      <w:pPr>
        <w:ind w:firstLineChars="150" w:firstLine="480"/>
        <w:rPr>
          <w:rFonts w:ascii="黑体" w:eastAsia="黑体" w:cs="Times New Roman" w:hAnsi="黑体"/>
          <w:sz w:val="32"/>
          <w:szCs w:val="32"/>
        </w:rPr>
      </w:pPr>
      <w:r>
        <w:rPr>
          <w:rFonts w:ascii="Times New Roman" w:eastAsia="仿宋" w:cs="Times New Roman" w:hAnsi="Times New Roman"/>
          <w:sz w:val="32"/>
          <w:szCs w:val="32"/>
        </w:rPr>
        <w:t>20</w:t>
      </w:r>
      <w:r>
        <w:rPr>
          <w:rFonts w:ascii="Times New Roman" w:eastAsia="仿宋" w:cs="Times New Roman" w:hAnsi="Times New Roman" w:hint="eastAsia"/>
          <w:sz w:val="32"/>
          <w:szCs w:val="32"/>
        </w:rPr>
        <w:t>21年，我部门未安排“三公”经费预算。</w:t>
      </w:r>
    </w:p>
    <w:p>
      <w:pPr>
        <w:numPr>
          <w:ilvl w:val="0"/>
          <w:numId w:val="1"/>
        </w:numPr>
        <w:ind w:left="0" w:firstLine="640"/>
        <w:rPr>
          <w:rFonts w:ascii="黑体" w:eastAsia="黑体" w:cs="Times New Roman" w:hAnsi="黑体"/>
          <w:sz w:val="32"/>
          <w:szCs w:val="32"/>
        </w:rPr>
      </w:pPr>
      <w:r>
        <w:rPr>
          <w:rFonts w:ascii="黑体" w:eastAsia="黑体" w:cs="Times New Roman" w:hAnsi="黑体" w:hint="eastAsia"/>
          <w:sz w:val="32"/>
          <w:szCs w:val="32"/>
        </w:rPr>
        <w:t>预算绩效信息</w:t>
      </w:r>
    </w:p>
    <w:p>
      <w:pPr>
        <w:ind w:firstLineChars="200" w:firstLine="640"/>
        <w:jc w:val="left"/>
        <w:rPr>
          <w:rFonts w:ascii="Times New Roman" w:eastAsia="仿宋" w:cs="Times New Roman" w:hAnsi="Times New Roman"/>
          <w:sz w:val="32"/>
          <w:szCs w:val="32"/>
        </w:rPr>
      </w:pPr>
      <w:bookmarkStart w:id="0" w:name="_Toc471398463"/>
      <w:r>
        <w:rPr>
          <w:rFonts w:ascii="Times New Roman" w:eastAsia="方正仿宋_GBK" w:cs="Times New Roman" w:hAnsi="Times New Roman" w:hint="eastAsia"/>
          <w:b/>
          <w:sz w:val="32"/>
          <w:szCs w:val="32"/>
        </w:rPr>
        <w:t>第一部分  部门整体绩效目标</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（一）总体绩效目标</w:t>
      </w:r>
      <w:bookmarkStart w:id="1" w:name="_Toc29484628"/>
      <w:bookmarkEnd w:id="1"/>
      <w:r>
        <w:rPr>
          <w:rFonts w:ascii="Times New Roman" w:eastAsia="方正仿宋_GBK" w:cs="Times New Roman" w:hAnsi="Times New Roman" w:hint="eastAsia"/>
          <w:b/>
          <w:vanish/>
          <w:sz w:val="32"/>
          <w:szCs w:val="32"/>
        </w:rPr>
        <w:t>{ TC 总体绩效目标 \f A \l 1 }</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县审计局深入学习贯彻党的十九大、十九届三中、四中、五中全会及习近平</w:t>
      </w:r>
      <w:r>
        <w:rPr>
          <w:rFonts w:ascii="Times New Roman" w:eastAsia="仿宋" w:cs="Times New Roman" w:hAnsi="Times New Roman"/>
          <w:sz w:val="32"/>
          <w:szCs w:val="32"/>
        </w:rPr>
        <w:t>总书记</w:t>
      </w:r>
      <w:bookmarkStart w:id="2" w:name="_GoBack"/>
      <w:bookmarkEnd w:id="2"/>
      <w:r>
        <w:rPr>
          <w:rFonts w:ascii="Times New Roman" w:eastAsia="仿宋" w:cs="Times New Roman" w:hAnsi="Times New Roman" w:hint="eastAsia"/>
          <w:sz w:val="32"/>
          <w:szCs w:val="32"/>
        </w:rPr>
        <w:t>系列重要讲话精神，坚持围绕中心、服务大局、突出重点、依法审计，以审计“全覆盖”为目标，全面落实县委、县政府和上级审计机关工作部署，认真履行审计职责，加强党建引领示范，强化党风廉政建设，深化干部队伍建设，提升审计工作效能，认真努力地完成全年工作目标任务。</w:t>
      </w:r>
    </w:p>
    <w:p>
      <w:pPr>
        <w:widowControl/>
        <w:autoSpaceDE w:val="0"/>
        <w:autoSpaceDN w:val="0"/>
        <w:adjustRightInd w:val="0"/>
        <w:jc w:val="left"/>
        <w:rPr>
          <w:rFonts w:ascii="Times New Roman" w:cs="Times New Roman" w:hAnsi="Times New Roman"/>
          <w:kern w:val="0"/>
          <w:sz w:val="28"/>
          <w:szCs w:val="28"/>
        </w:rPr>
      </w:pPr>
    </w:p>
    <w:p>
      <w:pPr>
        <w:numPr>
          <w:ilvl w:val="0"/>
          <w:numId w:val="2"/>
        </w:num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分项绩效目标</w:t>
      </w:r>
      <w:bookmarkStart w:id="3" w:name="_Toc29484629"/>
      <w:bookmarkEnd w:id="3"/>
      <w:r>
        <w:rPr>
          <w:rFonts w:ascii="Times New Roman" w:eastAsia="方正仿宋_GBK" w:cs="Times New Roman" w:hAnsi="Times New Roman" w:hint="eastAsia"/>
          <w:b/>
          <w:vanish/>
          <w:sz w:val="32"/>
          <w:szCs w:val="32"/>
        </w:rPr>
        <w:t>{ TC 分项绩效目标 \f A \l 1 }</w:t>
      </w:r>
    </w:p>
    <w:p>
      <w:pPr>
        <w:numPr>
          <w:ilvl w:val="0"/>
          <w:numId w:val="3"/>
        </w:num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 xml:space="preserve">政府基建项目审计业务专项经费 </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绩效目标：增强审计监督      提高工程质量</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绩效指标：组织开展监督检查的次数、被采纳的审计建议占全部审计建议的比率、单位对审计报告质量的满意度</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2、审计业务专项经费</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绩效目标：增加理论学习，提高业务人员素质，增强审计监督</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绩效指标：实际开展监督检查的对象数量占应监管对象总数的比率、被采纳的审计建议占全部审计建议的比率、单位对审计报告质量的满意度</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3、审计工作经费</w:t>
      </w:r>
    </w:p>
    <w:p>
      <w:pPr>
        <w:autoSpaceDE w:val="0"/>
        <w:autoSpaceDN w:val="0"/>
        <w:adjustRightInd w:val="0"/>
        <w:ind w:leftChars="200" w:left="420"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绩效目标：完成局委托专项工作审计计划   完成局交办其他工作任务</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绩效指标：实际开展监督检查的对象数量占应监管对象总数的比率、被采纳的审计建议占全部审计建议的比率、单位对审计报告质量的满意度</w:t>
      </w:r>
    </w:p>
    <w:p>
      <w:pPr>
        <w:numPr>
          <w:ilvl w:val="0"/>
          <w:numId w:val="2"/>
        </w:num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工作保障措施</w:t>
      </w:r>
    </w:p>
    <w:p>
      <w:pPr>
        <w:autoSpaceDE w:val="0"/>
        <w:autoSpaceDN w:val="0"/>
        <w:adjustRightInd w:val="0"/>
        <w:ind w:firstLineChars="200" w:firstLine="640"/>
        <w:jc w:val="left"/>
        <w:rPr>
          <w:rFonts w:ascii="Times New Roman" w:eastAsia="仿宋" w:cs="Times New Roman" w:hAnsi="Times New Roman" w:hint="eastAsia"/>
          <w:sz w:val="32"/>
          <w:szCs w:val="32"/>
        </w:rPr>
      </w:pPr>
      <w:r>
        <w:rPr>
          <w:rFonts w:ascii="Times New Roman" w:eastAsia="仿宋" w:cs="Times New Roman" w:hAnsi="Times New Roman" w:hint="eastAsia"/>
          <w:sz w:val="32"/>
          <w:szCs w:val="32"/>
        </w:rPr>
        <w:t>“十四五”期间，全面贯彻落实中央十九届五中全会和省委九届十一次全会精神，把推进法治、维护民生、促进发展作为审计工作的出发点和落脚点，围绕打好“三大攻坚战”，进一步突出审计重点，加大审计力度，大力推进对公共资金、国有资产、国有资源、领导干部履行经济责任情况的审计监督全覆盖，更加有效地发挥审计在国家治理体系中的重要作用。</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（一）加强对重大政策措施落实情况的监督。深入分析问题产生的原因，研究提出解决问题的对策，提出具体可行的整改意见，促进政策落地生根和不断完善。</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（二）深化财政审计。</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（三）加强民生工程和扶贫资金审计，推动惠民政策落实到位。</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（四）加强经济责任审计，促进领导干部履职尽责。</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（五）加大政府重大投资项目跟踪审计，促进政府投资项目建设程序化、规范化、合法化，提高政府资金使用效益。</w:t>
      </w:r>
    </w:p>
    <w:p>
      <w:pPr>
        <w:autoSpaceDE w:val="0"/>
        <w:autoSpaceDN w:val="0"/>
        <w:adjustRightInd w:val="0"/>
        <w:ind w:firstLineChars="150" w:firstLine="48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（六）加强对内部审计工作的指导，推动内部审计健康发展。</w:t>
      </w:r>
    </w:p>
    <w:p>
      <w:pPr>
        <w:autoSpaceDE w:val="0"/>
        <w:autoSpaceDN w:val="0"/>
        <w:adjustRightInd w:val="0"/>
        <w:ind w:firstLineChars="300" w:firstLine="960"/>
        <w:jc w:val="left"/>
        <w:rPr>
          <w:rFonts w:ascii="Times New Roman" w:eastAsia="仿宋" w:cs="Times New Roman" w:hAnsi="Times New Roman"/>
          <w:sz w:val="32"/>
          <w:szCs w:val="32"/>
        </w:rPr>
      </w:pPr>
    </w:p>
    <w:p>
      <w:pPr>
        <w:pStyle w:val="24"/>
        <w:rPr>
          <w:rFonts w:ascii="Times New Roman" w:eastAsia="Times New Roman" w:hAnsi="Times New Roman"/>
          <w:sz w:val="32"/>
          <w:lang w:eastAsia="zh-CN"/>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hint="eastAsia"/>
          <w:b/>
          <w:sz w:val="32"/>
          <w:szCs w:val="32"/>
        </w:rPr>
      </w:pPr>
    </w:p>
    <w:p>
      <w:pPr>
        <w:autoSpaceDE w:val="0"/>
        <w:autoSpaceDN w:val="0"/>
        <w:adjustRightInd w:val="0"/>
        <w:ind w:leftChars="200" w:left="420"/>
        <w:jc w:val="left"/>
        <w:rPr>
          <w:rFonts w:ascii="Times New Roman" w:eastAsia="方正仿宋_GBK" w:cs="Times New Roman" w:hAnsi="Times New Roman"/>
          <w:b/>
          <w:sz w:val="32"/>
          <w:szCs w:val="32"/>
        </w:rPr>
      </w:pPr>
      <w:bookmarkStart w:id="4" w:name="_Toc29484630"/>
      <w:bookmarkEnd w:id="4"/>
      <w:r>
        <w:rPr>
          <w:rFonts w:ascii="Times New Roman" w:eastAsia="方正仿宋_GBK" w:cs="Times New Roman" w:hAnsi="Times New Roman" w:hint="eastAsia"/>
          <w:b/>
          <w:vanish/>
          <w:sz w:val="32"/>
          <w:szCs w:val="32"/>
        </w:rPr>
        <w:t>{ TC 工作保障措施 \f A \l 1 }</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第二部分  预算项目绩效目标</w:t>
      </w:r>
    </w:p>
    <w:p>
      <w:pPr>
        <w:pStyle w:val="25"/>
        <w:numPr>
          <w:ilvl w:val="0"/>
          <w:numId w:val="4"/>
        </w:numPr>
        <w:ind w:firstLineChars="0"/>
        <w:jc w:val="left"/>
        <w:outlineLvl w:val="1"/>
        <w:rPr>
          <w:rFonts w:ascii="方正仿宋_GBK" w:eastAsia="方正仿宋_GBK" w:cs="方正仿宋_GBK" w:hAnsi="方正仿宋_GBK"/>
          <w:b/>
          <w:sz w:val="28"/>
        </w:rPr>
      </w:pPr>
      <w:bookmarkEnd w:id="0"/>
      <w:r>
        <w:rPr>
          <w:rFonts w:ascii="方正仿宋_GBK" w:eastAsia="方正仿宋_GBK" w:cs="方正仿宋_GBK" w:hAnsi="方正仿宋_GBK" w:hint="eastAsia"/>
          <w:b/>
          <w:sz w:val="28"/>
        </w:rPr>
        <w:t>审计工作经费绩效目标表</w:t>
      </w:r>
      <w:bookmarkStart w:id="5" w:name="_Toc3517"/>
      <w:r>
        <w:rPr>
          <w:rFonts w:ascii="方正仿宋_GBK" w:eastAsia="方正仿宋_GBK" w:cs="方正仿宋_GBK" w:hAnsi="方正仿宋_GBK" w:hint="eastAsia"/>
          <w:b/>
          <w:vanish/>
          <w:sz w:val="28"/>
        </w:rPr>
        <w:t>{ TC 1、审计工作经费绩效目标表 \f C \l 1 }</w:t>
      </w:r>
      <w:bookmarkEnd w:id="5"/>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319-0101-JXN-4GW5</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审计工作经费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600000.00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600000.00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外聘劳务人员</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25.00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50.00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75.00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1、完成局委托专项工作审计计划</w:t>
            </w:r>
          </w:p>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2、完成局交办其他工作任务</w:t>
            </w:r>
          </w:p>
        </w:tc>
      </w:tr>
    </w:tbl>
    <w:p>
      <w:pPr>
        <w:spacing w:line="14" w:lineRule="exact"/>
        <w:ind w:firstLineChars="200" w:firstLine="420"/>
        <w:jc w:val="center"/>
        <w:rPr>
          <w:rFonts w:ascii="Times New Roman" w:cs="宋体" w:hAnsi="宋体"/>
          <w:b w:val="0"/>
          <w:bCs/>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一级指标</w:t>
            </w:r>
          </w:p>
        </w:tc>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二级指标</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三级指标</w:t>
            </w:r>
          </w:p>
        </w:tc>
        <w:tc>
          <w:tcPr>
            <w:tcW w:w="2892"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绩效指标描述</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w:t>
            </w:r>
          </w:p>
        </w:tc>
        <w:tc>
          <w:tcPr>
            <w:tcW w:w="1701"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指标值确定依据</w:t>
            </w:r>
          </w:p>
        </w:tc>
      </w:tr>
      <w:tr>
        <w:trPr>
          <w:cantSplit/>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监督检查覆盖率（%）</w:t>
            </w:r>
          </w:p>
          <w:p>
            <w:pPr>
              <w:spacing w:line="300" w:lineRule="exact"/>
              <w:jc w:val="left"/>
              <w:rPr>
                <w:rFonts w:ascii="方正书宋_GBK" w:eastAsia="方正书宋_GBK" w:cs="方正书宋_GBK" w:hAnsi="方正书宋_GBK" w:hint="eastAsia"/>
                <w:b w:val="0"/>
                <w:bCs/>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实际开展监督检查的对象数量占应监管对象总数的比率</w:t>
            </w:r>
          </w:p>
          <w:p>
            <w:pPr>
              <w:spacing w:line="300" w:lineRule="exact"/>
              <w:jc w:val="left"/>
              <w:rPr>
                <w:rFonts w:ascii="方正书宋_GBK" w:eastAsia="方正书宋_GBK" w:cs="方正书宋_GBK" w:hAnsi="方正书宋_GBK" w:hint="eastAsia"/>
                <w:b w:val="0"/>
                <w:bCs/>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开展监督检查的对象数量</w:t>
            </w:r>
          </w:p>
          <w:p>
            <w:pPr>
              <w:spacing w:line="300" w:lineRule="exact"/>
              <w:jc w:val="left"/>
              <w:rPr>
                <w:rFonts w:ascii="方正书宋_GBK" w:eastAsia="方正书宋_GBK" w:cs="方正书宋_GBK" w:hAnsi="方正书宋_GBK"/>
                <w:b w:val="0"/>
                <w:bCs/>
              </w:rPr>
            </w:pP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质量指标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监督检查的质量</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报告质量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年度审计计划</w:t>
            </w: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时效指标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按期完成率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审计计划完成数量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年度审计计划</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社会效益指标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审计建议采纳率（%）</w:t>
            </w:r>
          </w:p>
          <w:p>
            <w:pPr>
              <w:spacing w:line="300" w:lineRule="exact"/>
              <w:jc w:val="left"/>
              <w:rPr>
                <w:rFonts w:ascii="方正书宋_GBK" w:eastAsia="方正书宋_GBK" w:cs="方正书宋_GBK" w:hAnsi="方正书宋_GBK"/>
                <w:b w:val="0"/>
                <w:bCs/>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被采纳的审计建议占全部审计建议的比率</w:t>
            </w:r>
          </w:p>
          <w:p>
            <w:pPr>
              <w:spacing w:line="300" w:lineRule="exact"/>
              <w:jc w:val="left"/>
              <w:rPr>
                <w:rFonts w:ascii="方正书宋_GBK" w:eastAsia="方正书宋_GBK" w:cs="方正书宋_GBK" w:hAnsi="方正书宋_GBK"/>
                <w:b w:val="0"/>
                <w:bCs/>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实际被采纳的审计建议</w:t>
            </w:r>
          </w:p>
          <w:p>
            <w:pPr>
              <w:spacing w:line="300" w:lineRule="exact"/>
              <w:jc w:val="left"/>
              <w:rPr>
                <w:rFonts w:ascii="方正书宋_GBK" w:eastAsia="方正书宋_GBK" w:cs="方正书宋_GBK" w:hAnsi="方正书宋_GBK"/>
                <w:b w:val="0"/>
                <w:bCs/>
              </w:rPr>
            </w:pP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服务对象满意度（%）</w:t>
            </w:r>
          </w:p>
          <w:p>
            <w:pPr>
              <w:spacing w:line="300" w:lineRule="exact"/>
              <w:jc w:val="left"/>
              <w:rPr>
                <w:rFonts w:ascii="方正书宋_GBK" w:eastAsia="方正书宋_GBK" w:cs="方正书宋_GBK" w:hAnsi="方正书宋_GBK"/>
                <w:b w:val="0"/>
                <w:bCs/>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调查中满意和较满意的人数占调查总人数的比率</w:t>
            </w:r>
          </w:p>
          <w:p>
            <w:pPr>
              <w:spacing w:line="300" w:lineRule="exact"/>
              <w:jc w:val="left"/>
              <w:rPr>
                <w:rFonts w:ascii="方正书宋_GBK" w:eastAsia="方正书宋_GBK" w:cs="方正书宋_GBK" w:hAnsi="方正书宋_GBK"/>
                <w:b w:val="0"/>
                <w:bCs/>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审计报告整改清况个数</w:t>
            </w:r>
          </w:p>
          <w:p>
            <w:pPr>
              <w:spacing w:line="300" w:lineRule="exact"/>
              <w:jc w:val="left"/>
              <w:rPr>
                <w:rFonts w:ascii="方正书宋_GBK" w:eastAsia="方正书宋_GBK" w:cs="方正书宋_GBK" w:hAnsi="方正书宋_GBK"/>
                <w:b w:val="0"/>
                <w:bCs/>
              </w:rPr>
            </w:pPr>
          </w:p>
        </w:tc>
      </w:tr>
    </w:tbl>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p>
    <w:p>
      <w:pPr>
        <w:ind w:firstLineChars="200" w:firstLine="560"/>
        <w:jc w:val="left"/>
        <w:outlineLvl w:val="1"/>
        <w:rPr>
          <w:rFonts w:ascii="Times New Roman" w:cs="宋体" w:hAnsi="宋体"/>
          <w:b/>
          <w:sz w:val="28"/>
        </w:rPr>
      </w:pPr>
      <w:r>
        <w:rPr>
          <w:rFonts w:ascii="方正仿宋_GBK" w:eastAsia="方正仿宋_GBK" w:cs="方正仿宋_GBK" w:hAnsi="方正仿宋_GBK" w:hint="eastAsia"/>
          <w:b/>
          <w:sz w:val="28"/>
        </w:rPr>
        <w:t>2、审计业务专项经费绩效目标表</w:t>
      </w:r>
      <w:bookmarkStart w:id="6" w:name="_Toc4808"/>
      <w:r>
        <w:rPr>
          <w:rFonts w:ascii="方正仿宋_GBK" w:eastAsia="方正仿宋_GBK" w:cs="方正仿宋_GBK" w:hAnsi="方正仿宋_GBK" w:hint="eastAsia"/>
          <w:b/>
          <w:vanish/>
          <w:sz w:val="28"/>
        </w:rPr>
        <w:t>{ TC 2、审计业务专项经费绩效目标表 \f C \l 1 }</w:t>
      </w:r>
      <w:bookmarkEnd w:id="6"/>
    </w:p>
    <w:p>
      <w:pPr>
        <w:jc w:val="left"/>
        <w:outlineLvl w:val="1"/>
        <w:rPr>
          <w:rFonts w:ascii="方正仿宋_GBK" w:eastAsia="方正仿宋_GBK" w:cs="方正仿宋_GBK" w:hAnsi="方正仿宋_GBK" w:hint="eastAsia"/>
          <w:b/>
          <w:sz w:val="28"/>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319-0101-JXN-1VSY</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审计业务专项经费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lang w:val="en-US" w:eastAsia="zh-CN"/>
              </w:rPr>
              <w:t>45</w:t>
            </w:r>
            <w:r>
              <w:rPr>
                <w:rFonts w:ascii="方正书宋_GBK" w:eastAsia="方正书宋_GBK" w:cs="方正书宋_GBK" w:hAnsi="方正书宋_GBK" w:hint="eastAsia"/>
                <w:b w:val="0"/>
                <w:bCs/>
              </w:rPr>
              <w:t>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lang w:val="en-US" w:eastAsia="zh-CN"/>
              </w:rPr>
              <w:t>45</w:t>
            </w:r>
            <w:r>
              <w:rPr>
                <w:rFonts w:ascii="方正书宋_GBK" w:eastAsia="方正书宋_GBK" w:cs="方正书宋_GBK" w:hAnsi="方正书宋_GBK" w:hint="eastAsia"/>
                <w:b w:val="0"/>
                <w:bCs/>
              </w:rPr>
              <w:t>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完成202</w:t>
            </w:r>
            <w:r>
              <w:rPr>
                <w:rFonts w:ascii="方正书宋_GBK" w:eastAsia="方正书宋_GBK" w:cs="方正书宋_GBK" w:hAnsi="方正书宋_GBK" w:hint="eastAsia"/>
                <w:b w:val="0"/>
                <w:bCs/>
                <w:lang w:val="en-US" w:eastAsia="zh-CN"/>
              </w:rPr>
              <w:t>1</w:t>
            </w:r>
            <w:r>
              <w:rPr>
                <w:rFonts w:ascii="方正书宋_GBK" w:eastAsia="方正书宋_GBK" w:cs="方正书宋_GBK" w:hAnsi="方正书宋_GBK" w:hint="eastAsia"/>
                <w:b w:val="0"/>
                <w:bCs/>
              </w:rPr>
              <w:t>年各项审计计划</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20.00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50.00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70.00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1、增加理论学习，提高业务人员素质，增强审计监督</w:t>
            </w:r>
          </w:p>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增强理论学习，提高审计人员业务水平</w:t>
            </w:r>
          </w:p>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2、增强审计监督</w:t>
            </w:r>
          </w:p>
        </w:tc>
      </w:tr>
    </w:tbl>
    <w:p>
      <w:pPr>
        <w:spacing w:line="14" w:lineRule="exact"/>
        <w:ind w:firstLineChars="200" w:firstLine="420"/>
        <w:jc w:val="center"/>
        <w:rPr>
          <w:rFonts w:ascii="Times New Roman" w:cs="宋体" w:hAnsi="宋体"/>
          <w:b w:val="0"/>
          <w:bCs/>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一级指标</w:t>
            </w:r>
          </w:p>
        </w:tc>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二级指标</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三级指标</w:t>
            </w:r>
          </w:p>
        </w:tc>
        <w:tc>
          <w:tcPr>
            <w:tcW w:w="2892"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绩效指标描述</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w:t>
            </w:r>
          </w:p>
        </w:tc>
        <w:tc>
          <w:tcPr>
            <w:tcW w:w="1701"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指标值确定依据</w:t>
            </w:r>
          </w:p>
        </w:tc>
      </w:tr>
      <w:tr>
        <w:trPr>
          <w:cantSplit/>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监督检查覆盖率（%）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实际开展监督检查的对象数量占应监管对象总数的比率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开展监督检查的对象数量</w:t>
            </w:r>
          </w:p>
          <w:p>
            <w:pPr>
              <w:spacing w:line="300" w:lineRule="exact"/>
              <w:jc w:val="left"/>
              <w:rPr>
                <w:rFonts w:ascii="方正书宋_GBK" w:eastAsia="方正书宋_GBK" w:cs="方正书宋_GBK" w:hAnsi="方正书宋_GBK"/>
                <w:b w:val="0"/>
                <w:bCs/>
              </w:rPr>
            </w:pP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质量指标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监督检查的质量</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报告质量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年度工作计划</w:t>
            </w: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时效指标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按期完成率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审计计划完成数量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年度工作计划</w:t>
            </w:r>
          </w:p>
        </w:tc>
      </w:tr>
      <w:tr>
        <w:trPr>
          <w:cantSplit/>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社会效益指标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被采纳的审计建议占全部审计建议的比率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实际被采纳的审计建议</w:t>
            </w:r>
          </w:p>
          <w:p>
            <w:pPr>
              <w:spacing w:line="300" w:lineRule="exact"/>
              <w:jc w:val="left"/>
              <w:rPr>
                <w:rFonts w:ascii="方正书宋_GBK" w:eastAsia="方正书宋_GBK" w:cs="方正书宋_GBK" w:hAnsi="方正书宋_GBK"/>
                <w:b w:val="0"/>
                <w:bCs/>
              </w:rPr>
            </w:pPr>
          </w:p>
          <w:p>
            <w:pPr>
              <w:spacing w:line="300" w:lineRule="exact"/>
              <w:jc w:val="left"/>
              <w:rPr>
                <w:rFonts w:ascii="方正书宋_GBK" w:eastAsia="方正书宋_GBK" w:cs="方正书宋_GBK" w:hAnsi="方正书宋_GBK"/>
                <w:b w:val="0"/>
                <w:bCs/>
              </w:rPr>
            </w:pP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经济效益指标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已整改问题数量占发现问题总数的比率</w:t>
            </w:r>
          </w:p>
          <w:p>
            <w:pPr>
              <w:spacing w:line="300" w:lineRule="exact"/>
              <w:jc w:val="left"/>
              <w:rPr>
                <w:rFonts w:ascii="方正书宋_GBK" w:eastAsia="方正书宋_GBK" w:cs="方正书宋_GBK" w:hAnsi="方正书宋_GBK"/>
                <w:b w:val="0"/>
                <w:bCs/>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已整改的问题数量</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单位满意度</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单位对审计报告质量的满意度</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审计报告个数</w:t>
            </w:r>
          </w:p>
        </w:tc>
      </w:tr>
    </w:tbl>
    <w:p>
      <w:pPr>
        <w:jc w:val="left"/>
        <w:outlineLvl w:val="1"/>
        <w:rPr>
          <w:rFonts w:ascii="方正仿宋_GBK" w:eastAsia="方正仿宋_GBK" w:cs="方正仿宋_GBK" w:hAnsi="方正仿宋_GBK" w:hint="eastAsia"/>
          <w:b/>
          <w:sz w:val="28"/>
        </w:rPr>
      </w:pPr>
    </w:p>
    <w:p>
      <w:pPr>
        <w:jc w:val="left"/>
        <w:outlineLvl w:val="1"/>
        <w:rPr>
          <w:rFonts w:ascii="方正仿宋_GBK" w:eastAsia="方正仿宋_GBK" w:cs="方正仿宋_GBK" w:hAnsi="方正仿宋_GBK" w:hint="eastAsia"/>
          <w:b/>
          <w:sz w:val="28"/>
        </w:rPr>
      </w:pPr>
    </w:p>
    <w:p>
      <w:pPr>
        <w:jc w:val="left"/>
        <w:outlineLvl w:val="1"/>
        <w:rPr>
          <w:rFonts w:ascii="方正仿宋_GBK" w:eastAsia="方正仿宋_GBK" w:cs="方正仿宋_GBK" w:hAnsi="方正仿宋_GBK" w:hint="eastAsia"/>
          <w:b/>
          <w:sz w:val="28"/>
        </w:rPr>
      </w:pPr>
    </w:p>
    <w:p>
      <w:pPr>
        <w:jc w:val="left"/>
        <w:outlineLvl w:val="1"/>
        <w:rPr>
          <w:rFonts w:ascii="方正仿宋_GBK" w:eastAsia="方正仿宋_GBK" w:cs="方正仿宋_GBK" w:hAnsi="方正仿宋_GBK" w:hint="eastAsia"/>
          <w:b/>
          <w:sz w:val="28"/>
        </w:rPr>
      </w:pPr>
    </w:p>
    <w:p>
      <w:pPr>
        <w:jc w:val="left"/>
        <w:outlineLvl w:val="1"/>
        <w:rPr>
          <w:rFonts w:ascii="方正仿宋_GBK" w:eastAsia="方正仿宋_GBK" w:cs="方正仿宋_GBK" w:hAnsi="方正仿宋_GBK" w:hint="eastAsia"/>
          <w:b/>
          <w:sz w:val="28"/>
        </w:rPr>
      </w:pPr>
    </w:p>
    <w:p>
      <w:pPr>
        <w:jc w:val="left"/>
        <w:outlineLvl w:val="1"/>
        <w:rPr>
          <w:rFonts w:ascii="方正仿宋_GBK" w:eastAsia="方正仿宋_GBK" w:cs="方正仿宋_GBK" w:hAnsi="方正仿宋_GBK" w:hint="eastAsia"/>
          <w:b/>
          <w:sz w:val="28"/>
        </w:rPr>
      </w:pPr>
    </w:p>
    <w:p>
      <w:pPr>
        <w:ind w:firstLineChars="200" w:firstLine="560"/>
        <w:jc w:val="left"/>
        <w:outlineLvl w:val="1"/>
        <w:rPr>
          <w:rFonts w:ascii="方正仿宋_GBK" w:eastAsia="方正仿宋_GBK" w:cs="方正仿宋_GBK" w:hAnsi="方正仿宋_GBK" w:hint="eastAsia"/>
          <w:b/>
          <w:sz w:val="28"/>
        </w:rPr>
      </w:pPr>
      <w:r>
        <w:rPr>
          <w:rFonts w:ascii="方正仿宋_GBK" w:eastAsia="方正仿宋_GBK" w:cs="方正仿宋_GBK" w:hAnsi="方正仿宋_GBK" w:hint="eastAsia"/>
          <w:b/>
          <w:sz w:val="28"/>
        </w:rPr>
        <w:t>3、政府基建项目审计业务专项经费绩效目标表</w:t>
      </w:r>
      <w:bookmarkStart w:id="7" w:name="_Toc14194"/>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319-0101-JXN-Y812</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政府基建项目审计业务专项经费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600000.00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600000.00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完成2020年投资审计任务</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15.00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30.00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50.00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1、增强审计监督</w:t>
            </w:r>
          </w:p>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2、提高工程质量</w:t>
            </w:r>
          </w:p>
        </w:tc>
      </w:tr>
    </w:tbl>
    <w:p>
      <w:pPr>
        <w:spacing w:line="14" w:lineRule="exact"/>
        <w:ind w:firstLineChars="200" w:firstLine="420"/>
        <w:jc w:val="center"/>
        <w:rPr>
          <w:rFonts w:ascii="Times New Roman" w:cs="宋体" w:hAnsi="宋体"/>
          <w:b w:val="0"/>
          <w:bCs/>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一级指标</w:t>
            </w:r>
          </w:p>
        </w:tc>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二级指标</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三级指标</w:t>
            </w:r>
          </w:p>
        </w:tc>
        <w:tc>
          <w:tcPr>
            <w:tcW w:w="2892"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绩效指标描述</w:t>
            </w:r>
          </w:p>
        </w:tc>
        <w:tc>
          <w:tcPr>
            <w:tcW w:w="1276"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w:t>
            </w:r>
          </w:p>
        </w:tc>
        <w:tc>
          <w:tcPr>
            <w:tcW w:w="1701"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指标值确定依据</w:t>
            </w:r>
          </w:p>
        </w:tc>
      </w:tr>
      <w:tr>
        <w:trPr>
          <w:cantSplit/>
          <w:trHeight w:val="369"/>
        </w:trPr>
        <w:tc>
          <w:tcPr>
            <w:tcW w:w="1134" w:type="dxa"/>
            <w:vMerge w:val="restart"/>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监督检查次数（次）</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组织开展监督检查的次数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监督检查的次数</w:t>
            </w:r>
          </w:p>
          <w:p>
            <w:pPr>
              <w:spacing w:line="300" w:lineRule="exact"/>
              <w:jc w:val="left"/>
              <w:rPr>
                <w:rFonts w:ascii="方正书宋_GBK" w:eastAsia="方正书宋_GBK" w:cs="方正书宋_GBK" w:hAnsi="方正书宋_GBK"/>
                <w:b w:val="0"/>
                <w:bCs/>
              </w:rPr>
            </w:pP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质量指标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监督检查的质量</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报告质量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lang w:eastAsia="zh-CN"/>
              </w:rPr>
            </w:pPr>
            <w:r>
              <w:rPr>
                <w:rFonts w:ascii="方正书宋_GBK" w:eastAsia="方正书宋_GBK" w:cs="方正书宋_GBK" w:hAnsi="方正书宋_GBK" w:hint="eastAsia"/>
                <w:b w:val="0"/>
                <w:bCs/>
                <w:lang w:eastAsia="zh-CN"/>
              </w:rPr>
              <w:t>年度工作任务</w:t>
            </w: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时效指标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按期完成率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审计计划完成数量</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hint="eastAsia"/>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lang w:eastAsia="zh-CN"/>
              </w:rPr>
              <w:t>年度工作任务</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经济效益指标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被采纳的审计建议占全部审计建议的比率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实际被采纳的审计建议</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val="0"/>
                <w:bCs/>
              </w:rPr>
            </w:pPr>
            <w:r>
              <w:rPr>
                <w:rFonts w:ascii="方正书宋_GBK" w:eastAsia="方正书宋_GBK" w:cs="方正书宋_GBK" w:hAnsi="方正书宋_GBK" w:hint="eastAsia"/>
                <w:b w:val="0"/>
                <w:bCs/>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单位满意度</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单位对审计报告质量的满意度</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val="0"/>
                <w:bCs/>
              </w:rPr>
            </w:pPr>
            <w:r>
              <w:rPr>
                <w:rFonts w:ascii="方正书宋_GBK" w:eastAsia="方正书宋_GBK" w:cs="方正书宋_GBK" w:hAnsi="方正书宋_GBK" w:hint="eastAsia"/>
                <w:b w:val="0"/>
                <w:bCs/>
              </w:rPr>
              <w:t>审计报告个数</w:t>
            </w:r>
          </w:p>
        </w:tc>
      </w:tr>
    </w:tbl>
    <w:p>
      <w:pPr>
        <w:ind w:firstLineChars="200" w:firstLine="560"/>
        <w:jc w:val="left"/>
        <w:outlineLvl w:val="1"/>
        <w:rPr>
          <w:rFonts w:ascii="Times New Roman" w:cs="宋体" w:hAnsi="宋体"/>
          <w:b/>
          <w:sz w:val="28"/>
        </w:rPr>
      </w:pPr>
      <w:r>
        <w:rPr>
          <w:rFonts w:ascii="方正仿宋_GBK" w:eastAsia="方正仿宋_GBK" w:cs="方正仿宋_GBK" w:hAnsi="方正仿宋_GBK" w:hint="eastAsia"/>
          <w:b/>
          <w:vanish/>
          <w:sz w:val="28"/>
        </w:rPr>
        <w:t>{ TC 3、政府基建项目审计业务专项经费绩效目标表 \f C \l 1 }</w:t>
      </w:r>
      <w:bookmarkEnd w:id="7"/>
    </w:p>
    <w:p>
      <w:pPr>
        <w:spacing w:line="300" w:lineRule="exact"/>
        <w:ind w:firstLineChars="200" w:firstLine="420"/>
        <w:jc w:val="left"/>
        <w:rPr>
          <w:rFonts w:ascii="方正书宋_GBK" w:eastAsia="方正书宋_GBK" w:cs="方正书宋_GBK" w:hAnsi="方正书宋_GBK"/>
          <w:b/>
        </w:rPr>
        <w:sectPr>
          <w:pgSz w:w="11906" w:h="16838"/>
          <w:pgMar w:top="1984" w:right="1304" w:bottom="1134" w:left="1304" w:header="851" w:footer="992" w:gutter="0"/>
          <w:cols w:num="1" w:space="720"/>
          <w:docGrid w:type="lines" w:linePitch="312" w:charSpace="0"/>
        </w:sectPr>
      </w:pPr>
    </w:p>
    <w:p>
      <w:pPr>
        <w:autoSpaceDE w:val="0"/>
        <w:autoSpaceDN w:val="0"/>
        <w:adjustRightInd w:val="0"/>
        <w:ind w:firstLineChars="300" w:firstLine="960"/>
        <w:jc w:val="left"/>
        <w:rPr>
          <w:rFonts w:ascii="黑体" w:eastAsia="黑体" w:cs="Times New Roman" w:hAnsi="黑体"/>
          <w:sz w:val="32"/>
          <w:szCs w:val="32"/>
        </w:rPr>
      </w:pPr>
      <w:r>
        <w:rPr>
          <w:rFonts w:ascii="黑体" w:eastAsia="黑体" w:cs="Times New Roman" w:hAnsi="黑体" w:hint="eastAsia"/>
          <w:sz w:val="32"/>
          <w:szCs w:val="32"/>
        </w:rPr>
        <w:t>六、政府采购预算情况</w:t>
      </w:r>
    </w:p>
    <w:p>
      <w:pPr>
        <w:ind w:firstLineChars="200" w:firstLine="640"/>
        <w:outlineLvl w:val="0"/>
        <w:rPr>
          <w:rFonts w:ascii="Times New Roman" w:eastAsia="仿宋" w:cs="Times New Roman" w:hAnsi="Times New Roman"/>
          <w:sz w:val="32"/>
          <w:szCs w:val="24"/>
        </w:rPr>
      </w:pPr>
      <w:bookmarkStart w:id="8" w:name="_Toc471398468"/>
      <w:r>
        <w:rPr>
          <w:rFonts w:ascii="Times New Roman" w:eastAsia="仿宋" w:cs="Times New Roman" w:hAnsi="Times New Roman"/>
          <w:sz w:val="32"/>
          <w:szCs w:val="24"/>
        </w:rPr>
        <w:t xml:space="preserve"> 20</w:t>
      </w:r>
      <w:r>
        <w:rPr>
          <w:rFonts w:ascii="Times New Roman" w:eastAsia="仿宋" w:cs="Times New Roman" w:hAnsi="Times New Roman" w:hint="eastAsia"/>
          <w:sz w:val="32"/>
          <w:szCs w:val="24"/>
        </w:rPr>
        <w:t>21</w:t>
      </w:r>
      <w:r>
        <w:rPr>
          <w:rFonts w:ascii="Times New Roman" w:eastAsia="仿宋" w:cs="Times New Roman" w:hAnsi="Times New Roman"/>
          <w:sz w:val="32"/>
          <w:szCs w:val="24"/>
        </w:rPr>
        <w:t>年，</w:t>
      </w:r>
      <w:r>
        <w:rPr>
          <w:rFonts w:ascii="Times New Roman" w:eastAsia="仿宋" w:cs="Times New Roman" w:hAnsi="Times New Roman" w:hint="eastAsia"/>
          <w:sz w:val="32"/>
          <w:szCs w:val="24"/>
        </w:rPr>
        <w:t>我部门</w:t>
      </w:r>
      <w:r>
        <w:rPr>
          <w:rFonts w:ascii="Times New Roman" w:eastAsia="仿宋" w:cs="Times New Roman" w:hAnsi="Times New Roman"/>
          <w:sz w:val="32"/>
          <w:szCs w:val="24"/>
        </w:rPr>
        <w:t>安排政府采购预算</w:t>
      </w:r>
      <w:r>
        <w:rPr>
          <w:rFonts w:ascii="Times New Roman" w:eastAsia="仿宋" w:cs="Times New Roman" w:hAnsi="Times New Roman" w:hint="eastAsia"/>
          <w:sz w:val="32"/>
          <w:szCs w:val="24"/>
        </w:rPr>
        <w:t>3</w:t>
      </w:r>
      <w:r>
        <w:rPr>
          <w:rFonts w:ascii="Times New Roman" w:eastAsia="仿宋" w:cs="Times New Roman" w:hAnsi="Times New Roman"/>
          <w:sz w:val="32"/>
          <w:szCs w:val="24"/>
        </w:rPr>
        <w:t>万元。具体内容见下表。</w:t>
      </w:r>
      <w:bookmarkEnd w:id="8"/>
    </w:p>
    <w:p>
      <w:pPr>
        <w:ind w:firstLineChars="200" w:firstLine="640"/>
        <w:jc w:val="center"/>
        <w:outlineLvl w:val="0"/>
        <w:rPr>
          <w:rFonts w:ascii="Times New Roman" w:cs="宋体" w:hAnsi="宋体"/>
          <w:b/>
          <w:sz w:val="32"/>
        </w:rPr>
      </w:pPr>
      <w:r>
        <w:rPr>
          <w:rFonts w:ascii="方正小标宋_GBK" w:eastAsia="方正小标宋_GBK" w:cs="方正小标宋_GBK" w:hAnsi="方正小标宋_GBK" w:hint="eastAsia"/>
          <w:b/>
          <w:sz w:val="32"/>
        </w:rPr>
        <w:t>部门政府采购预算</w:t>
      </w:r>
      <w:bookmarkStart w:id="9" w:name="_Toc6296"/>
      <w:bookmarkStart w:id="10" w:name="_Toc30768"/>
      <w:r>
        <w:rPr>
          <w:rFonts w:ascii="方正小标宋_GBK" w:eastAsia="方正小标宋_GBK" w:cs="方正小标宋_GBK" w:hAnsi="方正小标宋_GBK" w:hint="eastAsia"/>
          <w:b/>
          <w:vanish/>
          <w:sz w:val="32"/>
        </w:rPr>
        <w:t>{ TC 部门政府采购预算 \f A \l 1 }</w:t>
      </w:r>
      <w:bookmarkEnd w:id="9"/>
      <w:bookmarkEnd w:id="10"/>
    </w:p>
    <w:tbl>
      <w:tblPr>
        <w:jc w:val="center"/>
        <w:tblW w:w="155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84"/>
        <w:gridCol w:w="1134"/>
        <w:gridCol w:w="1531"/>
        <w:gridCol w:w="1531"/>
        <w:gridCol w:w="709"/>
        <w:gridCol w:w="907"/>
        <w:gridCol w:w="907"/>
        <w:gridCol w:w="1134"/>
        <w:gridCol w:w="1134"/>
        <w:gridCol w:w="1134"/>
        <w:gridCol w:w="1134"/>
        <w:gridCol w:w="1134"/>
        <w:gridCol w:w="1134"/>
      </w:tblGrid>
      <w:tr>
        <w:trPr>
          <w:cantSplit/>
          <w:tblHeader/>
        </w:trPr>
        <w:tc>
          <w:tcPr>
            <w:tcW w:w="8703" w:type="dxa"/>
            <w:gridSpan w:val="7"/>
            <w:tcBorders>
              <w:top w:val="single" w:sz="6" w:space="0" w:color="FFFFFF"/>
              <w:left w:val="single" w:sz="6" w:space="0" w:color="FFFFFF"/>
              <w:right w:val="single" w:sz="6" w:space="0" w:color="FFFFFF"/>
            </w:tcBorders>
            <w:noWrap/>
            <w:vAlign w:val="center"/>
          </w:tcPr>
          <w:p>
            <w:pPr>
              <w:spacing w:line="300" w:lineRule="exact"/>
              <w:jc w:val="left"/>
              <w:rPr>
                <w:rFonts w:ascii="方正小标宋_GBK" w:eastAsia="方正小标宋_GBK" w:cs="方正小标宋_GBK" w:hAnsi="方正小标宋_GBK"/>
                <w:b/>
                <w:sz w:val="24"/>
              </w:rPr>
            </w:pPr>
            <w:r>
              <w:rPr>
                <w:rFonts w:ascii="方正小标宋_GBK" w:eastAsia="方正小标宋_GBK" w:cs="方正小标宋_GBK" w:hAnsi="方正小标宋_GBK" w:hint="eastAsia"/>
                <w:b/>
                <w:sz w:val="24"/>
              </w:rPr>
              <w:t>319隆尧县审计局</w:t>
            </w:r>
          </w:p>
        </w:tc>
        <w:tc>
          <w:tcPr>
            <w:tcW w:w="6804" w:type="dxa"/>
            <w:gridSpan w:val="6"/>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sz w:val="24"/>
              </w:rPr>
            </w:pPr>
            <w:r>
              <w:rPr>
                <w:rFonts w:ascii="方正书宋_GBK" w:eastAsia="方正书宋_GBK" w:cs="方正书宋_GBK" w:hAnsi="方正书宋_GBK" w:hint="eastAsia"/>
                <w:b/>
                <w:sz w:val="24"/>
              </w:rPr>
              <w:t>单位：万元</w:t>
            </w:r>
          </w:p>
        </w:tc>
      </w:tr>
      <w:tr>
        <w:trPr>
          <w:cantSplit/>
          <w:tblHeader/>
        </w:trPr>
        <w:tc>
          <w:tcPr>
            <w:tcW w:w="3118" w:type="dxa"/>
            <w:gridSpan w:val="2"/>
            <w:noWrap/>
            <w:vAlign w:val="center"/>
          </w:tcPr>
          <w:p>
            <w:pPr>
              <w:spacing w:line="300" w:lineRule="exact"/>
              <w:jc w:val="left"/>
              <w:rPr>
                <w:rFonts w:ascii="方正书宋_GBK" w:eastAsia="方正书宋_GBK"/>
              </w:rPr>
            </w:pPr>
            <w:r>
              <w:rPr>
                <w:rFonts w:ascii="方正书宋_GBK" w:eastAsia="方正书宋_GBK" w:hint="eastAsia"/>
              </w:rPr>
              <w:t>政府采购项目来源</w:t>
            </w:r>
          </w:p>
        </w:tc>
        <w:tc>
          <w:tcPr>
            <w:tcW w:w="1531" w:type="dxa"/>
            <w:vMerge w:val="restart"/>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采购物品名称</w:t>
            </w:r>
          </w:p>
        </w:tc>
        <w:tc>
          <w:tcPr>
            <w:tcW w:w="1531" w:type="dxa"/>
            <w:vMerge w:val="restart"/>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政府采购目录序号</w:t>
            </w:r>
          </w:p>
        </w:tc>
        <w:tc>
          <w:tcPr>
            <w:tcW w:w="709" w:type="dxa"/>
            <w:vMerge w:val="restart"/>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计量  单位</w:t>
            </w:r>
          </w:p>
        </w:tc>
        <w:tc>
          <w:tcPr>
            <w:tcW w:w="907" w:type="dxa"/>
            <w:vMerge w:val="restart"/>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数量</w:t>
            </w:r>
          </w:p>
        </w:tc>
        <w:tc>
          <w:tcPr>
            <w:tcW w:w="907" w:type="dxa"/>
            <w:vMerge w:val="restart"/>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单价</w:t>
            </w:r>
          </w:p>
        </w:tc>
        <w:tc>
          <w:tcPr>
            <w:tcW w:w="6804" w:type="dxa"/>
            <w:gridSpan w:val="6"/>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政府采购金额（当年部门预算安排资金）</w:t>
            </w:r>
          </w:p>
        </w:tc>
      </w:tr>
      <w:tr>
        <w:trPr>
          <w:cantSplit/>
          <w:tblHeader/>
        </w:trPr>
        <w:tc>
          <w:tcPr>
            <w:tcW w:w="1984" w:type="dxa"/>
            <w:noWrap/>
            <w:vAlign w:val="center"/>
          </w:tcPr>
          <w:p>
            <w:pPr>
              <w:spacing w:line="300" w:lineRule="exact"/>
              <w:jc w:val="left"/>
              <w:rPr>
                <w:rFonts w:ascii="方正书宋_GBK" w:eastAsia="方正书宋_GBK"/>
              </w:rPr>
            </w:pPr>
            <w:r>
              <w:rPr>
                <w:rFonts w:ascii="方正书宋_GBK" w:eastAsia="方正书宋_GBK" w:hint="eastAsia"/>
              </w:rPr>
              <w:t>项目名称</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预算资金</w:t>
            </w:r>
          </w:p>
        </w:tc>
        <w:tc>
          <w:tcPr>
            <w:tcW w:w="1531" w:type="dxa"/>
            <w:vMerge/>
            <w:tcBorders>
              <w:left w:val="single" w:sz="6" w:space="0" w:color="000000"/>
            </w:tcBorders>
            <w:noWrap/>
          </w:tcPr>
          <w:p/>
        </w:tc>
        <w:tc>
          <w:tcPr>
            <w:tcW w:w="1531" w:type="dxa"/>
            <w:vMerge/>
            <w:tcBorders>
              <w:left w:val="single" w:sz="6" w:space="0" w:color="000000"/>
            </w:tcBorders>
            <w:noWrap/>
          </w:tcPr>
          <w:p/>
        </w:tc>
        <w:tc>
          <w:tcPr>
            <w:tcW w:w="709" w:type="dxa"/>
            <w:vMerge/>
            <w:tcBorders>
              <w:left w:val="single" w:sz="6" w:space="0" w:color="000000"/>
            </w:tcBorders>
            <w:noWrap/>
          </w:tcPr>
          <w:p/>
        </w:tc>
        <w:tc>
          <w:tcPr>
            <w:tcW w:w="907" w:type="dxa"/>
            <w:vMerge/>
            <w:tcBorders>
              <w:left w:val="single" w:sz="6" w:space="0" w:color="000000"/>
            </w:tcBorders>
            <w:noWrap/>
          </w:tcPr>
          <w:p/>
        </w:tc>
        <w:tc>
          <w:tcPr>
            <w:tcW w:w="907" w:type="dxa"/>
            <w:vMerge/>
            <w:tcBorders>
              <w:left w:val="single" w:sz="6" w:space="0" w:color="000000"/>
            </w:tcBorders>
            <w:noWrap/>
          </w:tcP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合计</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一般公共预算拨款</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基金预算拨款</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国有资本经营预算拨款</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财政专户核拨</w:t>
            </w:r>
          </w:p>
        </w:tc>
        <w:tc>
          <w:tcPr>
            <w:tcW w:w="1134"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其他来源收入</w:t>
            </w:r>
          </w:p>
        </w:tc>
      </w:tr>
      <w:tr>
        <w:trPr>
          <w:cantSplit/>
        </w:trPr>
        <w:tc>
          <w:tcPr>
            <w:tcW w:w="1984" w:type="dxa"/>
            <w:noWrap/>
            <w:vAlign w:val="center"/>
          </w:tcPr>
          <w:p>
            <w:pPr>
              <w:spacing w:line="300" w:lineRule="exact"/>
              <w:jc w:val="left"/>
              <w:rPr>
                <w:rFonts w:ascii="方正书宋_GBK" w:eastAsia="方正书宋_GBK"/>
              </w:rPr>
            </w:pPr>
            <w:r>
              <w:rPr>
                <w:rFonts w:ascii="方正书宋_GBK" w:eastAsia="方正书宋_GBK" w:hint="eastAsia"/>
              </w:rPr>
              <w:t>隆尧县审计局小计</w:t>
            </w:r>
          </w:p>
        </w:tc>
        <w:tc>
          <w:tcPr>
            <w:tcW w:w="1134" w:type="dxa"/>
            <w:tcBorders>
              <w:left w:val="single" w:sz="6" w:space="0" w:color="000000"/>
            </w:tcBorders>
            <w:noWrap/>
            <w:vAlign w:val="center"/>
          </w:tcPr>
          <w:p>
            <w:pPr>
              <w:spacing w:line="300" w:lineRule="exact"/>
              <w:jc w:val="left"/>
              <w:rPr>
                <w:rFonts w:ascii="方正书宋_GBK" w:eastAsia="方正书宋_GBK"/>
              </w:rPr>
            </w:pPr>
          </w:p>
        </w:tc>
        <w:tc>
          <w:tcPr>
            <w:tcW w:w="1531" w:type="dxa"/>
            <w:tcBorders>
              <w:left w:val="single" w:sz="6" w:space="0" w:color="000000"/>
            </w:tcBorders>
            <w:noWrap/>
            <w:vAlign w:val="center"/>
          </w:tcPr>
          <w:p>
            <w:pPr>
              <w:spacing w:line="300" w:lineRule="exact"/>
              <w:jc w:val="left"/>
              <w:rPr>
                <w:rFonts w:ascii="方正书宋_GBK" w:eastAsia="方正书宋_GBK"/>
              </w:rPr>
            </w:pPr>
          </w:p>
        </w:tc>
        <w:tc>
          <w:tcPr>
            <w:tcW w:w="1531" w:type="dxa"/>
            <w:tcBorders>
              <w:left w:val="single" w:sz="6" w:space="0" w:color="000000"/>
            </w:tcBorders>
            <w:noWrap/>
            <w:vAlign w:val="center"/>
          </w:tcPr>
          <w:p>
            <w:pPr>
              <w:spacing w:line="300" w:lineRule="exact"/>
              <w:jc w:val="left"/>
              <w:rPr>
                <w:rFonts w:ascii="方正书宋_GBK" w:eastAsia="方正书宋_GBK"/>
              </w:rPr>
            </w:pPr>
          </w:p>
        </w:tc>
        <w:tc>
          <w:tcPr>
            <w:tcW w:w="709" w:type="dxa"/>
            <w:tcBorders>
              <w:left w:val="single" w:sz="6" w:space="0" w:color="000000"/>
            </w:tcBorders>
            <w:noWrap/>
            <w:vAlign w:val="center"/>
          </w:tcPr>
          <w:p>
            <w:pPr>
              <w:spacing w:line="300" w:lineRule="exact"/>
              <w:jc w:val="left"/>
              <w:rPr>
                <w:rFonts w:ascii="方正书宋_GBK" w:eastAsia="方正书宋_GBK"/>
              </w:rPr>
            </w:pPr>
          </w:p>
        </w:tc>
        <w:tc>
          <w:tcPr>
            <w:tcW w:w="907" w:type="dxa"/>
            <w:tcBorders>
              <w:left w:val="single" w:sz="6" w:space="0" w:color="000000"/>
            </w:tcBorders>
            <w:noWrap/>
            <w:vAlign w:val="center"/>
          </w:tcPr>
          <w:p>
            <w:pPr>
              <w:spacing w:line="300" w:lineRule="exact"/>
              <w:jc w:val="left"/>
              <w:rPr>
                <w:rFonts w:ascii="方正书宋_GBK" w:eastAsia="方正书宋_GBK"/>
              </w:rPr>
            </w:pPr>
          </w:p>
        </w:tc>
        <w:tc>
          <w:tcPr>
            <w:tcW w:w="907" w:type="dxa"/>
            <w:tcBorders>
              <w:left w:val="single" w:sz="6" w:space="0" w:color="000000"/>
            </w:tcBorders>
            <w:noWrap/>
            <w:vAlign w:val="center"/>
          </w:tcPr>
          <w:p>
            <w:pPr>
              <w:spacing w:line="300" w:lineRule="exact"/>
              <w:jc w:val="lef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3</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3</w:t>
            </w:r>
          </w:p>
        </w:tc>
        <w:tc>
          <w:tcPr>
            <w:tcW w:w="1134" w:type="dxa"/>
            <w:tcBorders>
              <w:left w:val="single" w:sz="6" w:space="0" w:color="000000"/>
            </w:tcBorders>
            <w:noWrap/>
            <w:vAlign w:val="center"/>
          </w:tcPr>
          <w:p>
            <w:pPr>
              <w:spacing w:line="300" w:lineRule="exact"/>
              <w:jc w:val="left"/>
              <w:rPr>
                <w:rFonts w:ascii="方正书宋_GBK" w:eastAsia="方正书宋_GBK"/>
              </w:rPr>
            </w:pPr>
          </w:p>
        </w:tc>
        <w:tc>
          <w:tcPr>
            <w:tcW w:w="1134" w:type="dxa"/>
            <w:tcBorders>
              <w:left w:val="single" w:sz="6" w:space="0" w:color="000000"/>
            </w:tcBorders>
            <w:noWrap/>
            <w:vAlign w:val="center"/>
          </w:tcPr>
          <w:p>
            <w:pPr>
              <w:spacing w:line="300" w:lineRule="exact"/>
              <w:jc w:val="left"/>
              <w:rPr>
                <w:rFonts w:ascii="方正书宋_GBK" w:eastAsia="方正书宋_GBK"/>
              </w:rPr>
            </w:pPr>
          </w:p>
        </w:tc>
        <w:tc>
          <w:tcPr>
            <w:tcW w:w="1134" w:type="dxa"/>
            <w:tcBorders>
              <w:left w:val="single" w:sz="6" w:space="0" w:color="000000"/>
            </w:tcBorders>
            <w:noWrap/>
            <w:vAlign w:val="center"/>
          </w:tcPr>
          <w:p>
            <w:pPr>
              <w:spacing w:line="300" w:lineRule="exact"/>
              <w:jc w:val="left"/>
              <w:rPr>
                <w:rFonts w:ascii="方正书宋_GBK" w:eastAsia="方正书宋_GBK"/>
              </w:rPr>
            </w:pPr>
          </w:p>
        </w:tc>
        <w:tc>
          <w:tcPr>
            <w:tcW w:w="1134" w:type="dxa"/>
            <w:tcBorders>
              <w:left w:val="single" w:sz="6" w:space="0" w:color="000000"/>
            </w:tcBorders>
            <w:noWrap/>
            <w:vAlign w:val="center"/>
          </w:tcPr>
          <w:p>
            <w:pPr>
              <w:spacing w:line="300" w:lineRule="exact"/>
              <w:jc w:val="left"/>
              <w:rPr>
                <w:rFonts w:ascii="方正书宋_GBK" w:eastAsia="方正书宋_GBK"/>
              </w:rPr>
            </w:pPr>
          </w:p>
        </w:tc>
      </w:tr>
      <w:tr>
        <w:trPr>
          <w:cantSplit/>
        </w:trPr>
        <w:tc>
          <w:tcPr>
            <w:tcW w:w="1984" w:type="dxa"/>
            <w:noWrap/>
            <w:vAlign w:val="center"/>
          </w:tcPr>
          <w:p>
            <w:pPr>
              <w:spacing w:line="300" w:lineRule="exact"/>
              <w:jc w:val="left"/>
              <w:rPr>
                <w:rFonts w:ascii="方正书宋_GBK" w:eastAsia="方正书宋_GBK"/>
              </w:rPr>
            </w:pPr>
            <w:r>
              <w:rPr>
                <w:rFonts w:ascii="方正书宋_GBK" w:eastAsia="方正书宋_GBK" w:hint="eastAsia"/>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45.00</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台式计算机</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A02010104</w:t>
            </w:r>
          </w:p>
        </w:tc>
        <w:tc>
          <w:tcPr>
            <w:tcW w:w="709" w:type="dxa"/>
            <w:tcBorders>
              <w:left w:val="single" w:sz="6" w:space="0" w:color="000000"/>
            </w:tcBorders>
            <w:noWrap/>
            <w:vAlign w:val="center"/>
          </w:tcPr>
          <w:p>
            <w:pPr>
              <w:spacing w:line="300" w:lineRule="exact"/>
              <w:jc w:val="center"/>
              <w:rPr>
                <w:rFonts w:ascii="方正书宋_GBK" w:eastAsia="方正书宋_GBK"/>
              </w:rPr>
            </w:pPr>
            <w:r>
              <w:rPr>
                <w:rFonts w:ascii="方正书宋_GBK" w:eastAsia="方正书宋_GBK" w:hint="eastAsia"/>
              </w:rPr>
              <w:t>台</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3</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0.46</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1.38</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1.38</w:t>
            </w: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r>
      <w:tr>
        <w:trPr>
          <w:cantSplit/>
          <w:trHeight w:val="415"/>
        </w:trPr>
        <w:tc>
          <w:tcPr>
            <w:tcW w:w="1984" w:type="dxa"/>
            <w:noWrap/>
            <w:vAlign w:val="center"/>
          </w:tcPr>
          <w:p>
            <w:pPr>
              <w:spacing w:line="300" w:lineRule="exact"/>
              <w:jc w:val="left"/>
              <w:rPr>
                <w:rFonts w:ascii="方正书宋_GBK" w:eastAsia="方正书宋_GBK"/>
              </w:rPr>
            </w:pPr>
            <w:r>
              <w:rPr>
                <w:rFonts w:ascii="方正书宋_GBK" w:eastAsia="方正书宋_GBK" w:hint="eastAsia"/>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45.00</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便携式计算机</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rPr>
              <w:t>A02010105</w:t>
            </w:r>
          </w:p>
        </w:tc>
        <w:tc>
          <w:tcPr>
            <w:tcW w:w="709" w:type="dxa"/>
            <w:tcBorders>
              <w:left w:val="single" w:sz="6" w:space="0" w:color="000000"/>
            </w:tcBorders>
            <w:noWrap/>
            <w:vAlign w:val="center"/>
          </w:tcPr>
          <w:p>
            <w:pPr>
              <w:spacing w:line="300" w:lineRule="exact"/>
              <w:jc w:val="center"/>
              <w:rPr>
                <w:rFonts w:ascii="方正书宋_GBK" w:eastAsia="方正书宋_GBK"/>
              </w:rPr>
            </w:pPr>
            <w:r>
              <w:rPr>
                <w:rFonts w:ascii="方正书宋_GBK" w:eastAsia="方正书宋_GBK" w:hint="eastAsia"/>
              </w:rPr>
              <w:t>台</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3</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 xml:space="preserve">0.49 </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1.47</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1.47</w:t>
            </w: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r>
      <w:tr>
        <w:trPr>
          <w:cantSplit/>
        </w:trPr>
        <w:tc>
          <w:tcPr>
            <w:tcW w:w="1984" w:type="dxa"/>
            <w:noWrap/>
            <w:vAlign w:val="center"/>
          </w:tcPr>
          <w:p>
            <w:pPr>
              <w:spacing w:line="300" w:lineRule="exact"/>
              <w:jc w:val="left"/>
              <w:rPr>
                <w:rFonts w:ascii="方正书宋_GBK" w:eastAsia="方正书宋_GBK"/>
              </w:rPr>
            </w:pPr>
            <w:r>
              <w:rPr>
                <w:rFonts w:ascii="方正书宋_GBK" w:eastAsia="方正书宋_GBK" w:hint="eastAsia"/>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45.00</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hint="eastAsia"/>
              </w:rPr>
              <w:t>多功能一体机</w:t>
            </w:r>
          </w:p>
        </w:tc>
        <w:tc>
          <w:tcPr>
            <w:tcW w:w="1531" w:type="dxa"/>
            <w:tcBorders>
              <w:left w:val="single" w:sz="6" w:space="0" w:color="000000"/>
            </w:tcBorders>
            <w:noWrap/>
            <w:vAlign w:val="center"/>
          </w:tcPr>
          <w:p>
            <w:pPr>
              <w:spacing w:line="300" w:lineRule="exact"/>
              <w:jc w:val="left"/>
              <w:rPr>
                <w:rFonts w:ascii="方正书宋_GBK" w:eastAsia="方正书宋_GBK"/>
              </w:rPr>
            </w:pPr>
            <w:r>
              <w:rPr>
                <w:rFonts w:ascii="方正书宋_GBK" w:eastAsia="方正书宋_GBK"/>
              </w:rPr>
              <w:t>A020204</w:t>
            </w:r>
          </w:p>
        </w:tc>
        <w:tc>
          <w:tcPr>
            <w:tcW w:w="709" w:type="dxa"/>
            <w:tcBorders>
              <w:left w:val="single" w:sz="6" w:space="0" w:color="000000"/>
            </w:tcBorders>
            <w:noWrap/>
            <w:vAlign w:val="center"/>
          </w:tcPr>
          <w:p>
            <w:pPr>
              <w:spacing w:line="300" w:lineRule="exact"/>
              <w:jc w:val="center"/>
              <w:rPr>
                <w:rFonts w:ascii="方正书宋_GBK" w:eastAsia="方正书宋_GBK"/>
              </w:rPr>
            </w:pPr>
            <w:r>
              <w:rPr>
                <w:rFonts w:ascii="方正书宋_GBK" w:eastAsia="方正书宋_GBK" w:hint="eastAsia"/>
              </w:rPr>
              <w:t>台</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1</w:t>
            </w:r>
          </w:p>
        </w:tc>
        <w:tc>
          <w:tcPr>
            <w:tcW w:w="907"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rPr>
              <w:t>0.</w:t>
            </w:r>
            <w:r>
              <w:rPr>
                <w:rFonts w:ascii="方正书宋_GBK" w:eastAsia="方正书宋_GBK" w:hint="eastAsia"/>
              </w:rPr>
              <w:t>15</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0.15</w:t>
            </w:r>
          </w:p>
        </w:tc>
        <w:tc>
          <w:tcPr>
            <w:tcW w:w="1134" w:type="dxa"/>
            <w:tcBorders>
              <w:left w:val="single" w:sz="6" w:space="0" w:color="000000"/>
            </w:tcBorders>
            <w:noWrap/>
            <w:vAlign w:val="center"/>
          </w:tcPr>
          <w:p>
            <w:pPr>
              <w:spacing w:line="300" w:lineRule="exact"/>
              <w:jc w:val="right"/>
              <w:rPr>
                <w:rFonts w:ascii="方正书宋_GBK" w:eastAsia="方正书宋_GBK"/>
              </w:rPr>
            </w:pPr>
            <w:r>
              <w:rPr>
                <w:rFonts w:ascii="方正书宋_GBK" w:eastAsia="方正书宋_GBK" w:hint="eastAsia"/>
              </w:rPr>
              <w:t>0.15</w:t>
            </w: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c>
          <w:tcPr>
            <w:tcW w:w="1134" w:type="dxa"/>
            <w:tcBorders>
              <w:left w:val="single" w:sz="6" w:space="0" w:color="000000"/>
            </w:tcBorders>
            <w:noWrap/>
            <w:vAlign w:val="center"/>
          </w:tcPr>
          <w:p>
            <w:pPr>
              <w:spacing w:line="300" w:lineRule="exact"/>
              <w:jc w:val="right"/>
              <w:rPr>
                <w:rFonts w:ascii="方正书宋_GBK" w:eastAsia="方正书宋_GBK"/>
              </w:rPr>
            </w:pPr>
          </w:p>
        </w:tc>
      </w:tr>
    </w:tbl>
    <w:p>
      <w:pPr>
        <w:spacing w:line="300" w:lineRule="exact"/>
        <w:ind w:firstLineChars="200" w:firstLine="640"/>
        <w:jc w:val="left"/>
        <w:outlineLvl w:val="0"/>
        <w:rPr>
          <w:rFonts w:ascii="方正小标宋_GBK" w:eastAsia="方正小标宋_GBK" w:cs="方正小标宋_GBK" w:hAnsi="方正小标宋_GBK"/>
          <w:b/>
          <w:sz w:val="32"/>
        </w:rPr>
        <w:sectPr>
          <w:pgSz w:w="16838" w:h="11906" w:orient="landscape"/>
          <w:pgMar w:top="1361" w:right="1021" w:bottom="1361" w:left="1021" w:header="851" w:footer="992" w:gutter="0"/>
          <w:cols w:num="1" w:space="720"/>
          <w:docGrid w:type="lines" w:linePitch="312" w:charSpace="0"/>
        </w:sectPr>
      </w:pPr>
    </w:p>
    <w:p>
      <w:pPr>
        <w:autoSpaceDE w:val="0"/>
        <w:autoSpaceDN w:val="0"/>
        <w:adjustRightInd w:val="0"/>
        <w:ind w:firstLineChars="200" w:firstLine="640"/>
        <w:jc w:val="left"/>
        <w:rPr>
          <w:rFonts w:ascii="黑体" w:eastAsia="黑体" w:cs="Times New Roman" w:hAnsi="黑体"/>
          <w:sz w:val="32"/>
          <w:szCs w:val="32"/>
        </w:rPr>
      </w:pPr>
      <w:r>
        <w:rPr>
          <w:rFonts w:ascii="黑体" w:eastAsia="黑体" w:cs="Times New Roman" w:hAnsi="黑体" w:hint="eastAsia"/>
          <w:sz w:val="32"/>
          <w:szCs w:val="32"/>
        </w:rPr>
        <w:t>七、国有资产信息</w:t>
      </w:r>
    </w:p>
    <w:p>
      <w:pPr>
        <w:ind w:firstLine="640"/>
        <w:rPr>
          <w:rFonts w:ascii="Times New Roman" w:eastAsia="仿宋" w:cs="Times New Roman" w:hAnsi="Times New Roman"/>
          <w:color w:val="000000"/>
          <w:sz w:val="32"/>
          <w:szCs w:val="32"/>
        </w:rPr>
      </w:pPr>
      <w:r>
        <w:rPr>
          <w:rFonts w:ascii="Times New Roman" w:eastAsia="仿宋" w:cs="仿宋" w:hAnsi="Times New Roman" w:hint="eastAsia"/>
          <w:color w:val="000000"/>
          <w:sz w:val="32"/>
          <w:szCs w:val="32"/>
        </w:rPr>
        <w:t>隆尧县审计局</w:t>
      </w:r>
      <w:r>
        <w:rPr>
          <w:rFonts w:ascii="Times New Roman" w:eastAsia="仿宋" w:cs="Times New Roman" w:hAnsi="Times New Roman"/>
          <w:color w:val="000000"/>
          <w:sz w:val="32"/>
          <w:szCs w:val="32"/>
        </w:rPr>
        <w:t>20</w:t>
      </w:r>
      <w:r>
        <w:rPr>
          <w:rFonts w:ascii="Times New Roman" w:eastAsia="仿宋" w:cs="Times New Roman" w:hAnsi="Times New Roman" w:hint="eastAsia"/>
          <w:color w:val="000000"/>
          <w:sz w:val="32"/>
          <w:szCs w:val="32"/>
        </w:rPr>
        <w:t>20</w:t>
      </w:r>
      <w:r>
        <w:rPr>
          <w:rFonts w:ascii="Times New Roman" w:eastAsia="仿宋" w:cs="仿宋" w:hAnsi="Times New Roman" w:hint="eastAsia"/>
          <w:color w:val="000000"/>
          <w:sz w:val="32"/>
          <w:szCs w:val="32"/>
        </w:rPr>
        <w:t>年末固定资产金额为</w:t>
      </w:r>
      <w:r>
        <w:rPr>
          <w:rFonts w:ascii="Times New Roman" w:eastAsia="仿宋" w:cs="Times New Roman" w:hAnsi="Times New Roman" w:hint="eastAsia"/>
          <w:color w:val="000000"/>
          <w:sz w:val="32"/>
          <w:szCs w:val="32"/>
        </w:rPr>
        <w:t>70.35</w:t>
      </w:r>
      <w:r>
        <w:rPr>
          <w:rFonts w:ascii="Times New Roman" w:eastAsia="仿宋" w:cs="仿宋" w:hAnsi="Times New Roman" w:hint="eastAsia"/>
          <w:color w:val="000000"/>
          <w:sz w:val="32"/>
          <w:szCs w:val="32"/>
        </w:rPr>
        <w:t>万元（详见下表），本年度拟购置固定资产总额为</w:t>
      </w:r>
      <w:r>
        <w:rPr>
          <w:rFonts w:ascii="Times New Roman" w:eastAsia="仿宋" w:cs="Times New Roman" w:hAnsi="Times New Roman" w:hint="eastAsia"/>
          <w:color w:val="000000"/>
          <w:sz w:val="32"/>
          <w:szCs w:val="32"/>
        </w:rPr>
        <w:t>3</w:t>
      </w:r>
      <w:r>
        <w:rPr>
          <w:rFonts w:ascii="Times New Roman" w:eastAsia="仿宋" w:cs="仿宋" w:hAnsi="Times New Roman" w:hint="eastAsia"/>
          <w:color w:val="000000"/>
          <w:sz w:val="32"/>
          <w:szCs w:val="32"/>
        </w:rPr>
        <w:t>万元，主要为台式机、笔记本，已列入政府采购预算表，详见政府采购预算表。</w:t>
      </w:r>
    </w:p>
    <w:tbl>
      <w:tblPr>
        <w:jc w:val="left"/>
        <w:tblInd w:w="-106" w:type="dxa"/>
        <w:tblW w:w="1348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600" w:firstRow="0" w:lastRow="0" w:firstColumn="0" w:lastColumn="0" w:noHBand="1" w:noVBand="1"/>
      </w:tblPr>
      <w:tblGrid>
        <w:gridCol w:w="5224"/>
        <w:gridCol w:w="3155"/>
        <w:gridCol w:w="5103"/>
      </w:tblGrid>
      <w:tr>
        <w:trPr>
          <w:trHeight w:val="705"/>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ascii="宋体" w:cs="宋体" w:hAnsi="宋体" w:hint="eastAsia"/>
                <w:b/>
                <w:bCs/>
                <w:kern w:val="0"/>
                <w:sz w:val="32"/>
                <w:szCs w:val="32"/>
              </w:rPr>
              <w:t>隆尧县审计局部门固定资产占用情况表</w:t>
            </w:r>
          </w:p>
        </w:tc>
      </w:tr>
      <w:tr>
        <w:trPr>
          <w:trHeight w:val="510"/>
        </w:trPr>
        <w:tc>
          <w:tcPr>
            <w:tcW w:w="8379" w:type="dxa"/>
            <w:gridSpan w:val="2"/>
            <w:tcBorders>
              <w:top w:val="nil"/>
              <w:left w:val="nil"/>
              <w:bottom w:val="nil"/>
              <w:right w:val="nil"/>
            </w:tcBorders>
            <w:vAlign w:val="center"/>
          </w:tcPr>
          <w:p>
            <w:pPr>
              <w:widowControl/>
              <w:jc w:val="left"/>
              <w:rPr>
                <w:rFonts w:ascii="Times New Roman" w:eastAsia="仿宋" w:cs="Times New Roman" w:hAnsi="Times New Roman"/>
                <w:kern w:val="0"/>
                <w:sz w:val="22"/>
              </w:rPr>
            </w:pPr>
            <w:r>
              <w:rPr>
                <w:rFonts w:ascii="Times New Roman" w:eastAsia="仿宋" w:cs="仿宋" w:hAnsi="Times New Roman" w:hint="eastAsia"/>
                <w:kern w:val="0"/>
                <w:sz w:val="22"/>
              </w:rPr>
              <w:t>编制部门：隆尧县审计局</w:t>
            </w:r>
          </w:p>
        </w:tc>
        <w:tc>
          <w:tcPr>
            <w:tcW w:w="5103" w:type="dxa"/>
            <w:tcBorders>
              <w:top w:val="nil"/>
              <w:left w:val="nil"/>
              <w:bottom w:val="nil"/>
              <w:right w:val="nil"/>
            </w:tcBorders>
            <w:vAlign w:val="center"/>
          </w:tcPr>
          <w:p>
            <w:pPr>
              <w:widowControl/>
              <w:ind w:firstLineChars="600" w:firstLine="1320"/>
              <w:jc w:val="left"/>
              <w:rPr>
                <w:rFonts w:ascii="Times New Roman" w:eastAsia="仿宋" w:cs="Times New Roman" w:hAnsi="Times New Roman"/>
                <w:kern w:val="0"/>
                <w:sz w:val="22"/>
              </w:rPr>
            </w:pPr>
            <w:r>
              <w:rPr>
                <w:rFonts w:ascii="Times New Roman" w:eastAsia="仿宋" w:cs="仿宋" w:hAnsi="Times New Roman" w:hint="eastAsia"/>
                <w:kern w:val="0"/>
                <w:sz w:val="22"/>
              </w:rPr>
              <w:t>截止时间：</w:t>
            </w:r>
            <w:r>
              <w:rPr>
                <w:rFonts w:ascii="Times New Roman" w:eastAsia="仿宋" w:cs="Times New Roman" w:hAnsi="Times New Roman"/>
                <w:kern w:val="0"/>
                <w:sz w:val="22"/>
              </w:rPr>
              <w:t>2020</w:t>
            </w:r>
            <w:r>
              <w:rPr>
                <w:rFonts w:ascii="Times New Roman" w:eastAsia="仿宋" w:cs="仿宋" w:hAnsi="Times New Roman" w:hint="eastAsia"/>
                <w:kern w:val="0"/>
                <w:sz w:val="22"/>
              </w:rPr>
              <w:t>年</w:t>
            </w:r>
            <w:r>
              <w:rPr>
                <w:rFonts w:ascii="Times New Roman" w:eastAsia="仿宋" w:cs="Times New Roman" w:hAnsi="Times New Roman"/>
                <w:kern w:val="0"/>
                <w:sz w:val="22"/>
              </w:rPr>
              <w:t>12</w:t>
            </w:r>
            <w:r>
              <w:rPr>
                <w:rFonts w:ascii="Times New Roman" w:eastAsia="仿宋" w:cs="仿宋" w:hAnsi="Times New Roman" w:hint="eastAsia"/>
                <w:kern w:val="0"/>
                <w:sz w:val="22"/>
              </w:rPr>
              <w:t>月</w:t>
            </w:r>
            <w:r>
              <w:rPr>
                <w:rFonts w:ascii="Times New Roman" w:eastAsia="仿宋" w:cs="Times New Roman" w:hAnsi="Times New Roman"/>
                <w:kern w:val="0"/>
                <w:sz w:val="22"/>
              </w:rPr>
              <w:t>31</w:t>
            </w:r>
            <w:r>
              <w:rPr>
                <w:rFonts w:ascii="Times New Roman" w:eastAsia="仿宋" w:cs="仿宋" w:hAnsi="Times New Roman" w:hint="eastAsia"/>
                <w:kern w:val="0"/>
                <w:sz w:val="22"/>
              </w:rPr>
              <w:t>日</w:t>
            </w:r>
          </w:p>
        </w:tc>
      </w:tr>
      <w:tr>
        <w:trPr>
          <w:trHeight w:val="645"/>
        </w:trPr>
        <w:tc>
          <w:tcPr>
            <w:tcW w:w="5224" w:type="dxa"/>
            <w:tcBorders>
              <w:top w:val="single" w:sz="4" w:space="0" w:color="auto"/>
              <w:left w:val="single" w:sz="4" w:space="0" w:color="auto"/>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价值（金额单位：万元）</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仿宋" w:hAnsi="Times New Roman" w:hint="eastAsia"/>
                <w:kern w:val="0"/>
                <w:sz w:val="2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color w:val="000000"/>
                <w:kern w:val="0"/>
                <w:sz w:val="22"/>
              </w:rPr>
            </w:pPr>
            <w:r>
              <w:rPr>
                <w:rFonts w:ascii="Times New Roman" w:eastAsia="仿宋" w:cs="Times New Roman" w:hAnsi="Times New Roman" w:hint="eastAsia"/>
                <w:color w:val="000000"/>
                <w:kern w:val="0"/>
                <w:sz w:val="22"/>
              </w:rPr>
              <w:t>70.35</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1</w:t>
            </w:r>
            <w:r>
              <w:rPr>
                <w:rFonts w:ascii="Times New Roman" w:eastAsia="仿宋" w:cs="仿宋" w:hAnsi="Times New Roman" w:hint="eastAsia"/>
                <w:kern w:val="0"/>
                <w:sz w:val="22"/>
              </w:rPr>
              <w:t>、房屋（平方米）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仿宋" w:hAnsi="Times New Roman" w:hint="eastAsia"/>
                <w:kern w:val="0"/>
                <w:sz w:val="22"/>
              </w:rPr>
              <w:t>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r>
      <w:tr>
        <w:trPr>
          <w:trHeight w:val="628"/>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2</w:t>
            </w:r>
            <w:r>
              <w:rPr>
                <w:rFonts w:ascii="Times New Roman" w:eastAsia="仿宋" w:cs="仿宋" w:hAnsi="Times New Roman" w:hint="eastAsia"/>
                <w:kern w:val="0"/>
                <w:sz w:val="22"/>
              </w:rPr>
              <w:t>、车辆（台、辆）</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3</w:t>
            </w:r>
            <w:r>
              <w:rPr>
                <w:rFonts w:ascii="Times New Roman" w:eastAsia="仿宋" w:cs="仿宋" w:hAnsi="Times New Roman" w:hint="eastAsia"/>
                <w:kern w:val="0"/>
                <w:sz w:val="22"/>
              </w:rPr>
              <w:t>、其他设备</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4</w:t>
            </w:r>
            <w:r>
              <w:rPr>
                <w:rFonts w:ascii="Times New Roman" w:eastAsia="仿宋" w:cs="仿宋" w:hAnsi="Times New Roman" w:hint="eastAsia"/>
                <w:kern w:val="0"/>
                <w:sz w:val="22"/>
              </w:rPr>
              <w:t>、其他固定资产</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hint="eastAsia"/>
                <w:kern w:val="0"/>
                <w:sz w:val="22"/>
              </w:rPr>
              <w:t>70.35</w:t>
            </w:r>
          </w:p>
        </w:tc>
      </w:tr>
    </w:tbl>
    <w:p>
      <w:pPr>
        <w:autoSpaceDE w:val="0"/>
        <w:autoSpaceDN w:val="0"/>
        <w:adjustRightInd w:val="0"/>
        <w:ind w:firstLineChars="200" w:firstLine="640"/>
        <w:jc w:val="left"/>
        <w:rPr>
          <w:rFonts w:ascii="黑体" w:eastAsia="黑体" w:cs="Times New Roman" w:hAnsi="黑体"/>
          <w:sz w:val="32"/>
          <w:szCs w:val="32"/>
        </w:rPr>
      </w:pPr>
      <w:r>
        <w:rPr>
          <w:rFonts w:ascii="黑体" w:eastAsia="黑体" w:cs="Times New Roman" w:hAnsi="黑体" w:hint="eastAsia"/>
          <w:sz w:val="32"/>
          <w:szCs w:val="32"/>
        </w:rPr>
        <w:t>八、名词解释</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1、一般公共预算拨款收入：指</w:t>
      </w:r>
      <w:r>
        <w:rPr>
          <w:rFonts w:ascii="Times New Roman" w:eastAsia="仿宋" w:cs="Times New Roman" w:hAnsi="Times New Roman" w:hint="eastAsia"/>
          <w:sz w:val="32"/>
          <w:szCs w:val="32"/>
          <w:lang w:eastAsia="zh-CN"/>
        </w:rPr>
        <w:t>县</w:t>
      </w:r>
      <w:r>
        <w:rPr>
          <w:rFonts w:ascii="Times New Roman" w:eastAsia="仿宋" w:cs="Times New Roman" w:hAnsi="Times New Roman" w:hint="eastAsia"/>
          <w:sz w:val="32"/>
          <w:szCs w:val="32"/>
        </w:rPr>
        <w:t>级财政当年拨付的资金。</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2、事业收入：指事业单位开展专业业务活动及辅助活动所取得的收入。</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3、其他收入：指除“一般公共预算拨款收入”、“事业收入”等以外的收入。主要是按规定动用的租房收入、存款利息收入等。</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4、基本支出：指为保障机构正常运转、完成日常工作任务而发生的人员支出和公用支出。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5、项目支出：指在基本支出之外为完成特定行政任务和事业发展目标所发生的支出。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6、上缴上级支出：指下级单位上缴上级的支出。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宋体-方正超大字符集" w:eastAsia="宋体-方正超大字符集" w:cs="宋体-方正超大字符集" w:hAnsi="宋体-方正超大字符集"/>
          <w:b/>
          <w:bCs/>
          <w:sz w:val="32"/>
          <w:szCs w:val="32"/>
        </w:rPr>
      </w:pPr>
      <w:r>
        <w:rPr>
          <w:rFonts w:ascii="宋体-方正超大字符集" w:eastAsia="宋体-方正超大字符集" w:cs="宋体-方正超大字符集" w:hAnsi="宋体-方正超大字符集" w:hint="eastAsia"/>
          <w:b/>
          <w:bCs/>
          <w:sz w:val="32"/>
          <w:szCs w:val="32"/>
        </w:rPr>
        <w:t>九、其他需要说明的事项</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我部门无其他需要说明的事项。</w:t>
      </w:r>
    </w:p>
    <w:sectPr>
      <w:footerReference w:type="default" r:id="rId2"/>
      <w:pgSz w:w="16838" w:h="11906" w:orient="landscape"/>
      <w:pgMar w:top="1800" w:right="1440" w:bottom="1800" w:left="1440" w:header="851" w:footer="992" w:gutter="0"/>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小标宋_GBK">
    <w:altName w:val="微软雅黑"/>
    <w:panose1 w:val="00000000000000000000"/>
    <w:charset w:val="86"/>
    <w:family w:val="script"/>
    <w:pitch w:val="variable"/>
    <w:sig w:usb0="00000000" w:usb1="00000000" w:usb2="00000010" w:usb3="00000000" w:csb0="00040000" w:csb1="00000000"/>
  </w:font>
  <w:font w:name="仿宋">
    <w:panose1 w:val="02010609060101010101"/>
    <w:charset w:val="86"/>
    <w:family w:val="modern"/>
    <w:pitch w:val="variable"/>
    <w:sig w:usb0="800002BF" w:usb1="38CF7CFA" w:usb2="00000016" w:usb3="00000000" w:csb0="00040001" w:csb1="00000000"/>
  </w:font>
  <w:font w:name="黑体">
    <w:altName w:val="宋体"/>
    <w:panose1 w:val="02010609060101010101"/>
    <w:charset w:val="86"/>
    <w:family w:val="auto"/>
    <w:pitch w:val="variable"/>
    <w:sig w:usb0="800002BF" w:usb1="38CF7CFA" w:usb2="00000016" w:usb3="00000000" w:csb0="00040001" w:csb1="00000000"/>
  </w:font>
  <w:font w:name="方正书宋_GBK">
    <w:altName w:val="微软雅黑"/>
    <w:panose1 w:val="00000000000000000000"/>
    <w:charset w:val="86"/>
    <w:family w:val="script"/>
    <w:pitch w:val="variable"/>
    <w:sig w:usb0="00000000" w:usb1="00000000" w:usb2="00000010" w:usb3="00000000" w:csb0="00040000" w:csb1="00000000"/>
  </w:font>
  <w:font w:name="仿宋_GB2312">
    <w:altName w:val="仿宋"/>
    <w:panose1 w:val="00000000000000000000"/>
    <w:charset w:val="86"/>
    <w:family w:val="modern"/>
    <w:pitch w:val="variable"/>
    <w:sig w:usb0="00000000" w:usb1="00000000" w:usb2="00000010" w:usb3="00000000" w:csb0="00040000" w:csb1="00000000"/>
  </w:font>
  <w:font w:name="方正仿宋_GBK">
    <w:altName w:val="微软雅黑"/>
    <w:panose1 w:val="00000000000000000000"/>
    <w:charset w:val="86"/>
    <w:family w:val="script"/>
    <w:pitch w:val="variable"/>
    <w:sig w:usb0="00000000" w:usb1="00000000" w:usb2="00000010" w:usb3="00000000" w:csb0="00040000" w:csb1="00000000"/>
  </w:font>
  <w:font w:name="宋体">
    <w:panose1 w:val="02010600030101010101"/>
    <w:charset w:val="86"/>
    <w:family w:val="auto"/>
    <w:pitch w:val="variable"/>
    <w:sig w:usb0="00000003" w:usb1="288F0000" w:usb2="00000006" w:usb3="00000000" w:csb0="00040001" w:csb1="00000000"/>
  </w:font>
  <w:font w:name="宋体-方正超大字符集">
    <w:altName w:val="宋体"/>
    <w:panose1 w:val="00000000000000000000"/>
    <w:charset w:val="86"/>
    <w:family w:val="auto"/>
    <w:pitch w:val="variable"/>
    <w:sig w:usb0="00000000" w:usb1="00000000" w:usb2="00000000" w:usb3="00000000" w:csb0="00040000"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framePr w:w="0" w:hRule="auto" w:wrap="around" w:vAnchor="text" w:hAnchor="margin" w:xAlign="outside" w:y="1" w:anchorLock="0"/>
      <w:tabs>
        <w:tab w:val="center" w:pos="4153"/>
        <w:tab w:val="right" w:pos="8306"/>
      </w:tabs>
      <w:rPr>
        <w:rStyle w:val="23"/>
      </w:rPr>
    </w:pPr>
    <w:r>
      <w:fldChar w:fldCharType="begin"/>
    </w:r>
    <w:r>
      <w:rPr>
        <w:rStyle w:val="23"/>
      </w:rPr>
      <w:instrText xml:space="preserve">PAGE  </w:instrText>
    </w:r>
    <w:r>
      <w:fldChar w:fldCharType="separate"/>
    </w:r>
    <w:r>
      <w:rPr>
        <w:rStyle w:val="23"/>
      </w:rPr>
      <w:t>11</w:t>
    </w:r>
    <w:r>
      <w:fldChar w:fldCharType="end"/>
    </w:r>
  </w:p>
  <w:p>
    <w:pPr>
      <w:pStyle w:val="15"/>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1FC7718"/>
    <w:multiLevelType w:val="singleLevel"/>
    <w:tmpl w:val="01FC7718"/>
    <w:lvl w:ilvl="0">
      <w:start w:val="2"/>
      <w:numFmt w:val="chineseCounting"/>
      <w:lvlRestart w:val="0"/>
      <w:suff w:val="nothing"/>
      <w:lvlText w:val="%1、"/>
      <w:lvlJc w:val="left"/>
      <w:pPr/>
      <w:rPr>
        <w:rFonts w:hint="eastAsia"/>
      </w:rPr>
    </w:lvl>
  </w:abstractNum>
  <w:abstractNum w:abstractNumId="1">
    <w:nsid w:val="6EF926CB"/>
    <w:multiLevelType w:val="singleLevel"/>
    <w:tmpl w:val="6EF926CB"/>
    <w:lvl w:ilvl="0">
      <w:start w:val="2"/>
      <w:numFmt w:val="chineseCounting"/>
      <w:lvlRestart w:val="0"/>
      <w:suff w:val="nothing"/>
      <w:lvlText w:val="（%1）"/>
      <w:lvlJc w:val="left"/>
      <w:pPr/>
      <w:rPr>
        <w:rFonts w:hint="eastAsia"/>
      </w:rPr>
    </w:lvl>
  </w:abstractNum>
  <w:abstractNum w:abstractNumId="2">
    <w:nsid w:val="0587A75C"/>
    <w:multiLevelType w:val="singleLevel"/>
    <w:tmpl w:val="0587A75C"/>
    <w:lvl w:ilvl="0">
      <w:start w:val="1"/>
      <w:numFmt w:val="decimal"/>
      <w:lvlRestart w:val="0"/>
      <w:suff w:val="nothing"/>
      <w:lvlText w:val="%1、"/>
      <w:lvlJc w:val="left"/>
      <w:pPr/>
    </w:lvl>
  </w:abstractNum>
  <w:abstractNum w:abstractNumId="3">
    <w:nsid w:val="4DED5228"/>
    <w:multiLevelType w:val="multilevel"/>
    <w:tmpl w:val="4DED5228"/>
    <w:lvl w:ilvl="0">
      <w:start w:val="1"/>
      <w:numFmt w:val="decimal"/>
      <w:lvlRestart w:val="0"/>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abstractNumId w:val="0"/>
  </w:num>
  <w:num w:numId="2">
    <w:abstractNumId w:val="1"/>
  </w:num>
  <w:num w:numId="3">
    <w:abstractNumId w:val="2"/>
  </w:num>
  <w:num w:numId="4">
    <w:abstractNumId w:val="3"/>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doNotDisplayPageBoundaries/>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2"/>
  </w:compat>
  <w:docVars>
    <w:docVar w:name="commondata" w:val="eyJoZGlkIjoiNjkyMGMxMzM0NDJiOTRmZmYyODczMmE5MTQ0YmZkZjY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黑体" w:hAnsi="Calibri"/>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黑体"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黑体"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黑体" w:hAnsi="Calibri"/>
      <w:b/>
      <w:bCs/>
      <w:kern w:val="2"/>
      <w:sz w:val="32"/>
      <w:szCs w:val="32"/>
      <w:lang w:val="en-US" w:eastAsia="zh-CN"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rFonts w:ascii="Times New Roman" w:cs="Times New Roman" w:hAnsi="Times New Roman"/>
      <w:sz w:val="18"/>
      <w:szCs w:val="18"/>
    </w:rPr>
  </w:style>
  <w:style w:type="paragraph" w:styleId="16">
    <w:name w:val="header"/>
    <w:qFormat/>
    <w:basedOn w:val="0"/>
    <w:pPr>
      <w:pBdr>
        <w:bottom w:val="single" w:sz="6" w:space="1" w:color="auto"/>
      </w:pBdr>
      <w:tabs>
        <w:tab w:val="center" w:pos="4153"/>
        <w:tab w:val="right" w:pos="8306"/>
      </w:tabs>
      <w:snapToGrid w:val="0"/>
      <w:jc w:val="center"/>
    </w:pPr>
    <w:rPr>
      <w:rFonts w:ascii="Times New Roman" w:cs="Times New Roman" w:hAnsi="Times New Roman"/>
      <w:sz w:val="18"/>
      <w:szCs w:val="18"/>
    </w:rPr>
  </w:style>
  <w:style w:type="paragraph" w:styleId="17">
    <w:name w:val="toc 1"/>
    <w:qFormat/>
    <w:basedOn w:val="0"/>
    <w:next w:val="0"/>
    <w:rPr>
      <w:rFonts w:ascii="Times New Roman" w:cs="Times New Roman" w:hAnsi="Times New Roman"/>
      <w:szCs w:val="24"/>
    </w:rPr>
  </w:style>
  <w:style w:type="paragraph" w:styleId="18">
    <w:name w:val="footnote text"/>
    <w:qFormat/>
    <w:basedOn w:val="0"/>
    <w:pPr>
      <w:snapToGrid w:val="0"/>
      <w:jc w:val="left"/>
    </w:pPr>
    <w:rPr>
      <w:sz w:val="18"/>
      <w:szCs w:val="18"/>
    </w:rPr>
  </w:style>
  <w:style w:type="paragraph" w:styleId="19">
    <w:name w:val="toc 2"/>
    <w:qFormat/>
    <w:basedOn w:val="0"/>
    <w:next w:val="0"/>
    <w:pPr>
      <w:ind w:leftChars="200" w:left="200"/>
    </w:pPr>
    <w:rPr>
      <w:rFonts w:ascii="Times New Roman" w:cs="Times New Roman" w:hAnsi="Times New Roman"/>
      <w:szCs w:val="24"/>
    </w:rPr>
  </w:style>
  <w:style w:type="paragraph" w:styleId="20">
    <w:name w:val="Normal (Web)"/>
    <w:qFormat/>
    <w:basedOn w:val="0"/>
    <w:pPr>
      <w:autoSpaceDE w:val="0"/>
      <w:autoSpaceDN w:val="0"/>
      <w:adjustRightInd w:val="0"/>
    </w:pPr>
    <w:rPr>
      <w:rFonts w:cs="Calibri"/>
      <w:kern w:val="0"/>
      <w:sz w:val="24"/>
      <w:szCs w:val="24"/>
    </w:rPr>
  </w:style>
  <w:style w:type="character" w:styleId="21">
    <w:name w:val="footnote reference"/>
    <w:qFormat/>
    <w:rPr>
      <w:vertAlign w:val="superscript"/>
    </w:rPr>
  </w:style>
  <w:style w:type="paragraph" w:customStyle="1" w:styleId="22">
    <w:name w:val="Char"/>
    <w:qFormat/>
    <w:basedOn w:val="0"/>
    <w:rPr>
      <w:rFonts w:ascii="Times New Roman" w:cs="Times New Roman" w:hAnsi="Times New Roman"/>
      <w:szCs w:val="24"/>
    </w:rPr>
  </w:style>
  <w:style w:type="character" w:customStyle="1" w:styleId="23">
    <w:name w:val="页码1"/>
    <w:qFormat/>
  </w:style>
  <w:style w:type="paragraph" w:customStyle="1" w:styleId="24">
    <w:name w:val="[Normal]"/>
    <w:qFormat/>
    <w:rPr>
      <w:rFonts w:ascii="宋体" w:eastAsia="宋体" w:cs="Arial" w:hAnsi="宋体"/>
      <w:sz w:val="24"/>
      <w:szCs w:val="20"/>
      <w:lang w:val="en-US" w:bidi="ar-SA"/>
    </w:rPr>
  </w:style>
  <w:style w:type="paragraph" w:styleId="25">
    <w:name w:val="List Paragraph"/>
    <w:qFormat/>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customProps>
</customData>
</file>

<file path=customXml/itemProps1.xml><?xml version="1.0" encoding="utf-8"?>
<ds:datastoreItem xmlns:ds="http://schemas.openxmlformats.org/officeDocument/2006/customXml" ds:itemID="{0F4D3FCF-8313-4EFD-9F80-3CDE82013F6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13</Pages>
  <Words>0</Words>
  <Characters>4385</Characters>
  <Lines>0</Lines>
  <Paragraphs>113</Paragraphs>
  <CharactersWithSpaces>5847</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o</dc:title>
  <dc:creator>guest</dc:creator>
  <cp:lastModifiedBy>Administrator</cp:lastModifiedBy>
  <cp:revision>17</cp:revision>
  <cp:lastPrinted>2020-01-10T15:53:00Z</cp:lastPrinted>
  <dcterms:created xsi:type="dcterms:W3CDTF">2017-01-23T17:29:00Z</dcterms:created>
  <dcterms:modified xsi:type="dcterms:W3CDTF">2025-01-13T09:23:29Z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2052-11.1.0.12353</vt:lpwstr>
  </property>
  <property fmtid="{D5CDD505-2E9C-101B-9397-08002B2CF9AE}" pid="3" name="ICV">
    <vt:lpwstr>7BF9A20A2DAB457EB90E68A3E113205A</vt:lpwstr>
  </property>
</Properties>
</file>