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隆尧县自然资源和规划局</w:t>
      </w:r>
      <w:r>
        <w:rPr>
          <w:rFonts w:ascii="Times New Roman" w:hAnsi="Times New Roman" w:eastAsia="方正小标宋_GBK"/>
          <w:sz w:val="44"/>
          <w:szCs w:val="44"/>
        </w:rPr>
        <w:t>2021</w:t>
      </w:r>
      <w:r>
        <w:rPr>
          <w:rFonts w:hint="eastAsia" w:ascii="Times New Roman" w:hAnsi="Times New Roman" w:eastAsia="方正小标宋_GBK"/>
          <w:sz w:val="44"/>
          <w:szCs w:val="44"/>
        </w:rPr>
        <w:t>年部门</w:t>
      </w:r>
    </w:p>
    <w:p>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预算信息公开情况说明</w:t>
      </w:r>
    </w:p>
    <w:p>
      <w:pPr>
        <w:ind w:firstLine="640"/>
        <w:rPr>
          <w:rFonts w:ascii="Times New Roman" w:hAnsi="Times New Roman" w:eastAsia="仿宋"/>
          <w:sz w:val="32"/>
          <w:szCs w:val="32"/>
        </w:rPr>
      </w:pPr>
      <w:r>
        <w:rPr>
          <w:rFonts w:hint="eastAsia" w:ascii="Times New Roman" w:hAnsi="Times New Roman" w:eastAsia="仿宋"/>
          <w:sz w:val="32"/>
          <w:szCs w:val="32"/>
        </w:rPr>
        <w:t>按照《预算法》、《地方预决算公开操作规程》和《河北省省级预算公开办法》规定，现将隆尧县自然资源和规划局2021年部门预算公开如下：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方正仿宋_GBK"/>
          <w:b/>
          <w:sz w:val="32"/>
          <w:szCs w:val="32"/>
        </w:rPr>
        <w:t>部门职责：</w:t>
      </w:r>
      <w:r>
        <w:rPr>
          <w:rFonts w:ascii="Times New Roman" w:hAnsi="Times New Roman" w:eastAsia="方正仿宋_GBK"/>
          <w:b/>
          <w:sz w:val="32"/>
          <w:szCs w:val="32"/>
        </w:rPr>
        <w:t xml:space="preserve"> </w:t>
      </w:r>
      <w:r>
        <w:rPr>
          <w:rFonts w:hint="eastAsia" w:ascii="Times New Roman" w:hAnsi="Times New Roman" w:eastAsia="仿宋"/>
          <w:sz w:val="32"/>
          <w:szCs w:val="32"/>
        </w:rPr>
        <w:t>（一）履行全民所有土地、矿产、森林、草原、湿地、水等自然资源资产所有者职责和所有国土空间用途管制职责。拟订自然资源、国土空间规划、城乡规划、测绘等地方性法规、政府规章草案和规范性文件，监督检查自然资源和国土空间规划及测绘等法律法规的执行情况。</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负责全县自然资源调查监测评价。贯彻执行国家和省自然资源调查监测评价的指标体系、统计标准和自然资源调查监测评价制度。实施自然资源基础调查、专项调查和监测。负责自然资源调查监测评价成果的监督管理和信息发布。</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九）负责城乡规划的实施和管理。参与各类开发区、远离中心城区的独立工矿区、水资源保护区的审查报批。负责中心城区和县域内镇总体规划、乡规划和村规划的审查、审批、报批工作。指导乡村建设规划编制和实施。指导乡村建筑风貌规划管理工作。负责中心城区和县域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（十）负责管理全县地质勘查行业和地质工作。编制地质勘查规划并监督检查执行情况。管理全县地质勘查项目。组织实施重大地质矿产勘查专项。负责古生物化石的监督管理。</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四）负责全县林业及其生态保护修复的监督管理。拟订全县林业及其生态保护修复的政策、规划、地方标准并组织实施，起草相关政府规章草案。组织开展全县森林、湿地、荒漠和陆生野生动植物资源动态监测与评价。</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五）组织全县林业生态保护修复和造林绿化工作。组织实施林业重点生态保护修复工程，指导公益林和商品林的培育，指导、监督全民义务植树和城乡绿化工作。指导林业有害生物防治、检疫工作。承担林业应对气候变化的相关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六）负责全县森林、湿地资源的监督管理。组织编制并监督执行全县森林采伐限额。负责林地管理，拟订全县林地保护利用规划并组织实施，指导全县公益林划定和管理工作。管理县属国有林场的森林资源。负责全县湿地生态保护修复工作，拟订全县湿地保护规划和相关地方标准并组织实施，监督管理湿地的开发利用。</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七）负责监督管理全县荒漠化防治工作。组织开展荒漠调查，组织拟订全县防沙治沙及沙化土地封禁保护区建设规划，拟订相关地方标准和规定并监督实施，监督管理沙化土地的开发利用，组织沙尘暴灾害预测预报和应急处置。</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八）负责全县陆生野生动植物资源监督管理。组织开展陆生野生动植物资源调查，研究提出国家和省重点保护的陆生野生动物、植物名录的调整建议，指导全县陆生野生动植物的救护繁育、栖息地恢复发展、疫源疫病监测，监督管理全县陆生野生动植物猎捕或采集、驯养繁殖或培植、经营利用，按分工监督管理野生动植物进出口。</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九）负责监督管理全县各类自然保护地。拟订全县各类自然保护地规划和相关地方标准。承办国家公园规划、管理和监督，提出新建、调整各类县级以上自然保护地的审核建议并按程序报批，组织审核世界自然遗产的申报，会同有关部门审核世界自然与文化双重遗产的申报。负责全县生物多样性保护相关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负责推进全县林业改革相关工作。拟订集体林权制度、国有林场等重大改革意见并监督实施。拟订农村林业发展、维护林业经营者合法权益的政策措施，指导监督农村林地承包经营工作。开展退耕还林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（二十一）拟订全县林业资源优化配置及木材利用政策，拟订相关林业产业地方标准并监督实施，组织、指导林产品质量监督，指导生态扶贫相关工作。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二）指导县国有林场基本建设和发展，组织开展林木种子种质资源普查，组织建立种质资源库，负责良种选育推广，管理林木种苗生产经营行为，监管林木种苗质量。监督管理林业生物种质资源、转基因生物安全、植物新品种保护。</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三）负责落实全县综合防灾减灾规划相关要求。组织编制全县森林火灾防治规划和防护标准并监督实施，指导开展防火巡护、火源管理、防火设施建设等工作。组织指导全县森林防火宣传教育、监测预警、督促检查等工作。必要时，可以提请县应急管理局，以县应急指挥机构名义，部署相关防治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（二十四）监督管理林业资金及国有资产，提出全县林业预算内投资、上级和县级财政性资金安排建议，按权限审核规划内和年度计划内投资项目。参与拟订林业经济调节政策，组织实施林业生态补偿工作。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五）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（二十六）组织开展全县自然资源和规划领域对外交流合作。承担湿地、防治荒漠化、濒危野生动植物等国际公约履约工作。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（二十七）查处全县自然资源开发利用、国土空间规划、测绘及林业违法案件。负责有关行政执法工作。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（二十八）负责全县规划设计单位资质管理，监督注册规划师执业行为。负责自然资源和城乡规划档案的相关管理工作。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（二十九）完成县委、县政府交办的其他任务。</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第四条  转变职能。县自然资源和规划局要落实中央和省、市、县关于统一行使全民所有自然资源资产所有者职责，统一行使所有国土空间用途管制和生态保护修复职责的要求，发挥国土空间规划的管控作用，为保护和合理开发利用自然资源提供科学指引。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要切实加大生态系统保护力度，实施重要生态系统保护和修复工程，加强对森林、湿地、荒漠和陆生野生动植物资源监督管理的统筹协调，大力推进国土绿化，保障全县生态安全。加快建立以国家公园为主体的自然保护地体系，依法加强全县各类自然保护地的管理，构建统一规范高效的国家公园体制。</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第五条  有关职责分工。果树（水果部分）管理职责由县农业农村局负责；果树（除水果之外部分）、蚕桑、花卉管理职责由县自然资源和规划局负责。</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第六条  县自然资源和规划局设下列内设机构：</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 xml:space="preserve">（一）办公室。负责机关日常运转工作。承担信访、政务信息、安全保密、新闻宣传、政务公开等工作。承担局机关和所属单位的人事管理、机构编制、劳动工资、教育培训工作，负责全县自然资源人才队伍建设等工作。负责离退休干部工作。负责局机关和所属单位的党群工作。负责上级交办事项和局重点工作的督办落实。承担组织编制全县自然资源发展中长期规划和年度计划工作。开展重大问题调查研究，负责起草局重要文件文稿，负责自然资源和规划领域综合改革有关工作。承担自然资源领域军民融合深度发展工作。承担综合统计和局内专业统计归口管理。制定并实施自然资源领域科技创新发展和人才培养规划和计划。组织实施技术标准、规程规范。组织实施重大科技工程、项目及创新能力建设。承担科技成果和信息化管理工作。承担对外交流合作和外事管理工作。承担有关地方性法规、政府规章草案起草工作。承担有关规范性文件合法性审查和清理工作。负责自然资源和规划执法监督工作。组织开展法治宣传教育承担行政复议、行政应诉有关工作。 </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财务股。承担全县自然资源和规划专项收入征管和专项资金、基金的管理工作。负责局机关和所属单位财务管理、国有资产监管工作，负责部门预决算、政府采购、国库集中支付、内部审计工作。管理基本建设及重大专项投资。</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三）行政执法股。组织开展自然资源和规划领域违法案件形势研判。查处国土空间规划和自然资源违法案件，指导协调全县自然资源和规划违法案件调查处理工作，协调解决跨乡（镇）违法案件查处。负责联系省、市自然资源督察机构，组织协调交办事项落实，配合省、市自然资源督察机构开展督查督办、检查指导、调查研究工作。负责全县自然资源和规划执法机构建设，组织县自然资源和规划执法系统人员的业务培训。组织对规划批准的建设工程放、验线工作。负责建设工程规划条件核实。</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四）自然资源调查和确权登记股。负责实施国家自然资源调查监测评价的指标体系和统计标准，建立自然资源定期调查监测评价制度。定期组织实施全县性自然资源基础调查、变更调查、动态监测和分析评价。开展水、森林、草原、湿地资源和地理国情等专项调查监测评价工作。承担自然资源调查监测评价成果的汇交、管理、维护、发布、共享和利用监督。负责实施国家各类自然资源和不动产统一确权登记、权籍调查、不动产测绘、争议调处、成果应用的制度、标准、规范。组织开展自然资源和不动产确权登记工作。建立健全全县自然资源和不动产登记信息管理基础平台，管理登记资料。</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五）自然资源权益和用途管制股。执行全县全民所有自然资源资产管理政策，落实全民所有自然资源资产统计制度，承担自然资源资产价值评估和资产核算工作。编制全民所有自然资源资产负债表，拟订相关考核标准。执行全民所有自然资源资产划拨、出让、租赁、作价出资和土地储备政策。承担报县政府审批的改制企业的国有土地资产处置。拟订全县自然资源资产有偿使用制度并监督实施，配合建立自然资源市场交易规则和交易平台，组织开展自然资源市场调控。负责自然资源市场监督管理和动态监测，建立自然资源市场信用体系。建立政府公示自然资源价格体系，组织开展自然资源分等定级价格评估。拟订自然资源开发利用标准，开展评价考核，指导实施节约集约利用工作。建立健全全县国土空间用途管制制度规范和技术标准。负责全县土地年度利用计划管理工作。组织拟订耕地、林地、草地、湿地等国土空间用途转用政策。承担报国务院、省政府、市政府、县政府审批的各类用地的审核、报批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六）国土空间和建设用地规划股。执行国土空间规划相关政策，承担建立空间规划体系工作。组织编制并实施主体功能区规划职责。组织编制全县国土空间规划和相关专项规划并监督实施。承担报省政府、市政府、县政府审批的全县国土空间规划的审核、报批工作。负责中心城区和县域内镇总体规划、乡规划和村规划的审查、审批、报批工作。组织起草、审核涉及国土空间开发利用的县内重大专项规划。开展国土空间开发适宜性评价，建立国土空间规划实施监测、评估和预警体系。负责全县城乡规划编制计划的制定。负责组织有关城市总体规划、控制性详细规划、近期建设规划、专项规划、特定区域规划、城市设计等各类规划的编制、调整、审查、报批和公布工作。负责规划设计单位资质管理，监督注册城市规划师执业行为。会同有关部门做好历史文化名城（镇、村）的保护规划和监督管理工作。指导乡村建设规划编制和实施。指导乡村建筑风貌规划管理工作。拟订开展城乡用地规划管理政策并组织实施。根据城市建设和社会发展需要，组织研究控制性详细规划动态维护。负责县域内独立市政工程之外的建设项目的规划选址、用地规划许可，负责建设用地规划条件（规划设计要点）的研制与市政规划条件的合成。</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七）建设工程和市政工程规划股。负责建设工程规划技术规定的制定、城市风貌景观的研究、管理工作。负责对建筑工程的修建性详细规划方案（建设工程设计方案总平面图）及建设设计方案的审查、审批。负责公建类建设项目的规划审批工作。负责统筹全县建设工程规划管理工作的业务指导，负责县城乡规划委员会的日常工作。负责市政工程规划技术规定的制定。负责全县各类交通专项规划、城市路网和地下管网综合规划的组织编制、报批和维护。负责会同有关部门组织编制全县城市基础设施专项规划及规划审查、报批工作。承担中心城区范围内的市政基础设施工程项目的选址、规划条件、方案审查、用地许可审查、工程许可审查等工作。负责城市规划红线的管理。负责城市地下管线管理系统的动态更新工作。配合中心城区内大型交通、市政基础设施的选址、选线及规划设计方案研究、论证工作。负责对跨区域市政工程规划的业务指导。</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八）耕地保护股。贯彻执行耕地保护政策，组织实施耕地保护责任目标考核和永久基本农田特殊保护，负责永久基本农田划定、占用和补划的监督管理。承担耕地占补平衡管理工作。承担土地征收征用管理工作。负责耕地保护政策与林地、草地、湿地等土地资源保护政策的衔接。承担全县国土空间生态修复政策研究工作，拟订国土空间生态修复规划。承担国土空间综合整治、土地整理复垦等工作。承担生态保护补偿相关工作。负责国土空间生态修复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九）地质矿产股。管理全县地质勘查行业和地质工作，编制地质勘查规划并监督检查执行情况。管理全县地质勘查项目，组织实施全县重大地质矿产勘查专项。承担地质灾害的预防和治理工作。承担矿山地质环境恢复治理工作。贯彻执行矿业权管理政策，配合省厅、市局做好矿业权的出让及审批登记工作。统计分析并指导全县探矿权、采矿权审批登记，调处重大矿业权权属纠纷。承担保护性开采的特定矿种、优势矿产的开采总量控制及相关管理工作。拟订全县矿产资源政策和规划并组织实施，承担并指导矿产资源合理利用和保护。依职责承担矿产资源储量统计和信息发布及不压覆矿产资源审批管理、矿产地战略储备工作。实施矿山储量动态管理，建立矿产资源安全监测预警体系。监督地质资料汇交、保管和利用，监督管理古生物化石保护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地理信息股。拟订全县基础测绘规划、计划并监督实施。组织实施全县基础测绘和地理信息资源建设等重大项目。建立全县卫星导航定位基准服务系统。监督管理民用测绘航空摄影与卫星遥感。贯彻执行测绘行业管理政策，监督管理测绘活动和质量，管理测绘资质资格，监督管理外国组织、个人来隆测绘。贯彻执行地理信息安全保密政策。负责地理信息成果管理和测量标志保护，审核全县重要地理信息数据。负责地图管理，审查向社会公开的地图，监督互联网地图服务，开展国家版图意识宣传教育，协同拟订界线标准样图。提供地理信息应急保障，负责地理信息公共服务。</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一）生态保护修复股。承担全县森林、荒漠资源动态监测与评价工作。起草国土绿化重大政策措施，综合管理重点生态保护修复工程，指导植树造林、封山育林和以植树种草等生物措施防治水土流失工作。指导林业有害生物防治、检疫和预测预报。承担古树名木保护、林业应对气候变化相关工作。组织开展森林城市创建工作。指导监督全民义务植树、城乡绿化、部门绿化工作。拟订全县防沙治沙及沙化土地封禁保护区建设规划、相关地方标准和技术规程并监督实施。组织实施荒漠化防治重点生态工程。组织、指导沙尘暴灾害预测预报和应急处置。承担全县防治荒漠化公约履约工作。负责县国有林场、国有苗圃场改革工作。指导县国有林场基本建设和发展。承担林木种子、种苗管理工作，组织种质资源普查收集、评价利用和种质资源库建设。组织良种选育审定、示范推广。指导良种基地、保障性苗圃建设。监督管理林木种苗质量和生产经营行为。指导森林旅游工作。负责全县经济林、花卉行业管理工作。指导林业产业和林下经济发展。拟订相关林业产业地方标准并监督实施，组织、指导林产品质量监督。</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二）资源林政股。拟订全县森林资源保护发展的政策措施，按权限组织编制并监督执行全县森林采伐限额。承担林地相关管理工作，组织编制林地保护利用规划并监督实施。组织编制森林经营规划和森林经营方案并监督实施。拟订公益林保护规划、政策、标准并组织实施，负责公益林划定、调整和管理工作。监督管理全县森林资源。指导监督林木凭证采伐、运输。指导全县基层林业站的建设和管理。组织指导全县林业改革工作。承担全县集体林权制度改革工作，组织拟订农村林业发展、维护林业经营者合法权益的政策措施并指导实施。指导农村林地林木承包经营、流转管理。拟订林业资源优化配置及木材利用政策并指导实施。负责贯彻执行国家和省、市有关森林防火的法律法规及综合防灾减灾规划，组织编制全县森林火灾防治规划和防护标准并监督实施，指导开展防火巡护、火源管理、防火设施建设等工作。组织指导全县森林防火宣传教育、监测预警、督促检查等防火工作。组织开展全县陆生野生动植物资源调查和资源状况评估。监督管理全县陆生野生动植物保护工作。组织开展陆生野生动物疫源疫病监测、防控工作。研究提出国家和省重点保护的陆生野生动物、植物名录的调整建议。按分工监督管理野生动植物进出口。承担全县濒危野生动植物种国际公约履约工作。组织开展全县林业科学研究、成果转化和技术推广工作。承担林业标准化、质量检验、监测和知识产权等相关工作。监督管理林业生物种质资源、转基因生物安全、植物新品种保护。监督管理全县自然保护区、风景名胜区、地质公园、自然遗产、森林公园、湿地公园、沙漠公园等各类自然保护地，组织实施全县各类自然保护地资源调查、保护建设、生态修复、监测评价工作。提出新建、调整各类县级以上自然保护地的审核建议并按程序报批。负责县级以上风景名胜区的审查报批和监督管理，承办世界自然遗产项目的申报，会同有关部门承办世界自然与文化双重遗产项目的申报工作。承办全县生物多样性保护相关工作。承担全县保护世界文化和自然遗产国际公约履约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第七条  县自然资源和规划局机关行政编制25名。股级领导职数12名。</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科级领导职数设置另行明确。</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第八条  县自然资源和规划局派出机构和所属事业单位的设置、职责和编制事项另行规定。</w:t>
      </w:r>
    </w:p>
    <w:p>
      <w:pPr>
        <w:autoSpaceDE w:val="0"/>
        <w:autoSpaceDN w:val="0"/>
        <w:adjustRightInd w:val="0"/>
        <w:jc w:val="left"/>
        <w:rPr>
          <w:rFonts w:ascii="方正仿宋_GBK" w:hAnsi="Times New Roman" w:eastAsia="方正仿宋_GBK"/>
          <w:b/>
          <w:sz w:val="32"/>
          <w:szCs w:val="32"/>
        </w:rPr>
      </w:pPr>
    </w:p>
    <w:p>
      <w:pPr>
        <w:autoSpaceDE w:val="0"/>
        <w:autoSpaceDN w:val="0"/>
        <w:adjustRightInd w:val="0"/>
        <w:ind w:firstLine="640" w:firstLineChars="200"/>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pPr>
        <w:jc w:val="center"/>
        <w:outlineLvl w:val="0"/>
        <w:rPr>
          <w:rFonts w:ascii="Times New Roman" w:hAnsi="Times New Roman" w:eastAsia="方正小标宋_GBK"/>
          <w:sz w:val="32"/>
          <w:szCs w:val="24"/>
        </w:rPr>
      </w:pPr>
      <w:r>
        <w:rPr>
          <w:rFonts w:hint="eastAsia" w:ascii="Times New Roman" w:hAnsi="Times New Roman" w:eastAsia="方正小标宋_GBK"/>
          <w:sz w:val="32"/>
          <w:szCs w:val="24"/>
        </w:rPr>
        <w:t>部门机构设置情况</w:t>
      </w:r>
    </w:p>
    <w:tbl>
      <w:tblPr>
        <w:tblStyle w:val="11"/>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6"/>
        <w:gridCol w:w="1701"/>
        <w:gridCol w:w="1792"/>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701"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7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continue"/>
            <w:vAlign w:val="center"/>
          </w:tcPr>
          <w:p>
            <w:pPr>
              <w:spacing w:line="300" w:lineRule="exact"/>
              <w:jc w:val="left"/>
              <w:outlineLvl w:val="0"/>
            </w:pPr>
          </w:p>
        </w:tc>
        <w:tc>
          <w:tcPr>
            <w:tcW w:w="1701" w:type="dxa"/>
            <w:vMerge w:val="continue"/>
            <w:vAlign w:val="center"/>
          </w:tcPr>
          <w:p>
            <w:pPr>
              <w:spacing w:line="300" w:lineRule="exact"/>
              <w:jc w:val="left"/>
              <w:outlineLvl w:val="0"/>
            </w:pPr>
          </w:p>
        </w:tc>
        <w:tc>
          <w:tcPr>
            <w:tcW w:w="1792" w:type="dxa"/>
            <w:vMerge w:val="continue"/>
            <w:vAlign w:val="center"/>
          </w:tcPr>
          <w:p>
            <w:pPr>
              <w:spacing w:line="300" w:lineRule="exact"/>
              <w:jc w:val="left"/>
              <w:outlineLvl w:val="0"/>
            </w:pPr>
          </w:p>
        </w:tc>
        <w:tc>
          <w:tcPr>
            <w:tcW w:w="3013"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276" w:type="dxa"/>
            <w:vAlign w:val="center"/>
          </w:tcPr>
          <w:p>
            <w:pPr>
              <w:spacing w:line="300" w:lineRule="exact"/>
              <w:jc w:val="left"/>
              <w:rPr>
                <w:rFonts w:ascii="Times New Roman" w:hAnsi="Times New Roman" w:eastAsia="方正书宋_GBK"/>
                <w:szCs w:val="24"/>
              </w:rPr>
            </w:pPr>
            <w:r>
              <w:rPr>
                <w:rFonts w:hint="eastAsia" w:ascii="Times New Roman" w:hAnsi="Times New Roman" w:eastAsia="方正书宋_GBK"/>
                <w:szCs w:val="24"/>
              </w:rPr>
              <w:t>隆尧县自然资源和规划局</w:t>
            </w:r>
          </w:p>
        </w:tc>
        <w:tc>
          <w:tcPr>
            <w:tcW w:w="1701"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行政</w:t>
            </w:r>
          </w:p>
        </w:tc>
        <w:tc>
          <w:tcPr>
            <w:tcW w:w="1792"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正科级</w:t>
            </w:r>
          </w:p>
        </w:tc>
        <w:tc>
          <w:tcPr>
            <w:tcW w:w="3013"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财政拨款</w:t>
            </w:r>
          </w:p>
        </w:tc>
      </w:tr>
    </w:tbl>
    <w:p>
      <w:pPr>
        <w:ind w:firstLine="640" w:firstLineChars="200"/>
        <w:rPr>
          <w:rFonts w:ascii="黑体" w:hAnsi="黑体" w:eastAsia="黑体"/>
          <w:sz w:val="32"/>
          <w:szCs w:val="32"/>
        </w:rPr>
      </w:pPr>
    </w:p>
    <w:p>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pPr>
        <w:ind w:firstLine="640" w:firstLineChars="200"/>
        <w:rPr>
          <w:rFonts w:ascii="Times New Roman" w:hAnsi="Times New Roman" w:eastAsia="仿宋"/>
          <w:sz w:val="32"/>
          <w:szCs w:val="32"/>
        </w:rPr>
      </w:pPr>
      <w:r>
        <w:rPr>
          <w:rFonts w:hint="eastAsia" w:ascii="Times New Roman" w:hAnsi="Times New Roman" w:eastAsia="仿宋"/>
          <w:sz w:val="32"/>
          <w:szCs w:val="32"/>
        </w:rPr>
        <w:t>按照预算管理有关规定，目前部门预算的编制实行综合预算管理，即全部收入和支出都反映在预算中。隆尧县自然资源和规划局机关单位的收支包含在部门预算中。</w:t>
      </w:r>
    </w:p>
    <w:p>
      <w:pPr>
        <w:ind w:firstLine="640" w:firstLineChars="200"/>
        <w:rPr>
          <w:rFonts w:ascii="Times New Roman" w:hAnsi="Times New Roman" w:eastAsia="仿宋"/>
          <w:sz w:val="32"/>
          <w:szCs w:val="32"/>
        </w:rPr>
      </w:pPr>
      <w:r>
        <w:rPr>
          <w:rFonts w:ascii="Times New Roman" w:hAnsi="Times New Roman" w:eastAsia="仿宋"/>
          <w:sz w:val="32"/>
          <w:szCs w:val="32"/>
        </w:rPr>
        <w:t>1</w:t>
      </w:r>
      <w:r>
        <w:rPr>
          <w:rFonts w:hint="eastAsia" w:ascii="Times New Roman" w:hAnsi="Times New Roman" w:eastAsia="仿宋"/>
          <w:sz w:val="32"/>
          <w:szCs w:val="32"/>
        </w:rPr>
        <w:t>、收入说明</w:t>
      </w:r>
    </w:p>
    <w:p>
      <w:pPr>
        <w:ind w:firstLine="640" w:firstLineChars="200"/>
        <w:rPr>
          <w:rFonts w:hint="default" w:ascii="Times New Roman" w:hAnsi="Times New Roman" w:eastAsia="仿宋"/>
          <w:sz w:val="32"/>
          <w:szCs w:val="32"/>
          <w:lang w:val="en-US" w:eastAsia="zh-CN"/>
        </w:rPr>
      </w:pPr>
      <w:r>
        <w:rPr>
          <w:rFonts w:hint="eastAsia" w:ascii="Times New Roman" w:hAnsi="Times New Roman" w:eastAsia="仿宋"/>
          <w:sz w:val="32"/>
          <w:szCs w:val="32"/>
        </w:rPr>
        <w:t>反映本部门当年全部收入。</w:t>
      </w:r>
      <w:r>
        <w:rPr>
          <w:rFonts w:ascii="Times New Roman" w:hAnsi="Times New Roman" w:eastAsia="仿宋"/>
          <w:sz w:val="32"/>
          <w:szCs w:val="32"/>
        </w:rPr>
        <w:t>2021</w:t>
      </w:r>
      <w:r>
        <w:rPr>
          <w:rFonts w:hint="eastAsia" w:ascii="Times New Roman" w:hAnsi="Times New Roman" w:eastAsia="仿宋"/>
          <w:sz w:val="32"/>
          <w:szCs w:val="32"/>
        </w:rPr>
        <w:t>年预算收入</w:t>
      </w:r>
      <w:r>
        <w:rPr>
          <w:rFonts w:ascii="Times New Roman" w:hAnsi="Times New Roman" w:eastAsia="仿宋"/>
          <w:sz w:val="32"/>
          <w:szCs w:val="32"/>
        </w:rPr>
        <w:t>71498</w:t>
      </w:r>
      <w:r>
        <w:rPr>
          <w:rFonts w:hint="eastAsia" w:ascii="Times New Roman" w:hAnsi="Times New Roman" w:eastAsia="仿宋"/>
          <w:sz w:val="32"/>
          <w:szCs w:val="32"/>
        </w:rPr>
        <w:t>.</w:t>
      </w:r>
      <w:r>
        <w:rPr>
          <w:rFonts w:ascii="Times New Roman" w:hAnsi="Times New Roman" w:eastAsia="仿宋"/>
          <w:sz w:val="32"/>
          <w:szCs w:val="32"/>
        </w:rPr>
        <w:t>7347</w:t>
      </w:r>
      <w:r>
        <w:rPr>
          <w:rFonts w:hint="eastAsia" w:ascii="Times New Roman" w:hAnsi="Times New Roman" w:eastAsia="仿宋"/>
          <w:sz w:val="32"/>
          <w:szCs w:val="32"/>
        </w:rPr>
        <w:t>万元，其中：一般公共预算收入</w:t>
      </w:r>
      <w:r>
        <w:rPr>
          <w:rFonts w:ascii="Times New Roman" w:hAnsi="Times New Roman" w:eastAsia="仿宋"/>
          <w:sz w:val="32"/>
          <w:szCs w:val="32"/>
        </w:rPr>
        <w:t>2195</w:t>
      </w:r>
      <w:r>
        <w:rPr>
          <w:rFonts w:hint="eastAsia" w:ascii="Times New Roman" w:hAnsi="Times New Roman" w:eastAsia="仿宋"/>
          <w:sz w:val="32"/>
          <w:szCs w:val="32"/>
        </w:rPr>
        <w:t>.</w:t>
      </w:r>
      <w:r>
        <w:rPr>
          <w:rFonts w:ascii="Times New Roman" w:hAnsi="Times New Roman" w:eastAsia="仿宋"/>
          <w:sz w:val="32"/>
          <w:szCs w:val="32"/>
        </w:rPr>
        <w:t>0656</w:t>
      </w:r>
      <w:r>
        <w:rPr>
          <w:rFonts w:hint="eastAsia" w:ascii="Times New Roman" w:hAnsi="Times New Roman" w:eastAsia="仿宋"/>
          <w:sz w:val="32"/>
          <w:szCs w:val="32"/>
        </w:rPr>
        <w:t>万元，基金预算收入</w:t>
      </w:r>
      <w:r>
        <w:rPr>
          <w:rFonts w:hint="eastAsia" w:ascii="Times New Roman" w:hAnsi="Times New Roman" w:eastAsia="仿宋"/>
          <w:sz w:val="32"/>
          <w:szCs w:val="32"/>
          <w:lang w:val="en-US" w:eastAsia="zh-CN"/>
        </w:rPr>
        <w:t>69267.6691</w:t>
      </w:r>
      <w:r>
        <w:rPr>
          <w:rFonts w:hint="eastAsia" w:ascii="Times New Roman" w:hAnsi="Times New Roman" w:eastAsia="仿宋"/>
          <w:sz w:val="32"/>
          <w:szCs w:val="32"/>
        </w:rPr>
        <w:t>万元，财政专户核拨收入</w:t>
      </w:r>
      <w:r>
        <w:rPr>
          <w:rFonts w:ascii="Times New Roman" w:hAnsi="Times New Roman" w:eastAsia="仿宋"/>
          <w:sz w:val="32"/>
          <w:szCs w:val="32"/>
        </w:rPr>
        <w:t>0</w:t>
      </w:r>
      <w:r>
        <w:rPr>
          <w:rFonts w:hint="eastAsia" w:ascii="Times New Roman" w:hAnsi="Times New Roman" w:eastAsia="仿宋"/>
          <w:sz w:val="32"/>
          <w:szCs w:val="32"/>
        </w:rPr>
        <w:t>万元，其他来源收入（单位资金）</w:t>
      </w:r>
      <w:r>
        <w:rPr>
          <w:rFonts w:ascii="Times New Roman" w:hAnsi="Times New Roman" w:eastAsia="仿宋"/>
          <w:sz w:val="32"/>
          <w:szCs w:val="32"/>
        </w:rPr>
        <w:t>0</w:t>
      </w:r>
      <w:r>
        <w:rPr>
          <w:rFonts w:hint="eastAsia" w:ascii="Times New Roman" w:hAnsi="Times New Roman" w:eastAsia="仿宋"/>
          <w:sz w:val="32"/>
          <w:szCs w:val="32"/>
        </w:rPr>
        <w:t>万元</w:t>
      </w:r>
      <w:r>
        <w:rPr>
          <w:rFonts w:hint="eastAsia" w:ascii="Times New Roman" w:hAnsi="Times New Roman" w:eastAsia="仿宋"/>
          <w:sz w:val="32"/>
          <w:szCs w:val="32"/>
          <w:lang w:eastAsia="zh-CN"/>
        </w:rPr>
        <w:t>，上年结转</w:t>
      </w:r>
      <w:r>
        <w:rPr>
          <w:rFonts w:hint="eastAsia" w:ascii="Times New Roman" w:hAnsi="Times New Roman" w:eastAsia="仿宋"/>
          <w:sz w:val="32"/>
          <w:szCs w:val="32"/>
          <w:lang w:val="en-US" w:eastAsia="zh-CN"/>
        </w:rPr>
        <w:t>36万元。</w:t>
      </w:r>
    </w:p>
    <w:p>
      <w:pPr>
        <w:ind w:firstLine="640"/>
        <w:rPr>
          <w:rFonts w:ascii="Times New Roman" w:hAnsi="Times New Roman" w:eastAsia="仿宋"/>
          <w:sz w:val="32"/>
          <w:szCs w:val="32"/>
        </w:rPr>
      </w:pPr>
      <w:r>
        <w:rPr>
          <w:rFonts w:ascii="Times New Roman" w:hAnsi="Times New Roman" w:eastAsia="仿宋"/>
          <w:sz w:val="32"/>
          <w:szCs w:val="32"/>
        </w:rPr>
        <w:t>2</w:t>
      </w:r>
      <w:r>
        <w:rPr>
          <w:rFonts w:hint="eastAsia" w:ascii="Times New Roman" w:hAnsi="Times New Roman" w:eastAsia="仿宋"/>
          <w:sz w:val="32"/>
          <w:szCs w:val="32"/>
        </w:rPr>
        <w:t>、支出说明</w:t>
      </w:r>
    </w:p>
    <w:p>
      <w:pPr>
        <w:ind w:firstLine="640"/>
        <w:rPr>
          <w:rFonts w:ascii="Times New Roman" w:hAnsi="Times New Roman" w:eastAsia="仿宋"/>
          <w:sz w:val="32"/>
          <w:szCs w:val="32"/>
        </w:rPr>
      </w:pPr>
      <w:r>
        <w:rPr>
          <w:rFonts w:hint="eastAsia" w:ascii="Times New Roman" w:hAnsi="Times New Roman" w:eastAsia="仿宋"/>
          <w:sz w:val="32"/>
          <w:szCs w:val="32"/>
        </w:rPr>
        <w:t>收支预算总表支出栏、基本支出表、项目支出表按经济分类和支出功能分类科目编制，反映隆尧县自然资源和规划局年度部门预算中支出预算的总体情况。</w:t>
      </w:r>
      <w:r>
        <w:rPr>
          <w:rFonts w:ascii="Times New Roman" w:hAnsi="Times New Roman" w:eastAsia="仿宋"/>
          <w:sz w:val="32"/>
          <w:szCs w:val="32"/>
        </w:rPr>
        <w:t>2021</w:t>
      </w:r>
      <w:r>
        <w:rPr>
          <w:rFonts w:hint="eastAsia" w:ascii="Times New Roman" w:hAnsi="Times New Roman" w:eastAsia="仿宋"/>
          <w:sz w:val="32"/>
          <w:szCs w:val="32"/>
        </w:rPr>
        <w:t>年支出预算</w:t>
      </w:r>
      <w:r>
        <w:rPr>
          <w:rFonts w:ascii="Times New Roman" w:hAnsi="Times New Roman" w:eastAsia="仿宋"/>
          <w:sz w:val="32"/>
          <w:szCs w:val="32"/>
        </w:rPr>
        <w:t>71498</w:t>
      </w:r>
      <w:r>
        <w:rPr>
          <w:rFonts w:hint="eastAsia" w:ascii="Times New Roman" w:hAnsi="Times New Roman" w:eastAsia="仿宋"/>
          <w:sz w:val="32"/>
          <w:szCs w:val="32"/>
        </w:rPr>
        <w:t>.</w:t>
      </w:r>
      <w:r>
        <w:rPr>
          <w:rFonts w:ascii="Times New Roman" w:hAnsi="Times New Roman" w:eastAsia="仿宋"/>
          <w:sz w:val="32"/>
          <w:szCs w:val="32"/>
        </w:rPr>
        <w:t>7347</w:t>
      </w:r>
      <w:r>
        <w:rPr>
          <w:rFonts w:hint="eastAsia" w:ascii="Times New Roman" w:hAnsi="Times New Roman" w:eastAsia="仿宋"/>
          <w:sz w:val="32"/>
          <w:szCs w:val="32"/>
        </w:rPr>
        <w:t>万元，其中基本支出</w:t>
      </w:r>
      <w:r>
        <w:rPr>
          <w:rFonts w:ascii="Times New Roman" w:hAnsi="Times New Roman" w:eastAsia="仿宋"/>
          <w:sz w:val="32"/>
          <w:szCs w:val="32"/>
        </w:rPr>
        <w:t>393</w:t>
      </w:r>
      <w:r>
        <w:rPr>
          <w:rFonts w:hint="eastAsia" w:ascii="Times New Roman" w:hAnsi="Times New Roman" w:eastAsia="仿宋"/>
          <w:sz w:val="32"/>
          <w:szCs w:val="32"/>
        </w:rPr>
        <w:t>.</w:t>
      </w:r>
      <w:r>
        <w:rPr>
          <w:rFonts w:ascii="Times New Roman" w:hAnsi="Times New Roman" w:eastAsia="仿宋"/>
          <w:sz w:val="32"/>
          <w:szCs w:val="32"/>
        </w:rPr>
        <w:t>1356</w:t>
      </w:r>
      <w:r>
        <w:rPr>
          <w:rFonts w:hint="eastAsia" w:ascii="Times New Roman" w:hAnsi="Times New Roman" w:eastAsia="仿宋"/>
          <w:sz w:val="32"/>
          <w:szCs w:val="32"/>
        </w:rPr>
        <w:t>万元，包括人员经费</w:t>
      </w:r>
      <w:r>
        <w:rPr>
          <w:rFonts w:ascii="Times New Roman" w:hAnsi="Times New Roman" w:eastAsia="仿宋"/>
          <w:sz w:val="32"/>
          <w:szCs w:val="32"/>
        </w:rPr>
        <w:t>349</w:t>
      </w:r>
      <w:r>
        <w:rPr>
          <w:rFonts w:hint="eastAsia" w:ascii="Times New Roman" w:hAnsi="Times New Roman" w:eastAsia="仿宋"/>
          <w:sz w:val="32"/>
          <w:szCs w:val="32"/>
        </w:rPr>
        <w:t>.</w:t>
      </w:r>
      <w:r>
        <w:rPr>
          <w:rFonts w:ascii="Times New Roman" w:hAnsi="Times New Roman" w:eastAsia="仿宋"/>
          <w:sz w:val="32"/>
          <w:szCs w:val="32"/>
        </w:rPr>
        <w:t>0756</w:t>
      </w:r>
      <w:r>
        <w:rPr>
          <w:rFonts w:hint="eastAsia" w:ascii="Times New Roman" w:hAnsi="Times New Roman" w:eastAsia="仿宋"/>
          <w:sz w:val="32"/>
          <w:szCs w:val="32"/>
        </w:rPr>
        <w:t>万元和日常公用经费</w:t>
      </w:r>
      <w:r>
        <w:rPr>
          <w:rFonts w:ascii="Times New Roman" w:hAnsi="Times New Roman" w:eastAsia="仿宋"/>
          <w:sz w:val="32"/>
          <w:szCs w:val="32"/>
        </w:rPr>
        <w:t>44</w:t>
      </w:r>
      <w:r>
        <w:rPr>
          <w:rFonts w:hint="eastAsia" w:ascii="Times New Roman" w:hAnsi="Times New Roman" w:eastAsia="仿宋"/>
          <w:sz w:val="32"/>
          <w:szCs w:val="32"/>
        </w:rPr>
        <w:t>.</w:t>
      </w:r>
      <w:r>
        <w:rPr>
          <w:rFonts w:ascii="Times New Roman" w:hAnsi="Times New Roman" w:eastAsia="仿宋"/>
          <w:sz w:val="32"/>
          <w:szCs w:val="32"/>
        </w:rPr>
        <w:t>0600</w:t>
      </w:r>
      <w:r>
        <w:rPr>
          <w:rFonts w:hint="eastAsia" w:ascii="Times New Roman" w:hAnsi="Times New Roman" w:eastAsia="仿宋"/>
          <w:sz w:val="32"/>
          <w:szCs w:val="32"/>
        </w:rPr>
        <w:t>万元；项目支出</w:t>
      </w:r>
      <w:r>
        <w:rPr>
          <w:rFonts w:ascii="Times New Roman" w:hAnsi="Times New Roman" w:eastAsia="仿宋"/>
          <w:sz w:val="32"/>
          <w:szCs w:val="32"/>
        </w:rPr>
        <w:t>71105</w:t>
      </w:r>
      <w:r>
        <w:rPr>
          <w:rFonts w:hint="eastAsia" w:ascii="Times New Roman" w:hAnsi="Times New Roman" w:eastAsia="仿宋"/>
          <w:sz w:val="32"/>
          <w:szCs w:val="32"/>
        </w:rPr>
        <w:t>.</w:t>
      </w:r>
      <w:r>
        <w:rPr>
          <w:rFonts w:ascii="Times New Roman" w:hAnsi="Times New Roman" w:eastAsia="仿宋"/>
          <w:sz w:val="32"/>
          <w:szCs w:val="32"/>
        </w:rPr>
        <w:t>5991</w:t>
      </w:r>
      <w:r>
        <w:rPr>
          <w:rFonts w:hint="eastAsia" w:ascii="Times New Roman" w:hAnsi="Times New Roman" w:eastAsia="仿宋"/>
          <w:sz w:val="32"/>
          <w:szCs w:val="32"/>
        </w:rPr>
        <w:t>万元主要为主要是增加林业局和规划局等，其他支出无增减变化。</w:t>
      </w:r>
    </w:p>
    <w:p>
      <w:pPr>
        <w:ind w:firstLine="640"/>
        <w:rPr>
          <w:rFonts w:ascii="Times New Roman" w:hAnsi="Times New Roman" w:eastAsia="仿宋"/>
          <w:sz w:val="32"/>
          <w:szCs w:val="32"/>
        </w:rPr>
      </w:pPr>
      <w:r>
        <w:rPr>
          <w:rFonts w:ascii="Times New Roman" w:hAnsi="Times New Roman" w:eastAsia="仿宋"/>
          <w:sz w:val="32"/>
          <w:szCs w:val="32"/>
        </w:rPr>
        <w:t>3</w:t>
      </w:r>
      <w:r>
        <w:rPr>
          <w:rFonts w:hint="eastAsia" w:ascii="Times New Roman" w:hAnsi="Times New Roman" w:eastAsia="仿宋"/>
          <w:sz w:val="32"/>
          <w:szCs w:val="32"/>
        </w:rPr>
        <w:t>、比上年增减情况</w:t>
      </w:r>
    </w:p>
    <w:p>
      <w:pPr>
        <w:ind w:firstLine="640"/>
        <w:rPr>
          <w:rFonts w:ascii="Times New Roman" w:hAnsi="Times New Roman" w:eastAsia="仿宋"/>
          <w:sz w:val="32"/>
          <w:szCs w:val="32"/>
        </w:rPr>
      </w:pPr>
      <w:r>
        <w:rPr>
          <w:rFonts w:ascii="Times New Roman" w:hAnsi="Times New Roman" w:eastAsia="仿宋"/>
          <w:sz w:val="32"/>
          <w:szCs w:val="32"/>
        </w:rPr>
        <w:t>2021</w:t>
      </w:r>
      <w:r>
        <w:rPr>
          <w:rFonts w:hint="eastAsia" w:ascii="Times New Roman" w:hAnsi="Times New Roman" w:eastAsia="仿宋"/>
          <w:sz w:val="32"/>
          <w:szCs w:val="32"/>
        </w:rPr>
        <w:t>年预算收支安排</w:t>
      </w:r>
      <w:r>
        <w:rPr>
          <w:rFonts w:ascii="Times New Roman" w:hAnsi="Times New Roman" w:eastAsia="仿宋"/>
          <w:sz w:val="32"/>
          <w:szCs w:val="32"/>
        </w:rPr>
        <w:t>71498</w:t>
      </w:r>
      <w:r>
        <w:rPr>
          <w:rFonts w:hint="eastAsia" w:ascii="Times New Roman" w:hAnsi="Times New Roman" w:eastAsia="仿宋"/>
          <w:sz w:val="32"/>
          <w:szCs w:val="32"/>
        </w:rPr>
        <w:t>.</w:t>
      </w:r>
      <w:r>
        <w:rPr>
          <w:rFonts w:ascii="Times New Roman" w:hAnsi="Times New Roman" w:eastAsia="仿宋"/>
          <w:sz w:val="32"/>
          <w:szCs w:val="32"/>
        </w:rPr>
        <w:t>7347</w:t>
      </w:r>
      <w:r>
        <w:rPr>
          <w:rFonts w:hint="eastAsia" w:ascii="Times New Roman" w:hAnsi="Times New Roman" w:eastAsia="仿宋"/>
          <w:sz w:val="32"/>
          <w:szCs w:val="32"/>
        </w:rPr>
        <w:t>万元，较</w:t>
      </w:r>
      <w:r>
        <w:rPr>
          <w:rFonts w:ascii="Times New Roman" w:hAnsi="Times New Roman" w:eastAsia="仿宋"/>
          <w:sz w:val="32"/>
          <w:szCs w:val="32"/>
        </w:rPr>
        <w:t>2020</w:t>
      </w:r>
      <w:r>
        <w:rPr>
          <w:rFonts w:hint="eastAsia" w:ascii="Times New Roman" w:hAnsi="Times New Roman" w:eastAsia="仿宋"/>
          <w:sz w:val="32"/>
          <w:szCs w:val="32"/>
        </w:rPr>
        <w:t>年年初预算增加23160.887万元，其中：基本支出减少53.3862万元，主要为减少人员；项目支出增加23214.2732万元，主要为新增增减挂钩项目和项目尾款资金。</w:t>
      </w:r>
    </w:p>
    <w:p>
      <w:pPr>
        <w:ind w:firstLine="640"/>
        <w:rPr>
          <w:rFonts w:ascii="Times New Roman" w:hAnsi="Times New Roman" w:eastAsia="仿宋"/>
          <w:sz w:val="32"/>
          <w:szCs w:val="32"/>
        </w:rPr>
      </w:pPr>
      <w:r>
        <w:rPr>
          <w:rFonts w:hint="eastAsia" w:ascii="黑体" w:hAnsi="黑体" w:eastAsia="黑体"/>
          <w:sz w:val="32"/>
          <w:szCs w:val="32"/>
        </w:rPr>
        <w:t>三、机关运行经费安排情况</w:t>
      </w:r>
    </w:p>
    <w:p>
      <w:pPr>
        <w:ind w:firstLine="640" w:firstLineChars="200"/>
        <w:rPr>
          <w:rFonts w:ascii="Times New Roman" w:hAnsi="Times New Roman" w:eastAsia="仿宋"/>
          <w:sz w:val="32"/>
          <w:szCs w:val="32"/>
        </w:rPr>
      </w:pPr>
      <w:r>
        <w:rPr>
          <w:rFonts w:ascii="Times New Roman" w:hAnsi="Times New Roman" w:eastAsia="仿宋"/>
          <w:sz w:val="32"/>
          <w:szCs w:val="32"/>
        </w:rPr>
        <w:t>2021</w:t>
      </w:r>
      <w:r>
        <w:rPr>
          <w:rFonts w:hint="eastAsia" w:ascii="Times New Roman" w:hAnsi="Times New Roman" w:eastAsia="仿宋"/>
          <w:sz w:val="32"/>
          <w:szCs w:val="32"/>
        </w:rPr>
        <w:t>年，我机关运行经费共计安排</w:t>
      </w:r>
      <w:r>
        <w:rPr>
          <w:rFonts w:ascii="Times New Roman" w:hAnsi="Times New Roman" w:eastAsia="仿宋"/>
          <w:sz w:val="32"/>
          <w:szCs w:val="32"/>
        </w:rPr>
        <w:t>44</w:t>
      </w:r>
      <w:r>
        <w:rPr>
          <w:rFonts w:hint="eastAsia" w:ascii="Times New Roman" w:hAnsi="Times New Roman" w:eastAsia="仿宋"/>
          <w:sz w:val="32"/>
          <w:szCs w:val="32"/>
        </w:rPr>
        <w:t>.</w:t>
      </w:r>
      <w:r>
        <w:rPr>
          <w:rFonts w:ascii="Times New Roman" w:hAnsi="Times New Roman" w:eastAsia="仿宋"/>
          <w:sz w:val="32"/>
          <w:szCs w:val="32"/>
        </w:rPr>
        <w:t>0600</w:t>
      </w:r>
      <w:r>
        <w:rPr>
          <w:rFonts w:hint="eastAsia" w:ascii="Times New Roman" w:hAnsi="Times New Roman" w:eastAsia="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ind w:firstLine="640" w:firstLineChars="200"/>
        <w:rPr>
          <w:rFonts w:ascii="Times New Roman" w:hAnsi="Times New Roman" w:eastAsia="仿宋"/>
          <w:sz w:val="32"/>
          <w:szCs w:val="32"/>
        </w:rPr>
      </w:pPr>
      <w:r>
        <w:rPr>
          <w:rFonts w:hint="eastAsia" w:ascii="黑体" w:hAnsi="黑体" w:eastAsia="黑体"/>
          <w:sz w:val="32"/>
          <w:szCs w:val="32"/>
        </w:rPr>
        <w:t>四、财政拨款“三公”经费预算情况及增减变化原因</w:t>
      </w:r>
    </w:p>
    <w:p>
      <w:pPr>
        <w:autoSpaceDE w:val="0"/>
        <w:autoSpaceDN w:val="0"/>
        <w:adjustRightInd w:val="0"/>
        <w:snapToGrid w:val="0"/>
        <w:spacing w:line="360" w:lineRule="auto"/>
        <w:ind w:left="198" w:firstLine="640" w:firstLineChars="200"/>
        <w:jc w:val="left"/>
        <w:rPr>
          <w:rFonts w:ascii="Times New Roman" w:hAnsi="Times New Roman" w:eastAsia="仿宋"/>
          <w:sz w:val="32"/>
          <w:szCs w:val="32"/>
        </w:rPr>
      </w:pPr>
      <w:r>
        <w:rPr>
          <w:rFonts w:ascii="Times New Roman" w:hAnsi="Times New Roman" w:eastAsia="仿宋"/>
          <w:sz w:val="32"/>
          <w:szCs w:val="32"/>
        </w:rPr>
        <w:t>2021</w:t>
      </w:r>
      <w:r>
        <w:rPr>
          <w:rFonts w:hint="eastAsia" w:ascii="Times New Roman" w:hAnsi="Times New Roman" w:eastAsia="仿宋"/>
          <w:sz w:val="32"/>
          <w:szCs w:val="32"/>
        </w:rPr>
        <w:t>年，我部门财政拨款“三公”经费预算安排1.2万元，其中：因公出国（境）费0万元；公务用车购置及运维费0万元（其中：公务用车购置费0万元，公务用车运行维护费0万元)；公务接待费1.2万元</w:t>
      </w:r>
      <w:r>
        <w:rPr>
          <w:rFonts w:hint="eastAsia" w:ascii="Times New Roman" w:hAnsi="Times New Roman" w:eastAsia="仿宋"/>
          <w:sz w:val="32"/>
          <w:szCs w:val="32"/>
          <w:lang w:eastAsia="zh-CN"/>
        </w:rPr>
        <w:t>减少原因是为</w:t>
      </w:r>
      <w:r>
        <w:rPr>
          <w:rFonts w:hint="eastAsia" w:ascii="Times New Roman" w:hAnsi="Times New Roman" w:eastAsia="仿宋"/>
          <w:sz w:val="32"/>
          <w:szCs w:val="32"/>
          <w:lang w:val="en-US" w:eastAsia="zh-CN"/>
        </w:rPr>
        <w:t>严格遵照中央</w:t>
      </w:r>
      <w:r>
        <w:rPr>
          <w:rFonts w:hint="eastAsia" w:ascii="Times New Roman" w:hAnsi="Times New Roman" w:eastAsia="仿宋"/>
          <w:sz w:val="32"/>
          <w:szCs w:val="32"/>
          <w:lang w:eastAsia="zh-CN"/>
        </w:rPr>
        <w:t>八项规定三公经费要逐年递减，</w:t>
      </w:r>
      <w:r>
        <w:rPr>
          <w:rFonts w:hint="eastAsia" w:ascii="Times New Roman" w:hAnsi="Times New Roman" w:eastAsia="仿宋"/>
          <w:sz w:val="32"/>
          <w:szCs w:val="32"/>
          <w:lang w:val="en-US" w:eastAsia="zh-CN"/>
        </w:rPr>
        <w:t>2021年</w:t>
      </w:r>
      <w:r>
        <w:rPr>
          <w:rFonts w:hint="eastAsia" w:ascii="Times New Roman" w:hAnsi="Times New Roman" w:eastAsia="仿宋"/>
          <w:sz w:val="32"/>
          <w:szCs w:val="32"/>
        </w:rPr>
        <w:t>与上年</w:t>
      </w:r>
      <w:r>
        <w:rPr>
          <w:rFonts w:hint="eastAsia" w:ascii="Times New Roman" w:hAnsi="Times New Roman" w:eastAsia="仿宋"/>
          <w:sz w:val="32"/>
          <w:szCs w:val="32"/>
          <w:lang w:eastAsia="zh-CN"/>
        </w:rPr>
        <w:t>相比</w:t>
      </w:r>
      <w:r>
        <w:rPr>
          <w:rFonts w:hint="eastAsia" w:ascii="Times New Roman" w:hAnsi="Times New Roman" w:eastAsia="仿宋"/>
          <w:sz w:val="32"/>
          <w:szCs w:val="32"/>
        </w:rPr>
        <w:t>“三公”经费</w:t>
      </w:r>
      <w:r>
        <w:rPr>
          <w:rFonts w:hint="eastAsia" w:ascii="Times New Roman" w:hAnsi="Times New Roman" w:eastAsia="仿宋"/>
          <w:sz w:val="32"/>
          <w:szCs w:val="32"/>
          <w:lang w:eastAsia="zh-CN"/>
        </w:rPr>
        <w:t>减少</w:t>
      </w:r>
      <w:r>
        <w:rPr>
          <w:rFonts w:hint="eastAsia" w:ascii="Times New Roman" w:hAnsi="Times New Roman" w:eastAsia="仿宋"/>
          <w:sz w:val="32"/>
          <w:szCs w:val="32"/>
          <w:lang w:val="en-US" w:eastAsia="zh-CN"/>
        </w:rPr>
        <w:t>0.3万元</w:t>
      </w:r>
      <w:r>
        <w:rPr>
          <w:rFonts w:hint="eastAsia" w:ascii="Times New Roman" w:hAnsi="Times New Roman" w:eastAsia="仿宋"/>
          <w:sz w:val="32"/>
          <w:szCs w:val="32"/>
        </w:rPr>
        <w:t>。</w:t>
      </w:r>
    </w:p>
    <w:p>
      <w:pPr>
        <w:autoSpaceDE w:val="0"/>
        <w:autoSpaceDN w:val="0"/>
        <w:adjustRightInd w:val="0"/>
        <w:snapToGrid w:val="0"/>
        <w:spacing w:line="360" w:lineRule="auto"/>
        <w:ind w:left="198" w:firstLine="640" w:firstLineChars="200"/>
        <w:jc w:val="left"/>
        <w:rPr>
          <w:rFonts w:ascii="黑体" w:hAnsi="黑体" w:eastAsia="黑体"/>
          <w:sz w:val="32"/>
          <w:szCs w:val="32"/>
        </w:rPr>
      </w:pPr>
      <w:r>
        <w:rPr>
          <w:rFonts w:hint="eastAsia" w:ascii="黑体" w:hAnsi="黑体" w:eastAsia="黑体"/>
          <w:sz w:val="32"/>
          <w:szCs w:val="32"/>
        </w:rPr>
        <w:t>五、预算绩效信息</w:t>
      </w:r>
    </w:p>
    <w:p>
      <w:pPr>
        <w:adjustRightInd w:val="0"/>
        <w:snapToGrid w:val="0"/>
        <w:spacing w:line="500" w:lineRule="exact"/>
        <w:ind w:firstLine="560" w:firstLineChars="200"/>
        <w:jc w:val="left"/>
        <w:rPr>
          <w:rFonts w:ascii="Times New Roman" w:eastAsia="方正仿宋_GBK"/>
          <w:sz w:val="28"/>
        </w:rPr>
      </w:pPr>
      <w:bookmarkStart w:id="0" w:name="_Toc471398463"/>
      <w:r>
        <w:rPr>
          <w:rFonts w:ascii="Times New Roman" w:eastAsia="方正仿宋_GBK"/>
          <w:sz w:val="28"/>
        </w:rPr>
        <w:t>一</w:t>
      </w:r>
      <w:r>
        <w:rPr>
          <w:rFonts w:hint="eastAsia" w:ascii="Times New Roman" w:eastAsia="方正仿宋_GBK"/>
          <w:sz w:val="28"/>
        </w:rPr>
        <w:t>、</w:t>
      </w:r>
      <w:r>
        <w:rPr>
          <w:rFonts w:ascii="Times New Roman" w:eastAsia="方正仿宋_GBK"/>
          <w:sz w:val="28"/>
        </w:rPr>
        <w:t>总体绩效目标</w:t>
      </w:r>
    </w:p>
    <w:p>
      <w:pPr>
        <w:adjustRightInd w:val="0"/>
        <w:snapToGrid w:val="0"/>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（一）坚持把党的政治建设摆在首位。一是持续开展“不忘初心、牢记使命”主题教育。按照县委</w:t>
      </w:r>
      <w:r>
        <w:rPr>
          <w:rFonts w:hint="eastAsia" w:ascii="Times New Roman" w:hAnsi="Times New Roman" w:eastAsia="仿宋"/>
          <w:sz w:val="32"/>
          <w:szCs w:val="32"/>
          <w:lang w:eastAsia="zh-CN"/>
        </w:rPr>
        <w:t>县</w:t>
      </w:r>
      <w:r>
        <w:rPr>
          <w:rFonts w:ascii="Times New Roman" w:hAnsi="Times New Roman" w:eastAsia="仿宋"/>
          <w:sz w:val="32"/>
          <w:szCs w:val="32"/>
        </w:rPr>
        <w:t>政府的具体部署，引导党员干部提高政治觉悟和政治能力，全面营造“树正气、有激情、敢担当、干成事”工作氛围。二是持续推进党支部标准化建设。坚持抓支部、打基础，深入推进“合格支部、过硬支部、示范支部”三级联创创建及评定工作，把7个支部打造成坚强战斗堡垒。三是不断提升干部能力素质。采取走出去与请进来相结合的方式，组织参观实践、推荐培训、外出调研、组织集训、专题授课、学习研讨等方式拓宽我局工作人员视野，找准自然资源和规划局在全县重大战略发展中的定位，发挥积极的资源保障作用。</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二）强力推进国土空间规划编制。倒排工期，严把节点，全面推进国土空间规划进程。加强乡镇规划、专项规划、村庄规划与县级空间规划的衔接。重点督导县级和乡镇级国土空间规划的优化完善工作，完成专项规划编制，加快村庄规划编制，确保按时完成审批工作。</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三）持续做好重点项目用地保障。一是对全县重点项目提前介入，主动服务、挂图作战，专人跟踪土地农转用和征收报批组卷进度。二是积极协调开发区和相关部门，全力推进“标准地”供应工作，多措并举继续推进批而未供土地处置。三是加强内部数据审查和实地勘查，详实收集土地市场相关数据及征求各乡镇和县直部门意见，有保有压，突出重点，保障重点项目顺利落地。</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四）加大自然资源执法监察力度。落实《隆尧县国土资源网格化管理办法》，强化巡查管控，严格执行日巡查、周报告制度，对新增违法占地，“发现在初始，解决在萌芽”。加大城乡规划监察力度，对重点区域和重点项目，严查擅自改变规划审批内容建设行为。对中心城区外违法违规建设行为，结合属地政府，依法予以强制拆除，切实维护规划权威。加强林业执法和矿业执法力度，维护现有治理成果。</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五）夯实自然资源工作基础。一是继续开展第三次国土调查相关专项调查工作，根据国家反馈意见进行整改，对数据成果进行汇总。二是完成全县的集体建设用地和宅基地使用权的存量数据汇交和新增不动产证书总量达到90%。完成隆尧县农村所有权补充调查更新发证工作。三是开通网上预约预审、网上查询等服务，形成网上平台、实体大厅和移动端互通，“窗口办”与“网上办”互补，“有形”窗口和“无形”窗口并行，实现不动产、交易、税务一体化。</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六）扎实推进生态环境修复。一是抓好地质灾害防治工作，开展地质灾害隐患排查、群测群防培训和地质灾害工程治理工作。二是积极推进尧山“白茬山”治理。三是扎实推进造林绿化工程，点面结合，全力推动“国家森林城市”创建，完成造林绿化年度目标。强化涉林执法手段，全力保护野生动植物资源安全，打击违法犯罪活动，做好林区安全。</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七）推进“两馆一中心”项目建设。一是推进智慧城市（一期）工程移交；二是结合国土空间规划编制成果，推进规划馆布展进程，完成布展并开馆。三是探索建立“两馆一中心”运行管理机制，确保场馆平稳运行。</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三、“十四五”工作思路</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（一）坚持永远在路上的决心，持之以恒地推进全面从严管党治党。一是始终把“不忘初心</w:t>
      </w:r>
      <w:r>
        <w:rPr>
          <w:rFonts w:hint="eastAsia" w:ascii="Times New Roman" w:hAnsi="Times New Roman" w:eastAsia="仿宋"/>
          <w:sz w:val="32"/>
          <w:szCs w:val="32"/>
          <w:lang w:eastAsia="zh-CN"/>
        </w:rPr>
        <w:t>、</w:t>
      </w:r>
      <w:r>
        <w:rPr>
          <w:rFonts w:ascii="Times New Roman" w:hAnsi="Times New Roman" w:eastAsia="仿宋"/>
          <w:sz w:val="32"/>
          <w:szCs w:val="32"/>
        </w:rPr>
        <w:t>牢记使命”主题教育作为永恒的课题。立足党组中心组学习、干部集中学习、集中培训、自学和廉政红色基地教学等方式，以习近平新时代中国特色社会主义思想学习教育为主线，把党的十九大和十九届二中、三中、四中全会精神、习近平生态文明思想、习近平</w:t>
      </w:r>
      <w:r>
        <w:rPr>
          <w:rFonts w:hint="eastAsia" w:ascii="Times New Roman" w:hAnsi="Times New Roman" w:eastAsia="仿宋"/>
          <w:sz w:val="32"/>
          <w:szCs w:val="32"/>
          <w:lang w:eastAsia="zh-CN"/>
        </w:rPr>
        <w:t>总书记</w:t>
      </w:r>
      <w:r>
        <w:rPr>
          <w:rFonts w:ascii="Times New Roman" w:hAnsi="Times New Roman" w:eastAsia="仿宋"/>
          <w:sz w:val="32"/>
          <w:szCs w:val="32"/>
        </w:rPr>
        <w:t>重要指示精神以及自然资源部门有关决策部署贯穿学习教育的始终；持续推进警示教育常态化，定期开展党组织书记上党课活动，以灵活的方式方法抓好意识形态教育方面的创新。二是全面压实管党治党责任。坚持“一岗双责”，进一步压实党建和党风廉政建设主体责任，建立党建和党风廉政建设季度清单制，落实季度考核、半年检查、年终综合考评机制，正确运用考核结果；认真贯彻民主集中制，落实定期党内民主生活会、组织生活会、“三会一课”和主题党日制度；切实加强巡察反馈问题整改。三是配齐建强班子。按照干部任用条件和任用程序，进一步优化班子结构，全面配齐配强局领导班子。四是带好带活队伍。坚持用感情感化人，用制度约束人，用机制激励人的用人机制，不拘一格选贤任能，形成量化施岗，人尽其才，才尽其用，不拘一格选人用人格局。五是完善制度保障。进一步完善党组会议、局长办公会议、党组扩大会议的议事程序和规则，推进民主决策制度化、规范化、科学化；完善财务、考勤考绩、公车管理、公务接待、住宿差旅、政府采购等制度，切实把规矩和制度挺在纪律的前面。六是扎实开展作风建设提升。科学制定机关作风效能建设监督、举报、评议、奖惩、整改反馈等措施，把服务优质、业务精通、能力过硬、廉洁高效作为作风效能建设的总目标，把“妈妈式服务”作为机关人员的行动要求，根治“推、托、懒、慢、散、乱”和“吃、拿、卡、要”等现象，全面推进全系统作风效能的改进和提升。七是加强对群团组织的领导。加强党对群团组织的领导，配齐配强工、青、妇群团组织班子，支持工、青、妇依法按彰开展工作，重视丰富干部职工的业余文化生活，关心关注干部职工的生活福利待遇问题。八是支持监督执纪问责。加强与派驻纪检组的沟通，主动接受监督；围绕执法服务等重点领域，用好监督执纪“四种形态”，切实把问题抓早抓小，防微杜渐；依法依纪查处系统内违法违纪案件，全面提升党风廉政建设工作水平。</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 xml:space="preserve">（二）坚持高质量引领发展，推进国土空间规划编制和实施。一是建立国土空间规划体系，逐步建立“多规合一”的规划实施、监督体系；二是开展分区规划和控制性详细规划编制工作，开展城市总体规划设计工作；完成隆尧县县级国土空间总体规划和乡镇国土空间规划编制，扎实推进各专项规划及详细规划编制工作；三是初步形成全县国土空间开发保护“一张图”，加强国土空间信息平台建设；四是到2025年，结合生态空间用途管制、计划管理、用地审批、城乡规划许可等工作，明确“十四五”时期国土空间用途管制主要目标，形成以国土空间规划为基础，以统一用途管制为手段的国土空间开发保护制度。五是加强规划实施监督体系建设。加强批后监管、过程监督。加强规划批后监管执法工作，严厉查处擅自变更规划的行为。六是健全规划决策机制。进一步提升规划管理水平，充分尊重专家和公众意见，健全县规划委员会人员组成和议事规则，并接受人大代表、政协委员询问。探索建立政府规划专家顾问制度。 </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三）坚持以项目建设为重点，持续加强用地供给。根据县域经济发展规划和重点项目用地需求，十四五期间预计完成5000亩土地储备入库，做好土地供应前必要的通平等基础工作并完成土地供应，保障重点项目和城市发展用地需要。一是在省市指导下做好全民所有自然资源资产清理统计工作，做好自然资源资产价值评估和资产核算并编制资产负债表。二是开展集体经营性建设用地入市工作，多途径、多方式挖潜存量土地，保障项目用地需求，促进县域经济可持续发展。三是进一步完善自然资源出让交易和监管平台，加强调控，发挥市场对资源配置的决定作用；进一步完善自然资源资产的转让、租赁、抵押二级交易市场规则，推进自然资源资产二级交易平台和服务体系建设。四是进一步建立并完善自然资源价格体系，多渠道、多形式采集样本，及时更新基准价和标定价，促进自然资源集约节约利用，提高资源开发利用效率，保障经济可持续、高质量发展。</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四）坚持耕地占补平衡，全面推进耕地保量提质。一是牢牢守住耕地红线，加强永久基本农田保护和管理，压实耕地目标管理、属地管理责任，以国土空间规划为引领，实施耕地数量、质量、生态“三位一体”综合保护；加大对设施农用地的审批和管控力度，支持农业生产，严防出现耕地非农化现象。二是持续实施土地整治工作，进一步落实管护措施，加强管护责任。乡镇政府要加强项目区后期管护工作，所有土地整治项目经验收确认为新增耕地后，一律纳入基本农田管理范围，严格执行基本农田“五不准”制度，在年度遥感影像核查或项目巡查中，一旦发现在项目区违法占地建设，将按有关法律法规追究所在乡镇、村有关人员的法律责任；三是充分利用“三调”和下一轮规划编制的有利时机，科学预留土地整治空间，为下一个规划期间的土地综合整治打下坚实的基础。</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五）坚持依法治理，持续强化自然资源管理执法保障。一是不断提升自然资源法治建设水平，积极开展系统内国土、规划、林业、不动产权登记等行业法治宣传教育。二是抓好重大事项、规范性文件合法性审查，深化法律顾问制度和律师代理制度，扎实推进行政复议、行政应诉工作。三是落实信访属地管理和责任考核机制，依法分类调处化解信访积案。四是自觉接受人大、政协和法律监督，高质量办理人大议案和政协提案。五是认真贯彻实施新修订的《土地管理法》、《森林法》，做好学习培训和宣传，加强土地制度改革过渡期有关工作的衔接。六是压实县乡村三级自然资源管理责任，继续推进自然资源管理月度卫星监测考核工作，严格考评奖惩，全方位加强自然资源管理工作。七是深入推进执法监察力度，继续严格落实动态巡查工作责任制，认真抓好日常巡查，充分发挥基层所和执法队的执法监察前哨作用，切实将执法“关口”前移到基层一线。同时利用新的科技手段与以往的执法监察工作无缝对接，以便更及时地发现、制止和查处自然资源违法行为，彻底将各类违法用地、毁林行为消灭在萌芽状态。力争做到“早发现、早制止、早处置”。</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（六）坚持优质服务，持续推进</w:t>
      </w:r>
      <w:r>
        <w:rPr>
          <w:rFonts w:hint="eastAsia" w:ascii="Times New Roman" w:hAnsi="Times New Roman" w:eastAsia="仿宋"/>
          <w:sz w:val="32"/>
          <w:szCs w:val="32"/>
          <w:lang w:eastAsia="zh-CN"/>
        </w:rPr>
        <w:t>“</w:t>
      </w:r>
      <w:r>
        <w:rPr>
          <w:rFonts w:ascii="Times New Roman" w:hAnsi="Times New Roman" w:eastAsia="仿宋"/>
          <w:sz w:val="32"/>
          <w:szCs w:val="32"/>
        </w:rPr>
        <w:t>放管服</w:t>
      </w:r>
      <w:r>
        <w:rPr>
          <w:rFonts w:hint="eastAsia" w:ascii="Times New Roman" w:hAnsi="Times New Roman" w:eastAsia="仿宋"/>
          <w:sz w:val="32"/>
          <w:szCs w:val="32"/>
          <w:lang w:eastAsia="zh-CN"/>
        </w:rPr>
        <w:t>”</w:t>
      </w:r>
      <w:r>
        <w:rPr>
          <w:rFonts w:ascii="Times New Roman" w:hAnsi="Times New Roman" w:eastAsia="仿宋"/>
          <w:sz w:val="32"/>
          <w:szCs w:val="32"/>
        </w:rPr>
        <w:t>改革。一是推进互联网+不动产登记，夯实工作基础。建立不动产登记信息系统，满足颁发新证和纳入国家级信息平台需要。二是强化窗口建设，贯彻便民要求。加强与有关部门的沟通、衔接，科学合理设置不动产登记窗口，做好人员配备和岗位设置，保证不动产登记工作高效有序。三是严格登记管理，确保信息安全。建立健全分级控制、层层把关的不动产登记资料安全保密制度，严把登记资料移交、数据整合建库、信息系统运行、登记业务开展和信息共享查询等关键环节，确保信息安全。四是加强学习培训，提高人员素质。通过专题学习、辅导培训、业务探讨等方式认真做好不动产登记人员学习培训工作，提高登记效率，保证登记质量。</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七）坚持生态优先，持续推进林业资源管理。以习近平新时代中国特色社会主义思想为指导，坚持“绿水青山就是金山银山”的绿色发展理念，围绕国家森林城市创建总要求，以交通干线廊道绿化、县城绿化、河渠绿化、林网绿化、尧山绿化、村庄绿化、用材林经济林基地建设等为重点，与裸露地表覆盖相结合，与潜在城市森林相结合，与美丽乡村建设相结合，与防范采河砂、矿石相结合，与农民增收相结合，2021-2025年完成营造林1万亩以上。坚持机制创新，注重政策引导，动员全县上下，大搞植树造林，提升森林质量，打造绿色产业，强化资源管理，弘扬生态文化，推进全县林业高质量赶超发展，努力把隆尧打造成山清水秀、生态良好、环境优美的国家森林城市，为加快建设“经济强县、美丽隆尧”提供支撑、奠定基础。</w:t>
      </w:r>
    </w:p>
    <w:p>
      <w:pPr>
        <w:spacing w:line="500" w:lineRule="exact"/>
        <w:jc w:val="left"/>
        <w:rPr>
          <w:rFonts w:ascii="Times New Roman" w:eastAsia="方正仿宋_GBK"/>
          <w:sz w:val="28"/>
        </w:rPr>
      </w:pPr>
    </w:p>
    <w:p>
      <w:pPr>
        <w:spacing w:beforeLines="50" w:afterLines="50" w:line="500" w:lineRule="exact"/>
        <w:ind w:firstLine="560" w:firstLineChars="200"/>
        <w:jc w:val="left"/>
        <w:outlineLvl w:val="1"/>
        <w:rPr>
          <w:rFonts w:ascii="Times New Roman" w:hAnsi="宋体"/>
          <w:sz w:val="28"/>
        </w:rPr>
      </w:pPr>
      <w:bookmarkStart w:id="1" w:name="_Toc66050567"/>
      <w:r>
        <w:rPr>
          <w:rFonts w:hint="eastAsia" w:ascii="方正黑体_GBK" w:eastAsia="方正黑体_GBK"/>
          <w:sz w:val="28"/>
        </w:rPr>
        <w:t>二、分项绩效目标</w:t>
      </w:r>
      <w:bookmarkEnd w:id="1"/>
      <w:r>
        <w:rPr>
          <w:rFonts w:ascii="方正黑体_GBK" w:eastAsia="方正黑体_GBK"/>
          <w:sz w:val="28"/>
        </w:rP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分项绩效目标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ascii="仿宋" w:hAnsi="仿宋" w:eastAsia="仿宋"/>
          <w:sz w:val="28"/>
        </w:rPr>
      </w:pPr>
      <w:r>
        <w:rPr>
          <w:rFonts w:ascii="仿宋" w:hAnsi="仿宋" w:eastAsia="仿宋"/>
          <w:sz w:val="28"/>
        </w:rPr>
        <w:t>分项绩效项目</w:t>
      </w:r>
    </w:p>
    <w:p>
      <w:pPr>
        <w:spacing w:line="500" w:lineRule="exact"/>
        <w:ind w:firstLine="560" w:firstLineChars="200"/>
        <w:jc w:val="left"/>
        <w:rPr>
          <w:rFonts w:ascii="仿宋" w:hAnsi="仿宋" w:eastAsia="仿宋"/>
          <w:sz w:val="28"/>
        </w:rPr>
      </w:pPr>
      <w:r>
        <w:rPr>
          <w:rFonts w:ascii="仿宋" w:hAnsi="仿宋" w:eastAsia="仿宋"/>
          <w:sz w:val="28"/>
        </w:rPr>
        <w:t>1、注重顶层设计，不断完善规划编制体系</w:t>
      </w:r>
    </w:p>
    <w:p>
      <w:pPr>
        <w:spacing w:line="500" w:lineRule="exact"/>
        <w:ind w:firstLine="560" w:firstLineChars="200"/>
        <w:jc w:val="left"/>
        <w:rPr>
          <w:rFonts w:ascii="仿宋" w:hAnsi="仿宋" w:eastAsia="仿宋"/>
          <w:sz w:val="28"/>
        </w:rPr>
      </w:pPr>
      <w:r>
        <w:rPr>
          <w:rFonts w:ascii="仿宋" w:hAnsi="仿宋" w:eastAsia="仿宋"/>
          <w:sz w:val="28"/>
        </w:rPr>
        <w:t>绩效目标：在完成国土空间规划编制万有引力的基础上，科学组织编制隆尧县国土空间总体规划；推进2021年度国土空间开发保护现状评估、生物多样性保护规划、城市综合交通规划、绿地系统规划 等规划编制工作。</w:t>
      </w:r>
    </w:p>
    <w:p>
      <w:pPr>
        <w:spacing w:line="500" w:lineRule="exact"/>
        <w:ind w:firstLine="560" w:firstLineChars="200"/>
        <w:jc w:val="left"/>
        <w:rPr>
          <w:rFonts w:ascii="仿宋" w:hAnsi="仿宋" w:eastAsia="仿宋"/>
          <w:sz w:val="28"/>
        </w:rPr>
      </w:pPr>
      <w:r>
        <w:rPr>
          <w:rFonts w:ascii="仿宋" w:hAnsi="仿宋" w:eastAsia="仿宋"/>
          <w:sz w:val="28"/>
        </w:rPr>
        <w:t>绩效指标：2021年倒排工期，严把节点，全面推进国土空间规划进程。加强乡镇规划、专项规划、村庄规划与县级空间规划的衔接。重点督导县级和乡镇级国土空间规划的优化完善工作，完成专项规划编制，加快村庄规划编制，确保按时完成审批工作。</w:t>
      </w:r>
    </w:p>
    <w:p>
      <w:pPr>
        <w:spacing w:line="500" w:lineRule="exact"/>
        <w:ind w:firstLine="560" w:firstLineChars="200"/>
        <w:jc w:val="left"/>
        <w:rPr>
          <w:rFonts w:ascii="仿宋" w:hAnsi="仿宋" w:eastAsia="仿宋"/>
          <w:sz w:val="28"/>
        </w:rPr>
      </w:pPr>
      <w:r>
        <w:rPr>
          <w:rFonts w:ascii="仿宋" w:hAnsi="仿宋" w:eastAsia="仿宋"/>
          <w:sz w:val="28"/>
        </w:rPr>
        <w:t>2、全面调查监测，逐步完善自然资源管理基础数据</w:t>
      </w:r>
    </w:p>
    <w:p>
      <w:pPr>
        <w:spacing w:line="500" w:lineRule="exact"/>
        <w:ind w:firstLine="560" w:firstLineChars="200"/>
        <w:jc w:val="left"/>
        <w:rPr>
          <w:rFonts w:ascii="仿宋" w:hAnsi="仿宋" w:eastAsia="仿宋"/>
          <w:sz w:val="28"/>
        </w:rPr>
      </w:pPr>
      <w:r>
        <w:rPr>
          <w:rFonts w:ascii="仿宋" w:hAnsi="仿宋" w:eastAsia="仿宋"/>
          <w:sz w:val="28"/>
        </w:rPr>
        <w:t>绩效目标：全面查清自然资源空间分布、质量状况，形成全面完善的自然资源管理的基础数据，为自然资源管理、国土空间规划与用途管制、自然资源的开发及利用和生态保护修复等工作提供基础数据和技术支撑，为各级政府进行科学决策白日做梦有力保障。</w:t>
      </w:r>
    </w:p>
    <w:p>
      <w:pPr>
        <w:spacing w:line="500" w:lineRule="exact"/>
        <w:ind w:firstLine="560" w:firstLineChars="200"/>
        <w:jc w:val="left"/>
        <w:rPr>
          <w:rFonts w:ascii="仿宋" w:hAnsi="仿宋" w:eastAsia="仿宋"/>
          <w:sz w:val="28"/>
        </w:rPr>
      </w:pPr>
      <w:r>
        <w:rPr>
          <w:rFonts w:ascii="仿宋" w:hAnsi="仿宋" w:eastAsia="仿宋"/>
          <w:sz w:val="28"/>
        </w:rPr>
        <w:t>绩效指标：及时掌握土地市场数据更新，数据现势性大幅提升。完成第三次全国土地调查并形成县级成果，成果达到省级、市级审核标准。对全县重点项目提前介入，主动服务、挂图作战，专人跟踪土地农转用和征收报批组卷进度。积极协调开发区和相关部门，全力推进“标准地”供应工作，多措并举继续推进批而未供土地处置。加强内部数据审查和实地勘查，详实收集土地市场相关数据及征求各乡镇和县直部门意见，有保有压，突出重点，保障重点项目顺利落地。</w:t>
      </w:r>
    </w:p>
    <w:p>
      <w:pPr>
        <w:spacing w:line="500" w:lineRule="exact"/>
        <w:ind w:firstLine="560" w:firstLineChars="200"/>
        <w:jc w:val="left"/>
        <w:rPr>
          <w:rFonts w:ascii="仿宋" w:hAnsi="仿宋" w:eastAsia="仿宋"/>
          <w:sz w:val="28"/>
        </w:rPr>
      </w:pPr>
      <w:r>
        <w:rPr>
          <w:rFonts w:ascii="仿宋" w:hAnsi="仿宋" w:eastAsia="仿宋"/>
          <w:sz w:val="28"/>
        </w:rPr>
        <w:t>3、坚持优质服务，持续推进</w:t>
      </w:r>
      <w:r>
        <w:rPr>
          <w:rFonts w:hint="eastAsia" w:ascii="仿宋" w:hAnsi="仿宋" w:eastAsia="仿宋"/>
          <w:sz w:val="28"/>
          <w:lang w:eastAsia="zh-CN"/>
        </w:rPr>
        <w:t>“</w:t>
      </w:r>
      <w:r>
        <w:rPr>
          <w:rFonts w:ascii="仿宋" w:hAnsi="仿宋" w:eastAsia="仿宋"/>
          <w:sz w:val="28"/>
        </w:rPr>
        <w:t>放管服</w:t>
      </w:r>
      <w:r>
        <w:rPr>
          <w:rFonts w:hint="eastAsia" w:ascii="仿宋" w:hAnsi="仿宋" w:eastAsia="仿宋"/>
          <w:sz w:val="28"/>
          <w:lang w:eastAsia="zh-CN"/>
        </w:rPr>
        <w:t>”</w:t>
      </w:r>
      <w:r>
        <w:rPr>
          <w:rFonts w:ascii="仿宋" w:hAnsi="仿宋" w:eastAsia="仿宋"/>
          <w:sz w:val="28"/>
        </w:rPr>
        <w:t>改革</w:t>
      </w:r>
    </w:p>
    <w:p>
      <w:pPr>
        <w:spacing w:line="500" w:lineRule="exact"/>
        <w:ind w:firstLine="560" w:firstLineChars="200"/>
        <w:jc w:val="left"/>
        <w:rPr>
          <w:rFonts w:ascii="仿宋" w:hAnsi="仿宋" w:eastAsia="仿宋"/>
          <w:sz w:val="28"/>
        </w:rPr>
      </w:pPr>
      <w:r>
        <w:rPr>
          <w:rFonts w:ascii="仿宋" w:hAnsi="仿宋" w:eastAsia="仿宋"/>
          <w:sz w:val="28"/>
        </w:rPr>
        <w:t xml:space="preserve">绩效项目：推进互联网+不动产登记，夯实工作基础。建立不动产登记信息系统，满足颁发新证和纳入国家级信息平台需要。强化窗口建设，贯彻便民要求。加强与有关部门的沟通、衔接，科学合理设置不动产登记窗口，做好人员配备和岗位设置，保证不动产登记工作高效有序。 </w:t>
      </w:r>
    </w:p>
    <w:p>
      <w:pPr>
        <w:spacing w:line="500" w:lineRule="exact"/>
        <w:ind w:firstLine="560" w:firstLineChars="200"/>
        <w:jc w:val="left"/>
        <w:rPr>
          <w:rFonts w:ascii="仿宋" w:hAnsi="仿宋" w:eastAsia="仿宋"/>
          <w:sz w:val="28"/>
        </w:rPr>
      </w:pPr>
      <w:r>
        <w:rPr>
          <w:rFonts w:ascii="仿宋" w:hAnsi="仿宋" w:eastAsia="仿宋"/>
          <w:sz w:val="28"/>
        </w:rPr>
        <w:t>绩效指标：严格登记管理，确保信息安全。建立健全分级控制、层层把关的不动产登记资料安全保密制度，严把登记资料移交、数据整合建库、信息系统运行、登记业务开展和信息共享查询等关键环节，确保信息安全。加强学习培训，提高人员素质。通过专题学习、辅导培训、业务探讨等方式认真做好不动产登记人员学习培训工作，提高登记效率，保证登记质量。</w:t>
      </w:r>
      <w:bookmarkStart w:id="75" w:name="_GoBack"/>
      <w:bookmarkEnd w:id="75"/>
    </w:p>
    <w:p>
      <w:pPr>
        <w:spacing w:line="500" w:lineRule="exact"/>
        <w:ind w:firstLine="560" w:firstLineChars="200"/>
        <w:jc w:val="left"/>
        <w:rPr>
          <w:rFonts w:ascii="仿宋" w:hAnsi="仿宋" w:eastAsia="仿宋"/>
          <w:sz w:val="28"/>
        </w:rPr>
      </w:pPr>
      <w:r>
        <w:rPr>
          <w:rFonts w:ascii="仿宋" w:hAnsi="仿宋" w:eastAsia="仿宋"/>
          <w:sz w:val="28"/>
        </w:rPr>
        <w:t>4、坚持生态优先，持续推进林业资源管理。</w:t>
      </w:r>
    </w:p>
    <w:p>
      <w:pPr>
        <w:spacing w:line="500" w:lineRule="exact"/>
        <w:ind w:firstLine="560" w:firstLineChars="200"/>
        <w:jc w:val="left"/>
        <w:rPr>
          <w:rFonts w:ascii="仿宋" w:hAnsi="仿宋" w:eastAsia="仿宋"/>
          <w:sz w:val="28"/>
        </w:rPr>
      </w:pPr>
      <w:r>
        <w:rPr>
          <w:rFonts w:ascii="仿宋" w:hAnsi="仿宋" w:eastAsia="仿宋"/>
          <w:sz w:val="28"/>
        </w:rPr>
        <w:t>绩效项目：以习近平新时代中国特色社会主义思想为指导，坚持“绿水青山就是金山银山”的绿色发展理念，围绕国家森林城市创建总要求，以交通干线廊道绿化、县城绿化、河渠绿化、林网绿化、尧山绿化、村庄绿化、用材林经济林基地建设等为重点，与裸露地表覆盖相结合，与潜在城市森林相结合，与美丽乡村建设相结合，与防范采河砂、矿石相结合，与农民增收相结合，2021-2025年完成营造林1万亩以上。</w:t>
      </w:r>
    </w:p>
    <w:p>
      <w:pPr>
        <w:spacing w:line="500" w:lineRule="exact"/>
        <w:ind w:firstLine="560" w:firstLineChars="200"/>
        <w:jc w:val="left"/>
        <w:rPr>
          <w:rFonts w:ascii="仿宋" w:hAnsi="仿宋" w:eastAsia="仿宋"/>
          <w:sz w:val="28"/>
        </w:rPr>
      </w:pPr>
      <w:r>
        <w:rPr>
          <w:rFonts w:ascii="仿宋" w:hAnsi="仿宋" w:eastAsia="仿宋"/>
          <w:sz w:val="28"/>
        </w:rPr>
        <w:t>绩效指标：坚持机制创新，注重政策引导，动员全县上下，大搞植树造林，提升森林质量，打造绿色产业，强化资源管理，弘扬生态文化，推进全县林业高质量赶超发展，努力把隆尧打造成山清水秀、生态良好、环境优美的国家森林城市，为加快建设“经济强县、美丽隆尧”提供支撑、奠定基础。</w:t>
      </w:r>
    </w:p>
    <w:p>
      <w:pPr>
        <w:spacing w:line="500" w:lineRule="exact"/>
        <w:ind w:firstLine="560" w:firstLineChars="200"/>
        <w:jc w:val="left"/>
        <w:rPr>
          <w:rFonts w:ascii="仿宋" w:hAnsi="仿宋" w:eastAsia="仿宋"/>
          <w:sz w:val="28"/>
        </w:rPr>
      </w:pPr>
      <w:r>
        <w:rPr>
          <w:rFonts w:ascii="仿宋" w:hAnsi="仿宋" w:eastAsia="仿宋"/>
          <w:sz w:val="28"/>
        </w:rPr>
        <w:t>5、坚持依法治理，持续强化自然资源管理执法保障</w:t>
      </w:r>
    </w:p>
    <w:p>
      <w:pPr>
        <w:spacing w:line="500" w:lineRule="exact"/>
        <w:ind w:firstLine="560" w:firstLineChars="200"/>
        <w:jc w:val="left"/>
        <w:rPr>
          <w:rFonts w:ascii="仿宋" w:hAnsi="仿宋" w:eastAsia="仿宋"/>
          <w:sz w:val="28"/>
        </w:rPr>
      </w:pPr>
      <w:r>
        <w:rPr>
          <w:rFonts w:ascii="仿宋" w:hAnsi="仿宋" w:eastAsia="仿宋"/>
          <w:sz w:val="28"/>
        </w:rPr>
        <w:t>绩效项目：不断提升自然资源法治建设水平，积极开展系统内国土、规划、林业、不动产权登记等行业法治宣传教育。抓好重大事项、规范性文件合法性审查，深化法律顾问制度和律师代理制度，扎实推进行政复议、行政应诉工作。落实信访属地管理和责任考核机制，依法分类调处化解信访积案。自觉接受人大、政协和法律监督，高质量办理人大议案和政协提案。</w:t>
      </w:r>
    </w:p>
    <w:p>
      <w:pPr>
        <w:spacing w:line="500" w:lineRule="exact"/>
        <w:ind w:firstLine="560" w:firstLineChars="200"/>
        <w:jc w:val="left"/>
        <w:rPr>
          <w:rFonts w:ascii="仿宋" w:hAnsi="仿宋" w:eastAsia="仿宋"/>
          <w:sz w:val="28"/>
        </w:rPr>
      </w:pPr>
      <w:r>
        <w:rPr>
          <w:rFonts w:ascii="仿宋" w:hAnsi="仿宋" w:eastAsia="仿宋"/>
          <w:sz w:val="28"/>
        </w:rPr>
        <w:t>绩效指标：认真贯彻实施新修订的《土地管理法》、《森林法》，做好学习培训和宣传，加强土地制度改革过渡期有关工作的衔接。压实县乡村三级自然资源管理责任，继续推进自然资源管理月度卫星监测考核工作，严格考评奖惩，全方位加强自然资源管理工作。深入推进执法监察力度，继续严格落实动态巡查工作责任制，认真抓好日常巡查，充分发挥基层所和执法队的执法监察前哨作用，切实将执法“关口”前移到基层一线。同时利用新的科技手段与以往的执法监察工作无缝对接，以便更及时地发现、制止和查处自然资源违法行为，彻底将各类违法用地、毁林行为消灭在萌芽状态。力争做到“早发现、早制止、早处置”。</w:t>
      </w:r>
    </w:p>
    <w:p>
      <w:pPr>
        <w:spacing w:line="500" w:lineRule="exact"/>
        <w:ind w:firstLine="560" w:firstLineChars="200"/>
        <w:jc w:val="left"/>
        <w:rPr>
          <w:rFonts w:ascii="Times New Roman" w:eastAsia="方正仿宋_GBK"/>
          <w:sz w:val="28"/>
        </w:rPr>
      </w:pPr>
    </w:p>
    <w:p>
      <w:pPr>
        <w:spacing w:beforeLines="50" w:afterLines="50" w:line="500" w:lineRule="exact"/>
        <w:ind w:firstLine="560" w:firstLineChars="200"/>
        <w:jc w:val="left"/>
        <w:outlineLvl w:val="1"/>
        <w:rPr>
          <w:rFonts w:ascii="Times New Roman" w:hAnsi="宋体"/>
          <w:sz w:val="28"/>
        </w:rPr>
      </w:pPr>
      <w:bookmarkStart w:id="2" w:name="_Toc66050568"/>
      <w:r>
        <w:rPr>
          <w:rFonts w:hint="eastAsia" w:ascii="方正黑体_GBK" w:eastAsia="方正黑体_GBK"/>
          <w:sz w:val="28"/>
        </w:rPr>
        <w:t>三、工作保障措施</w:t>
      </w:r>
      <w:bookmarkEnd w:id="2"/>
      <w:r>
        <w:rPr>
          <w:rFonts w:ascii="方正黑体_GBK" w:eastAsia="方正黑体_GBK"/>
          <w:sz w:val="28"/>
        </w:rP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工作保障措施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ascii="仿宋" w:hAnsi="仿宋" w:eastAsia="仿宋"/>
          <w:sz w:val="28"/>
        </w:rPr>
      </w:pPr>
      <w:r>
        <w:rPr>
          <w:rFonts w:ascii="仿宋" w:hAnsi="仿宋" w:eastAsia="仿宋"/>
          <w:sz w:val="28"/>
        </w:rPr>
        <w:t>我单位有严格的岗位责任制度，自上至下，都对自己的工作职责、绩效目标以及完成时限有充分清楚的认识，并严格按照规定完成自己的本职工作以确保整个单位的规划目标按时完成</w:t>
      </w:r>
    </w:p>
    <w:p>
      <w:pPr>
        <w:spacing w:line="500" w:lineRule="exact"/>
        <w:ind w:firstLine="560" w:firstLineChars="200"/>
        <w:jc w:val="left"/>
        <w:rPr>
          <w:rFonts w:ascii="仿宋" w:hAnsi="仿宋" w:eastAsia="仿宋"/>
          <w:sz w:val="28"/>
        </w:rPr>
      </w:pPr>
      <w:r>
        <w:rPr>
          <w:rFonts w:ascii="仿宋" w:hAnsi="仿宋" w:eastAsia="仿宋"/>
          <w:sz w:val="28"/>
        </w:rPr>
        <w:t xml:space="preserve"> 1、全面推进干部队伍建设。坚持以人为本，改革创新，全面提高规划人员依法规划审批能力和规划工作水平，逐步建立健全适应规划事业科学发展需要的干部管理和人力资源管理体制和机制，着力打造政治过硬、业务精通、作风优良、廉洁自律、文明和谐的规划干部队伍。</w:t>
      </w:r>
    </w:p>
    <w:p>
      <w:pPr>
        <w:spacing w:line="500" w:lineRule="exact"/>
        <w:ind w:firstLine="560" w:firstLineChars="200"/>
        <w:jc w:val="left"/>
        <w:rPr>
          <w:rFonts w:ascii="仿宋" w:hAnsi="仿宋" w:eastAsia="仿宋"/>
          <w:sz w:val="28"/>
        </w:rPr>
      </w:pPr>
      <w:r>
        <w:rPr>
          <w:rFonts w:ascii="仿宋" w:hAnsi="仿宋" w:eastAsia="仿宋"/>
          <w:sz w:val="28"/>
        </w:rPr>
        <w:t>2、全面推进资源管理相关法治化建设。规范审批行为，推进依法规划审批，更加注重加强整改、完善制度，更加注重提高素质、严格管理，加强资源管理规章制度建设，强化资源管理质量控制，深入开展普法宣传，进一步规范资源管理行为，提高资源管理工作的法治化、规范化水平。</w:t>
      </w:r>
    </w:p>
    <w:p>
      <w:pPr>
        <w:spacing w:line="500" w:lineRule="exact"/>
        <w:ind w:firstLine="560" w:firstLineChars="200"/>
        <w:jc w:val="left"/>
        <w:rPr>
          <w:rFonts w:ascii="仿宋" w:hAnsi="仿宋" w:eastAsia="仿宋"/>
          <w:sz w:val="28"/>
        </w:rPr>
      </w:pPr>
      <w:r>
        <w:rPr>
          <w:rFonts w:ascii="仿宋" w:hAnsi="仿宋" w:eastAsia="仿宋"/>
          <w:sz w:val="28"/>
        </w:rPr>
        <w:t>3、全面推进资源管理信息化建设。以数字化为基础，创新计算机规划的形式和内容，探索形成适应信息化环境的规划审批方式。</w:t>
      </w:r>
    </w:p>
    <w:p>
      <w:pPr>
        <w:spacing w:line="500" w:lineRule="exact"/>
        <w:ind w:firstLine="560" w:firstLineChars="200"/>
        <w:jc w:val="left"/>
        <w:rPr>
          <w:rFonts w:ascii="仿宋" w:hAnsi="仿宋" w:eastAsia="仿宋"/>
          <w:sz w:val="28"/>
        </w:rPr>
      </w:pPr>
      <w:r>
        <w:rPr>
          <w:rFonts w:ascii="仿宋" w:hAnsi="仿宋" w:eastAsia="仿宋"/>
          <w:sz w:val="28"/>
        </w:rPr>
        <w:t>4、全面提升资源管理机关综合管理水平。以促进提高规划工作效能，提升资源管理机关管理水平为目标，加强资源管理成果综合利用，提升规划成果层次；同时，按照县城建设工程安排的部署要求积极稳妥推进规划结果公告制度，推进资源管理机关政务公开、政府信息公开工作，不断提高资源管理工作的开放性和透明度，促进依法行政和政务公开。</w:t>
      </w:r>
    </w:p>
    <w:p>
      <w:pPr>
        <w:spacing w:line="500" w:lineRule="exact"/>
        <w:ind w:firstLine="560" w:firstLineChars="200"/>
        <w:jc w:val="left"/>
        <w:rPr>
          <w:rFonts w:ascii="仿宋" w:hAnsi="仿宋" w:eastAsia="仿宋"/>
          <w:sz w:val="28"/>
        </w:rPr>
      </w:pPr>
      <w:r>
        <w:rPr>
          <w:rFonts w:ascii="仿宋" w:hAnsi="仿宋" w:eastAsia="仿宋"/>
          <w:sz w:val="28"/>
        </w:rPr>
        <w:t>5、全面保障项目的完成，保障资金的按时到位和顺利进行。</w:t>
      </w:r>
    </w:p>
    <w:p>
      <w:pPr>
        <w:spacing w:line="600" w:lineRule="exact"/>
        <w:ind w:firstLine="680" w:firstLineChars="200"/>
        <w:jc w:val="left"/>
        <w:rPr>
          <w:rFonts w:ascii="仿宋" w:hAnsi="仿宋" w:eastAsia="仿宋" w:cs="楷体"/>
          <w:sz w:val="34"/>
          <w:szCs w:val="34"/>
        </w:rPr>
      </w:pPr>
    </w:p>
    <w:p>
      <w:pPr>
        <w:rPr>
          <w:rFonts w:ascii="仿宋" w:hAnsi="仿宋" w:eastAsia="仿宋"/>
          <w:sz w:val="52"/>
        </w:rPr>
      </w:pPr>
    </w:p>
    <w:p>
      <w:pPr>
        <w:rPr>
          <w:rFonts w:ascii="Times New Roman" w:hAnsi="宋体"/>
          <w:sz w:val="52"/>
        </w:rPr>
        <w:sectPr>
          <w:headerReference r:id="rId3" w:type="default"/>
          <w:footerReference r:id="rId4" w:type="default"/>
          <w:pgSz w:w="16839" w:h="11907" w:orient="landscape"/>
          <w:pgMar w:top="1304" w:right="1985" w:bottom="1304" w:left="1134" w:header="851" w:footer="992" w:gutter="0"/>
          <w:pgNumType w:start="1"/>
          <w:cols w:space="720" w:num="1"/>
          <w:docGrid w:type="linesAndChars" w:linePitch="312" w:charSpace="0"/>
        </w:sectPr>
      </w:pPr>
    </w:p>
    <w:p>
      <w:pPr>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pPr>
        <w:ind w:firstLine="562" w:firstLineChars="200"/>
        <w:jc w:val="left"/>
        <w:outlineLvl w:val="3"/>
        <w:rPr>
          <w:rFonts w:ascii="Times New Roman" w:hAnsi="宋体"/>
          <w:b/>
          <w:sz w:val="28"/>
        </w:rPr>
      </w:pPr>
      <w:bookmarkStart w:id="3" w:name="_Toc66050569"/>
      <w:r>
        <w:rPr>
          <w:rFonts w:hint="eastAsia" w:ascii="方正仿宋_GBK" w:eastAsia="方正仿宋_GBK"/>
          <w:b/>
          <w:sz w:val="28"/>
        </w:rPr>
        <w:t>1.土地出让金/隆尧县2020年度第1-6批次增减挂钩项目建新区建设用地组卷服务费绩效目标表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1、土地出让金/隆尧县2020年度第1-6批次增减挂钩项目建新区建设用地组卷服务费绩效目标表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1305252102KAMGPYHHIGS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2020</w:t>
            </w:r>
            <w:r>
              <w:rPr>
                <w:rFonts w:hint="eastAsia" w:ascii="方正书宋_GBK" w:eastAsia="方正书宋_GBK"/>
              </w:rPr>
              <w:t>年度第</w:t>
            </w:r>
            <w:r>
              <w:rPr>
                <w:rFonts w:ascii="方正书宋_GBK" w:eastAsia="方正书宋_GBK"/>
              </w:rPr>
              <w:t>1-6</w:t>
            </w:r>
            <w:r>
              <w:rPr>
                <w:rFonts w:hint="eastAsia" w:ascii="方正书宋_GBK" w:eastAsia="方正书宋_GBK"/>
              </w:rPr>
              <w:t>批次增减挂钩项目建新区建设用地组卷服务费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w:t>
            </w:r>
            <w:r>
              <w:rPr>
                <w:rFonts w:ascii="方正书宋_GBK" w:eastAsia="方正书宋_GBK"/>
              </w:rPr>
              <w:t>2020</w:t>
            </w:r>
            <w:r>
              <w:rPr>
                <w:rFonts w:hint="eastAsia" w:ascii="方正书宋_GBK" w:eastAsia="方正书宋_GBK"/>
              </w:rPr>
              <w:t>年度第</w:t>
            </w:r>
            <w:r>
              <w:rPr>
                <w:rFonts w:ascii="方正书宋_GBK" w:eastAsia="方正书宋_GBK"/>
              </w:rPr>
              <w:t>1-6</w:t>
            </w:r>
            <w:r>
              <w:rPr>
                <w:rFonts w:hint="eastAsia" w:ascii="方正书宋_GBK" w:eastAsia="方正书宋_GBK"/>
              </w:rPr>
              <w:t>批次增减挂钩项目建新区建设用地组卷服务费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 w:name="_Toc66050570"/>
      <w:r>
        <w:rPr>
          <w:rFonts w:hint="eastAsia" w:ascii="方正仿宋_GBK" w:eastAsia="方正仿宋_GBK"/>
          <w:b/>
          <w:sz w:val="28"/>
        </w:rPr>
        <w:t>2.差额人员补助绩效目标表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2、差额人员补助绩效目标表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130525210YTGXYZDXGCCC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差额人员补助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289</w:t>
            </w:r>
            <w:r>
              <w:rPr>
                <w:rFonts w:hint="eastAsia" w:ascii="方正书宋_GBK" w:eastAsia="方正书宋_GBK"/>
                <w:lang w:val="en-US" w:eastAsia="zh-CN"/>
              </w:rPr>
              <w:t>.</w:t>
            </w:r>
            <w:r>
              <w:rPr>
                <w:rFonts w:ascii="方正书宋_GBK" w:eastAsia="方正书宋_GBK"/>
              </w:rPr>
              <w:t>1852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289</w:t>
            </w:r>
            <w:r>
              <w:rPr>
                <w:rFonts w:hint="eastAsia" w:ascii="方正书宋_GBK" w:eastAsia="方正书宋_GBK"/>
                <w:lang w:val="en-US" w:eastAsia="zh-CN"/>
              </w:rPr>
              <w:t>.</w:t>
            </w:r>
            <w:r>
              <w:rPr>
                <w:rFonts w:ascii="方正书宋_GBK" w:eastAsia="方正书宋_GBK"/>
              </w:rPr>
              <w:t>1852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差额人员工资、医保、工伤等费用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完成在编差额人员工资等社保费用支付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完成差额人员工资工作更好更快发放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工作顺利发展</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r>
              <w:rPr>
                <w:rFonts w:ascii="方正书宋_GBK" w:eastAsia="方正书宋_GBK"/>
              </w:rPr>
              <w:t>48</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实际发放工资高质量率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2891852</w:t>
            </w:r>
            <w:r>
              <w:rPr>
                <w:rFonts w:hint="eastAsia" w:ascii="方正书宋_GBK" w:eastAsia="方正书宋_GBK"/>
              </w:rPr>
              <w:t>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完成年度整治任务目标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 w:name="_Toc66050571"/>
      <w:r>
        <w:rPr>
          <w:rFonts w:hint="eastAsia" w:ascii="方正仿宋_GBK" w:eastAsia="方正仿宋_GBK"/>
          <w:b/>
          <w:sz w:val="28"/>
        </w:rPr>
        <w:t>3.土地出让金/增减挂钩项目(东王村\王村\北潘庄)绩效目标表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3、土地出让金/增减挂钩项目(东王村\王村\北潘庄)绩效目标表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1305252112QTS3HMDVFSA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增减挂钩项目</w:t>
            </w:r>
            <w:r>
              <w:rPr>
                <w:rFonts w:ascii="方正书宋_GBK" w:eastAsia="方正书宋_GBK"/>
              </w:rPr>
              <w:t>(</w:t>
            </w:r>
            <w:r>
              <w:rPr>
                <w:rFonts w:hint="eastAsia" w:ascii="方正书宋_GBK" w:eastAsia="方正书宋_GBK"/>
              </w:rPr>
              <w:t>东王村</w:t>
            </w:r>
            <w:r>
              <w:rPr>
                <w:rFonts w:ascii="方正书宋_GBK" w:eastAsia="方正书宋_GBK"/>
              </w:rPr>
              <w:t>\</w:t>
            </w:r>
            <w:r>
              <w:rPr>
                <w:rFonts w:hint="eastAsia" w:ascii="方正书宋_GBK" w:eastAsia="方正书宋_GBK"/>
              </w:rPr>
              <w:t>王村</w:t>
            </w:r>
            <w:r>
              <w:rPr>
                <w:rFonts w:ascii="方正书宋_GBK" w:eastAsia="方正书宋_GBK"/>
              </w:rPr>
              <w:t>\</w:t>
            </w:r>
            <w:r>
              <w:rPr>
                <w:rFonts w:hint="eastAsia" w:ascii="方正书宋_GBK" w:eastAsia="方正书宋_GBK"/>
              </w:rPr>
              <w:t>北潘庄</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东王村</w:t>
            </w:r>
            <w:r>
              <w:rPr>
                <w:rFonts w:ascii="方正书宋_GBK" w:eastAsia="方正书宋_GBK"/>
              </w:rPr>
              <w:t>\</w:t>
            </w:r>
            <w:r>
              <w:rPr>
                <w:rFonts w:hint="eastAsia" w:ascii="方正书宋_GBK" w:eastAsia="方正书宋_GBK"/>
              </w:rPr>
              <w:t>王村</w:t>
            </w:r>
            <w:r>
              <w:rPr>
                <w:rFonts w:ascii="方正书宋_GBK" w:eastAsia="方正书宋_GBK"/>
              </w:rPr>
              <w:t>\</w:t>
            </w:r>
            <w:r>
              <w:rPr>
                <w:rFonts w:hint="eastAsia" w:ascii="方正书宋_GBK" w:eastAsia="方正书宋_GBK"/>
              </w:rPr>
              <w:t>北潘庄增减挂钩项目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成本预算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生产效率提高率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 w:name="_Toc66050572"/>
      <w:r>
        <w:rPr>
          <w:rFonts w:hint="eastAsia" w:ascii="方正仿宋_GBK" w:eastAsia="方正仿宋_GBK"/>
          <w:b/>
          <w:sz w:val="28"/>
        </w:rPr>
        <w:t>4.土地出让金/2019年两馆一中心基建应急借款绩效目标表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4、土地出让金/2019年两馆一中心基建应急借款绩效目标表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130525211SU0WI4BCBDE9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/2019</w:t>
            </w:r>
            <w:r>
              <w:rPr>
                <w:rFonts w:hint="eastAsia" w:ascii="方正书宋_GBK" w:eastAsia="方正书宋_GBK"/>
              </w:rPr>
              <w:t>年两馆一中心基建应急借款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年两馆一中心基建应急借款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w:t>
            </w:r>
            <w:r>
              <w:rPr>
                <w:rFonts w:ascii="方正书宋_GBK" w:eastAsia="方正书宋_GBK"/>
              </w:rPr>
              <w:t>\</w:t>
            </w:r>
            <w:r>
              <w:rPr>
                <w:rFonts w:hint="eastAsia" w:ascii="方正书宋_GBK" w:eastAsia="方正书宋_GBK"/>
              </w:rPr>
              <w:t>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w:t>
            </w:r>
            <w:r>
              <w:rPr>
                <w:rFonts w:ascii="方正书宋_GBK" w:eastAsia="方正书宋_GBK"/>
              </w:rPr>
              <w:t>\</w:t>
            </w:r>
            <w:r>
              <w:rPr>
                <w:rFonts w:hint="eastAsia" w:ascii="方正书宋_GBK" w:eastAsia="方正书宋_GBK"/>
              </w:rPr>
              <w:t>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 w:name="_Toc66050573"/>
      <w:r>
        <w:rPr>
          <w:rFonts w:hint="eastAsia" w:ascii="方正仿宋_GBK" w:eastAsia="方正仿宋_GBK"/>
          <w:b/>
          <w:sz w:val="28"/>
        </w:rPr>
        <w:t>5.土地出让金/2020年造林补贴（2020年补偿资金及勘验测量和验收费用）绩效目标表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5、土地出让金/2020年造林补贴（2020年补偿资金及勘验测量和验收费用）绩效目标表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130525211Y3YPND3PAN06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/2020</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年补偿资金及勘验测量和验收费用）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2718</w:t>
            </w:r>
            <w:r>
              <w:rPr>
                <w:rFonts w:hint="eastAsia" w:ascii="方正书宋_GBK" w:eastAsia="方正书宋_GBK"/>
                <w:lang w:val="en-US" w:eastAsia="zh-CN"/>
              </w:rPr>
              <w:t>.</w:t>
            </w:r>
            <w:r>
              <w:rPr>
                <w:rFonts w:ascii="方正书宋_GBK" w:eastAsia="方正书宋_GBK"/>
              </w:rPr>
              <w:t>5743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2718</w:t>
            </w:r>
            <w:r>
              <w:rPr>
                <w:rFonts w:hint="eastAsia" w:ascii="方正书宋_GBK" w:eastAsia="方正书宋_GBK"/>
                <w:lang w:val="en-US" w:eastAsia="zh-CN"/>
              </w:rPr>
              <w:t>.</w:t>
            </w:r>
            <w:r>
              <w:rPr>
                <w:rFonts w:ascii="方正书宋_GBK" w:eastAsia="方正书宋_GBK"/>
              </w:rPr>
              <w:t>5743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年造林补偿资金及勘验测量费和验收费用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完成合同要求支付情况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支付完成工作任务</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森林资源监测任务完成率（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8" w:name="_Toc66050574"/>
      <w:r>
        <w:rPr>
          <w:rFonts w:hint="eastAsia" w:ascii="方正仿宋_GBK" w:eastAsia="方正仿宋_GBK"/>
          <w:b/>
          <w:sz w:val="28"/>
        </w:rPr>
        <w:t>6.土地出让金/2019年造林补贴（2020年补偿资金及验收费用）绩效目标表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6、土地出让金/2019年造林补贴（2020年补偿资金及验收费用）绩效目标表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130525212ET7QE26NHMOU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/2019</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776</w:t>
            </w:r>
            <w:r>
              <w:rPr>
                <w:rFonts w:hint="eastAsia" w:ascii="方正书宋_GBK" w:eastAsia="方正书宋_GBK"/>
                <w:lang w:val="en-US" w:eastAsia="zh-CN"/>
              </w:rPr>
              <w:t>.</w:t>
            </w:r>
            <w:r>
              <w:rPr>
                <w:rFonts w:ascii="方正书宋_GBK" w:eastAsia="方正书宋_GBK"/>
              </w:rPr>
              <w:t>4064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776</w:t>
            </w:r>
            <w:r>
              <w:rPr>
                <w:rFonts w:hint="eastAsia" w:ascii="方正书宋_GBK" w:eastAsia="方正书宋_GBK"/>
                <w:lang w:val="en-US" w:eastAsia="zh-CN"/>
              </w:rPr>
              <w:t>.</w:t>
            </w:r>
            <w:r>
              <w:rPr>
                <w:rFonts w:ascii="方正书宋_GBK" w:eastAsia="方正书宋_GBK"/>
              </w:rPr>
              <w:t>4064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完成历年造林及新造林进行验收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验收合格，兑现补贴，不合格的督促补种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森林资源监测任务完成率（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9" w:name="_Toc66050575"/>
      <w:r>
        <w:rPr>
          <w:rFonts w:hint="eastAsia" w:ascii="方正仿宋_GBK" w:eastAsia="方正仿宋_GBK"/>
          <w:b/>
          <w:sz w:val="28"/>
        </w:rPr>
        <w:t>7.上年结转/冀财资环[2020]109号/2020年隆尧县第一批次城乡建设用地增减挂钩项目(废弃砖瓦窑)绩效目标表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7、上年结转/冀财资环[2020]109号/2020年隆尧县第一批次城乡建设用地增减挂钩项目(废弃砖瓦窑)绩效目标表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130525212MAIDWERV5UEI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上年结转</w:t>
            </w:r>
            <w:r>
              <w:rPr>
                <w:rFonts w:ascii="方正书宋_GBK" w:eastAsia="方正书宋_GBK"/>
              </w:rPr>
              <w:t>/</w:t>
            </w:r>
            <w:r>
              <w:rPr>
                <w:rFonts w:hint="eastAsia" w:ascii="方正书宋_GBK" w:eastAsia="方正书宋_GBK"/>
              </w:rPr>
              <w:t>冀财资环</w:t>
            </w:r>
            <w:r>
              <w:rPr>
                <w:rFonts w:ascii="方正书宋_GBK" w:eastAsia="方正书宋_GBK"/>
              </w:rPr>
              <w:t>[2020]109</w:t>
            </w:r>
            <w:r>
              <w:rPr>
                <w:rFonts w:hint="eastAsia" w:ascii="方正书宋_GBK" w:eastAsia="方正书宋_GBK"/>
              </w:rPr>
              <w:t>号</w:t>
            </w:r>
            <w:r>
              <w:rPr>
                <w:rFonts w:ascii="方正书宋_GBK" w:eastAsia="方正书宋_GBK"/>
              </w:rPr>
              <w:t>/2020</w:t>
            </w:r>
            <w:r>
              <w:rPr>
                <w:rFonts w:hint="eastAsia" w:ascii="方正书宋_GBK" w:eastAsia="方正书宋_GBK"/>
              </w:rPr>
              <w:t>年隆尧县第一批次城乡建设用地增减挂钩项目</w:t>
            </w:r>
            <w:r>
              <w:rPr>
                <w:rFonts w:ascii="方正书宋_GBK" w:eastAsia="方正书宋_GBK"/>
              </w:rPr>
              <w:t>(</w:t>
            </w:r>
            <w:r>
              <w:rPr>
                <w:rFonts w:hint="eastAsia" w:ascii="方正书宋_GBK" w:eastAsia="方正书宋_GBK"/>
              </w:rPr>
              <w:t>废弃砖瓦窑</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36</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36</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上年结转冀财资环</w:t>
            </w:r>
            <w:r>
              <w:rPr>
                <w:rFonts w:ascii="方正书宋_GBK" w:eastAsia="方正书宋_GBK"/>
              </w:rPr>
              <w:t>[2020]109</w:t>
            </w:r>
            <w:r>
              <w:rPr>
                <w:rFonts w:hint="eastAsia" w:ascii="方正书宋_GBK" w:eastAsia="方正书宋_GBK"/>
              </w:rPr>
              <w:t>号</w:t>
            </w:r>
            <w:r>
              <w:rPr>
                <w:rFonts w:ascii="方正书宋_GBK" w:eastAsia="方正书宋_GBK"/>
              </w:rPr>
              <w:t>,2020</w:t>
            </w:r>
            <w:r>
              <w:rPr>
                <w:rFonts w:hint="eastAsia" w:ascii="方正书宋_GBK" w:eastAsia="方正书宋_GBK"/>
              </w:rPr>
              <w:t>年隆尧县第一批次城乡建设用地增减挂钩</w:t>
            </w:r>
            <w:r>
              <w:rPr>
                <w:rFonts w:ascii="方正书宋_GBK" w:eastAsia="方正书宋_GBK"/>
              </w:rPr>
              <w:t>(</w:t>
            </w:r>
            <w:r>
              <w:rPr>
                <w:rFonts w:hint="eastAsia" w:ascii="方正书宋_GBK" w:eastAsia="方正书宋_GBK"/>
              </w:rPr>
              <w:t>废弃砖瓦窑</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成本预算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生产效率提高率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0" w:name="_Toc66050576"/>
      <w:r>
        <w:rPr>
          <w:rFonts w:hint="eastAsia" w:ascii="方正仿宋_GBK" w:eastAsia="方正仿宋_GBK"/>
          <w:b/>
          <w:sz w:val="28"/>
        </w:rPr>
        <w:t>8.土地出让金/2017年造林补贴（2020年补偿资金及验收费用）绩效目标表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8、土地出让金/2017年造林补贴（2020年补偿资金及验收费用）绩效目标表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1305252135KGH8S4UNI7I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/2017</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3309</w:t>
            </w:r>
            <w:r>
              <w:rPr>
                <w:rFonts w:hint="eastAsia" w:ascii="方正书宋_GBK" w:eastAsia="方正书宋_GBK"/>
                <w:lang w:val="en-US" w:eastAsia="zh-CN"/>
              </w:rPr>
              <w:t>.</w:t>
            </w:r>
            <w:r>
              <w:rPr>
                <w:rFonts w:ascii="方正书宋_GBK" w:eastAsia="方正书宋_GBK"/>
              </w:rPr>
              <w:t>8601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3309</w:t>
            </w:r>
            <w:r>
              <w:rPr>
                <w:rFonts w:hint="eastAsia" w:ascii="方正书宋_GBK" w:eastAsia="方正书宋_GBK"/>
                <w:lang w:val="en-US" w:eastAsia="zh-CN"/>
              </w:rPr>
              <w:t>.</w:t>
            </w:r>
            <w:r>
              <w:rPr>
                <w:rFonts w:ascii="方正书宋_GBK" w:eastAsia="方正书宋_GBK"/>
              </w:rPr>
              <w:t>8601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完成历年造林及新造林进行验收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验收合格，兑现补贴，不合格的督促补种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森林资源监测任务完成率（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1" w:name="_Toc66050577"/>
      <w:r>
        <w:rPr>
          <w:rFonts w:hint="eastAsia" w:ascii="方正仿宋_GBK" w:eastAsia="方正仿宋_GBK"/>
          <w:b/>
          <w:sz w:val="28"/>
        </w:rPr>
        <w:t>9.土地出让金/2020年通道绿化绩效目标表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9、土地出让金/2020年通道绿化绩效目标表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130525213CP1W04NY0SQZ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/2020</w:t>
            </w:r>
            <w:r>
              <w:rPr>
                <w:rFonts w:hint="eastAsia" w:ascii="方正书宋_GBK" w:eastAsia="方正书宋_GBK"/>
              </w:rPr>
              <w:t>年通道绿化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13415201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13415201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2012</w:t>
            </w:r>
            <w:r>
              <w:rPr>
                <w:rFonts w:hint="eastAsia" w:ascii="方正书宋_GBK" w:eastAsia="方正书宋_GBK"/>
              </w:rPr>
              <w:t>年隆政</w:t>
            </w:r>
            <w:r>
              <w:rPr>
                <w:rFonts w:ascii="方正书宋_GBK" w:eastAsia="方正书宋_GBK"/>
              </w:rPr>
              <w:t>[2012]3</w:t>
            </w:r>
            <w:r>
              <w:rPr>
                <w:rFonts w:hint="eastAsia" w:ascii="方正书宋_GBK" w:eastAsia="方正书宋_GBK"/>
              </w:rPr>
              <w:t>号</w:t>
            </w:r>
            <w:r>
              <w:rPr>
                <w:rFonts w:ascii="方正书宋_GBK" w:eastAsia="方正书宋_GBK"/>
              </w:rPr>
              <w:t>500</w:t>
            </w:r>
            <w:r>
              <w:rPr>
                <w:rFonts w:hint="eastAsia" w:ascii="方正书宋_GBK" w:eastAsia="方正书宋_GBK"/>
                <w:lang w:val="en-US" w:eastAsia="zh-CN"/>
              </w:rPr>
              <w:t>.</w:t>
            </w:r>
            <w:r>
              <w:rPr>
                <w:rFonts w:ascii="方正书宋_GBK" w:eastAsia="方正书宋_GBK"/>
              </w:rPr>
              <w:t>3646</w:t>
            </w:r>
            <w:r>
              <w:rPr>
                <w:rFonts w:hint="eastAsia" w:ascii="方正书宋_GBK" w:eastAsia="方正书宋_GBK"/>
                <w:lang w:eastAsia="zh-CN"/>
              </w:rPr>
              <w:t>万</w:t>
            </w:r>
            <w:r>
              <w:rPr>
                <w:rFonts w:hint="eastAsia" w:ascii="方正书宋_GBK" w:eastAsia="方正书宋_GBK"/>
              </w:rPr>
              <w:t>元。</w:t>
            </w:r>
            <w:r>
              <w:rPr>
                <w:rFonts w:ascii="方正书宋_GBK" w:eastAsia="方正书宋_GBK"/>
              </w:rPr>
              <w:t>2013</w:t>
            </w:r>
            <w:r>
              <w:rPr>
                <w:rFonts w:hint="eastAsia" w:ascii="方正书宋_GBK" w:eastAsia="方正书宋_GBK"/>
              </w:rPr>
              <w:t>隆政</w:t>
            </w:r>
            <w:r>
              <w:rPr>
                <w:rFonts w:ascii="方正书宋_GBK" w:eastAsia="方正书宋_GBK"/>
              </w:rPr>
              <w:t>[2013]1</w:t>
            </w:r>
            <w:r>
              <w:rPr>
                <w:rFonts w:hint="eastAsia" w:ascii="方正书宋_GBK" w:eastAsia="方正书宋_GBK"/>
              </w:rPr>
              <w:t>号</w:t>
            </w:r>
            <w:r>
              <w:rPr>
                <w:rFonts w:ascii="方正书宋_GBK" w:eastAsia="方正书宋_GBK"/>
              </w:rPr>
              <w:t>510</w:t>
            </w:r>
            <w:r>
              <w:rPr>
                <w:rFonts w:hint="eastAsia" w:ascii="方正书宋_GBK" w:eastAsia="方正书宋_GBK"/>
                <w:lang w:val="en-US" w:eastAsia="zh-CN"/>
              </w:rPr>
              <w:t>.</w:t>
            </w:r>
            <w:r>
              <w:rPr>
                <w:rFonts w:ascii="方正书宋_GBK" w:eastAsia="方正书宋_GBK"/>
              </w:rPr>
              <w:t>3442</w:t>
            </w:r>
            <w:r>
              <w:rPr>
                <w:rFonts w:hint="eastAsia" w:ascii="方正书宋_GBK" w:eastAsia="方正书宋_GBK"/>
                <w:lang w:eastAsia="zh-CN"/>
              </w:rPr>
              <w:t>万</w:t>
            </w:r>
            <w:r>
              <w:rPr>
                <w:rFonts w:hint="eastAsia" w:ascii="方正书宋_GBK" w:eastAsia="方正书宋_GBK"/>
              </w:rPr>
              <w:t>元。</w:t>
            </w:r>
            <w:r>
              <w:rPr>
                <w:rFonts w:ascii="方正书宋_GBK" w:eastAsia="方正书宋_GBK"/>
              </w:rPr>
              <w:t>2014</w:t>
            </w:r>
            <w:r>
              <w:rPr>
                <w:rFonts w:hint="eastAsia" w:ascii="方正书宋_GBK" w:eastAsia="方正书宋_GBK"/>
              </w:rPr>
              <w:t>隆政</w:t>
            </w:r>
            <w:r>
              <w:rPr>
                <w:rFonts w:ascii="方正书宋_GBK" w:eastAsia="方正书宋_GBK"/>
              </w:rPr>
              <w:t>[2014]4</w:t>
            </w:r>
            <w:r>
              <w:rPr>
                <w:rFonts w:hint="eastAsia" w:ascii="方正书宋_GBK" w:eastAsia="方正书宋_GBK"/>
              </w:rPr>
              <w:t>号</w:t>
            </w:r>
            <w:r>
              <w:rPr>
                <w:rFonts w:ascii="方正书宋_GBK" w:eastAsia="方正书宋_GBK"/>
              </w:rPr>
              <w:t>358</w:t>
            </w:r>
            <w:r>
              <w:rPr>
                <w:rFonts w:hint="eastAsia" w:ascii="方正书宋_GBK" w:eastAsia="方正书宋_GBK"/>
                <w:lang w:val="en-US" w:eastAsia="zh-CN"/>
              </w:rPr>
              <w:t>.</w:t>
            </w:r>
            <w:r>
              <w:rPr>
                <w:rFonts w:ascii="方正书宋_GBK" w:eastAsia="方正书宋_GBK"/>
              </w:rPr>
              <w:t>4786</w:t>
            </w:r>
            <w:r>
              <w:rPr>
                <w:rFonts w:hint="eastAsia" w:ascii="方正书宋_GBK" w:eastAsia="方正书宋_GBK"/>
                <w:lang w:eastAsia="zh-CN"/>
              </w:rPr>
              <w:t>万</w:t>
            </w:r>
            <w:r>
              <w:rPr>
                <w:rFonts w:hint="eastAsia" w:ascii="方正书宋_GBK" w:eastAsia="方正书宋_GBK"/>
              </w:rPr>
              <w:t>元。</w:t>
            </w:r>
            <w:r>
              <w:rPr>
                <w:rFonts w:ascii="方正书宋_GBK" w:eastAsia="方正书宋_GBK"/>
              </w:rPr>
              <w:t>2015</w:t>
            </w:r>
            <w:r>
              <w:rPr>
                <w:rFonts w:hint="eastAsia" w:ascii="方正书宋_GBK" w:eastAsia="方正书宋_GBK"/>
              </w:rPr>
              <w:t>隆政发</w:t>
            </w:r>
            <w:r>
              <w:rPr>
                <w:rFonts w:ascii="方正书宋_GBK" w:eastAsia="方正书宋_GBK"/>
              </w:rPr>
              <w:t>[2015]1</w:t>
            </w:r>
            <w:r>
              <w:rPr>
                <w:rFonts w:hint="eastAsia" w:ascii="方正书宋_GBK" w:eastAsia="方正书宋_GBK"/>
              </w:rPr>
              <w:t>号</w:t>
            </w:r>
            <w:r>
              <w:rPr>
                <w:rFonts w:ascii="方正书宋_GBK" w:eastAsia="方正书宋_GBK"/>
              </w:rPr>
              <w:t>21</w:t>
            </w:r>
            <w:r>
              <w:rPr>
                <w:rFonts w:hint="eastAsia" w:ascii="方正书宋_GBK" w:eastAsia="方正书宋_GBK"/>
                <w:lang w:val="en-US" w:eastAsia="zh-CN"/>
              </w:rPr>
              <w:t>.</w:t>
            </w:r>
            <w:r>
              <w:rPr>
                <w:rFonts w:ascii="方正书宋_GBK" w:eastAsia="方正书宋_GBK"/>
              </w:rPr>
              <w:t>3168</w:t>
            </w:r>
            <w:r>
              <w:rPr>
                <w:rFonts w:hint="eastAsia" w:ascii="方正书宋_GBK" w:eastAsia="方正书宋_GBK"/>
                <w:lang w:eastAsia="zh-CN"/>
              </w:rPr>
              <w:t>万</w:t>
            </w:r>
            <w:r>
              <w:rPr>
                <w:rFonts w:hint="eastAsia" w:ascii="方正书宋_GBK" w:eastAsia="方正书宋_GBK"/>
              </w:rPr>
              <w:t>元。</w:t>
            </w:r>
            <w:r>
              <w:rPr>
                <w:rFonts w:ascii="方正书宋_GBK" w:eastAsia="方正书宋_GBK"/>
              </w:rPr>
              <w:t>2016</w:t>
            </w:r>
            <w:r>
              <w:rPr>
                <w:rFonts w:hint="eastAsia" w:ascii="方正书宋_GBK" w:eastAsia="方正书宋_GBK"/>
              </w:rPr>
              <w:t>年</w:t>
            </w:r>
            <w:r>
              <w:rPr>
                <w:rFonts w:ascii="方正书宋_GBK" w:eastAsia="方正书宋_GBK"/>
              </w:rPr>
              <w:t>25</w:t>
            </w:r>
            <w:r>
              <w:rPr>
                <w:rFonts w:hint="eastAsia" w:ascii="方正书宋_GBK" w:eastAsia="方正书宋_GBK"/>
                <w:lang w:val="en-US" w:eastAsia="zh-CN"/>
              </w:rPr>
              <w:t>.</w:t>
            </w:r>
            <w:r>
              <w:rPr>
                <w:rFonts w:ascii="方正书宋_GBK" w:eastAsia="方正书宋_GBK"/>
              </w:rPr>
              <w:t>4394</w:t>
            </w:r>
            <w:r>
              <w:rPr>
                <w:rFonts w:hint="eastAsia" w:ascii="方正书宋_GBK" w:eastAsia="方正书宋_GBK"/>
                <w:lang w:eastAsia="zh-CN"/>
              </w:rPr>
              <w:t>万</w:t>
            </w:r>
            <w:r>
              <w:rPr>
                <w:rFonts w:hint="eastAsia" w:ascii="方正书宋_GBK" w:eastAsia="方正书宋_GBK"/>
              </w:rPr>
              <w:t>元。环县城</w:t>
            </w:r>
            <w:r>
              <w:rPr>
                <w:rFonts w:ascii="方正书宋_GBK" w:eastAsia="方正书宋_GBK"/>
              </w:rPr>
              <w:t>2020</w:t>
            </w:r>
            <w:r>
              <w:rPr>
                <w:rFonts w:hint="eastAsia" w:ascii="方正书宋_GBK" w:eastAsia="方正书宋_GBK"/>
              </w:rPr>
              <w:t>年</w:t>
            </w:r>
            <w:r>
              <w:rPr>
                <w:rFonts w:ascii="方正书宋_GBK" w:eastAsia="方正书宋_GBK"/>
              </w:rPr>
              <w:t>13</w:t>
            </w:r>
            <w:r>
              <w:rPr>
                <w:rFonts w:hint="eastAsia" w:ascii="方正书宋_GBK" w:eastAsia="方正书宋_GBK"/>
                <w:lang w:val="en-US" w:eastAsia="zh-CN"/>
              </w:rPr>
              <w:t>.</w:t>
            </w:r>
            <w:r>
              <w:rPr>
                <w:rFonts w:ascii="方正书宋_GBK" w:eastAsia="方正书宋_GBK"/>
              </w:rPr>
              <w:t>3745</w:t>
            </w:r>
            <w:r>
              <w:rPr>
                <w:rFonts w:hint="eastAsia" w:ascii="方正书宋_GBK" w:eastAsia="方正书宋_GBK"/>
                <w:lang w:eastAsia="zh-CN"/>
              </w:rPr>
              <w:t>万</w:t>
            </w:r>
            <w:r>
              <w:rPr>
                <w:rFonts w:hint="eastAsia" w:ascii="方正书宋_GBK" w:eastAsia="方正书宋_GBK"/>
              </w:rPr>
              <w:t>元。经济林</w:t>
            </w:r>
            <w:r>
              <w:rPr>
                <w:rFonts w:ascii="方正书宋_GBK" w:eastAsia="方正书宋_GBK"/>
              </w:rPr>
              <w:t>2020</w:t>
            </w:r>
            <w:r>
              <w:rPr>
                <w:rFonts w:hint="eastAsia" w:ascii="方正书宋_GBK" w:eastAsia="方正书宋_GBK"/>
              </w:rPr>
              <w:t>年补贴</w:t>
            </w:r>
            <w:r>
              <w:rPr>
                <w:rFonts w:ascii="方正书宋_GBK" w:eastAsia="方正书宋_GBK"/>
              </w:rPr>
              <w:t>103</w:t>
            </w:r>
            <w:r>
              <w:rPr>
                <w:rFonts w:hint="eastAsia" w:ascii="方正书宋_GBK" w:eastAsia="方正书宋_GBK"/>
                <w:lang w:val="en-US" w:eastAsia="zh-CN"/>
              </w:rPr>
              <w:t>.</w:t>
            </w:r>
            <w:r>
              <w:rPr>
                <w:rFonts w:ascii="方正书宋_GBK" w:eastAsia="方正书宋_GBK"/>
              </w:rPr>
              <w:t>039</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完成合同要求支付情况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支付完成工作任务</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森林资源监测任务完成率（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2" w:name="_Toc66050578"/>
      <w:r>
        <w:rPr>
          <w:rFonts w:hint="eastAsia" w:ascii="方正仿宋_GBK" w:eastAsia="方正仿宋_GBK"/>
          <w:b/>
          <w:sz w:val="28"/>
        </w:rPr>
        <w:t>10.土地出让金/隆尧县村庄规划编制项目四标段绩效目标表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10、土地出让金/隆尧县村庄规划编制项目四标段绩效目标表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130525213GNWTY4WBK6WK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隆尧县村庄规划编制项目四标段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隆尧县村庄规划编制项目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3" w:name="_Toc66050579"/>
      <w:r>
        <w:rPr>
          <w:rFonts w:hint="eastAsia" w:ascii="方正仿宋_GBK" w:eastAsia="方正仿宋_GBK"/>
          <w:b/>
          <w:sz w:val="28"/>
        </w:rPr>
        <w:t>11.土地出让金/隆尧县村庄规划编制项目三标段绩效目标表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11、土地出让金/隆尧县村庄规划编制项目三标段绩效目标表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130525214B5QNORPKAQHD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隆尧县村庄规划编制项目三标段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隆尧县村庄规划编制项目三标段工程款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4" w:name="_Toc66050580"/>
      <w:r>
        <w:rPr>
          <w:rFonts w:hint="eastAsia" w:ascii="方正仿宋_GBK" w:eastAsia="方正仿宋_GBK"/>
          <w:b/>
          <w:sz w:val="28"/>
        </w:rPr>
        <w:t>12.土地出让金/隆尧县自然资源统一确权登记绩效目标表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12、土地出让金/隆尧县自然资源统一确权登记绩效目标表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130525214VGAAWWM5G2O0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隆尧县自然资源统一确权登记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隆尧县自然资源统一确权登记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加快评估进度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对土地资源合理利用的持续影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城乡规划、土地整治规划对土地资源合理利用的持续影响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5" w:name="_Toc66050581"/>
      <w:r>
        <w:rPr>
          <w:rFonts w:hint="eastAsia" w:ascii="方正仿宋_GBK" w:eastAsia="方正仿宋_GBK"/>
          <w:b/>
          <w:sz w:val="28"/>
        </w:rPr>
        <w:t>13.土地出让金/城乡结合部综合改造规划绩效目标表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13、土地出让金/城乡结合部综合改造规划绩效目标表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1305252169BG1LYR5EAGX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城乡结合部综合改造规划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城乡结合部综合改造规划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及时技术服务费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根据工作计划在规定时间内提交工作成果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6" w:name="_Toc66050582"/>
      <w:r>
        <w:rPr>
          <w:rFonts w:hint="eastAsia" w:ascii="方正仿宋_GBK" w:eastAsia="方正仿宋_GBK"/>
          <w:b/>
          <w:sz w:val="28"/>
        </w:rPr>
        <w:t>14.土地出让金/隆尧县自然资源和规划局地质灾害和矿产资源压覆区域评估经费绩效目标表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14、土地出让金/隆尧县自然资源和规划局地质灾害和矿产资源压覆区域评估经费绩效目标表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130525216CPTI1V0ANH0G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隆尧县自然资源和规划局地质灾害和矿产资源压覆区域评估经费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隆尧县自然资源和规划局地质灾害和矿产资源压覆区域评估经费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加快评估进度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对土地资源合理利用的持续影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城乡规划、土地整治规划对土地资源合理利用的持续影响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7" w:name="_Toc66050583"/>
      <w:r>
        <w:rPr>
          <w:rFonts w:hint="eastAsia" w:ascii="方正仿宋_GBK" w:eastAsia="方正仿宋_GBK"/>
          <w:b/>
          <w:sz w:val="28"/>
        </w:rPr>
        <w:t>15.土地出让金/隆尧县"两馆一中心"项目地质灾害危险性评估报告绩效目标表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15、土地出让金/隆尧县"两馆一中心"项目地质灾害危险性评估报告绩效目标表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130525216GP01P6LD22EV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项目地质灾害危险性评估报告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项目地质灾害凶险性评估报告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加快评估进度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对土地资源合理利用的持续影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城乡规划、土地整治规划对土地资源合理利用的持续影响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8" w:name="_Toc66050584"/>
      <w:r>
        <w:rPr>
          <w:rFonts w:hint="eastAsia" w:ascii="方正仿宋_GBK" w:eastAsia="方正仿宋_GBK"/>
          <w:b/>
          <w:sz w:val="28"/>
        </w:rPr>
        <w:t>16.隆尧县中心城区控制性详细规划LC-04单元、NX-03单位调整专题报告及调整方案绩效目标表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16、隆尧县中心城区控制性详细规划LC-04单元、NX-03单位调整专题报告及调整方案绩效目标表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130525217T611D8KB1TXU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隆尧县中心城区控制性详细规划</w:t>
            </w:r>
            <w:r>
              <w:rPr>
                <w:rFonts w:ascii="方正书宋_GBK" w:eastAsia="方正书宋_GBK"/>
              </w:rPr>
              <w:t>LC-04</w:t>
            </w:r>
            <w:r>
              <w:rPr>
                <w:rFonts w:hint="eastAsia" w:ascii="方正书宋_GBK" w:eastAsia="方正书宋_GBK"/>
              </w:rPr>
              <w:t>单元、</w:t>
            </w:r>
            <w:r>
              <w:rPr>
                <w:rFonts w:ascii="方正书宋_GBK" w:eastAsia="方正书宋_GBK"/>
              </w:rPr>
              <w:t>NX-03</w:t>
            </w:r>
            <w:r>
              <w:rPr>
                <w:rFonts w:hint="eastAsia" w:ascii="方正书宋_GBK" w:eastAsia="方正书宋_GBK"/>
              </w:rPr>
              <w:t>单位调整专题报告及调整方案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lang w:val="en-US" w:eastAsia="zh-CN"/>
              </w:rPr>
              <w:t>.</w:t>
            </w:r>
            <w:r>
              <w:rPr>
                <w:rFonts w:ascii="方正书宋_GBK" w:eastAsia="方正书宋_GBK"/>
              </w:rPr>
              <w:t>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lang w:val="en-US" w:eastAsia="zh-CN"/>
              </w:rPr>
              <w:t>.</w:t>
            </w:r>
            <w:r>
              <w:rPr>
                <w:rFonts w:ascii="方正书宋_GBK" w:eastAsia="方正书宋_GBK"/>
              </w:rPr>
              <w:t>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隆尧县中心城区控制性详细规划</w:t>
            </w:r>
            <w:r>
              <w:rPr>
                <w:rFonts w:ascii="方正书宋_GBK" w:eastAsia="方正书宋_GBK"/>
              </w:rPr>
              <w:t>LC-04</w:t>
            </w:r>
            <w:r>
              <w:rPr>
                <w:rFonts w:hint="eastAsia" w:ascii="方正书宋_GBK" w:eastAsia="方正书宋_GBK"/>
              </w:rPr>
              <w:t>单元、</w:t>
            </w:r>
            <w:r>
              <w:rPr>
                <w:rFonts w:ascii="方正书宋_GBK" w:eastAsia="方正书宋_GBK"/>
              </w:rPr>
              <w:t>NX-03</w:t>
            </w:r>
            <w:r>
              <w:rPr>
                <w:rFonts w:hint="eastAsia" w:ascii="方正书宋_GBK" w:eastAsia="方正书宋_GBK"/>
              </w:rPr>
              <w:t>单元调整专题报告及调整方案项目工程款支付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9" w:name="_Toc66050585"/>
      <w:r>
        <w:rPr>
          <w:rFonts w:hint="eastAsia" w:ascii="方正仿宋_GBK" w:eastAsia="方正仿宋_GBK"/>
          <w:b/>
          <w:sz w:val="28"/>
        </w:rPr>
        <w:t>17.冀财资环[2020]103号/提前下过2021年省级林业改革发展补助资金/森林植被恢复费项目绩效目标表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17、冀财资环[2020]103号/提前下过2021年省级林业改革发展补助资金/森林植被恢复费项目绩效目标表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130525218AZYGMPKP4T8T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冀财资环</w:t>
            </w:r>
            <w:r>
              <w:rPr>
                <w:rFonts w:ascii="方正书宋_GBK" w:eastAsia="方正书宋_GBK"/>
              </w:rPr>
              <w:t>[2020]103</w:t>
            </w:r>
            <w:r>
              <w:rPr>
                <w:rFonts w:hint="eastAsia" w:ascii="方正书宋_GBK" w:eastAsia="方正书宋_GBK"/>
              </w:rPr>
              <w:t>号</w:t>
            </w:r>
            <w:r>
              <w:rPr>
                <w:rFonts w:ascii="方正书宋_GBK" w:eastAsia="方正书宋_GBK"/>
              </w:rPr>
              <w:t>/</w:t>
            </w:r>
            <w:r>
              <w:rPr>
                <w:rFonts w:hint="eastAsia" w:ascii="方正书宋_GBK" w:eastAsia="方正书宋_GBK"/>
              </w:rPr>
              <w:t>提前下过</w:t>
            </w:r>
            <w:r>
              <w:rPr>
                <w:rFonts w:ascii="方正书宋_GBK" w:eastAsia="方正书宋_GBK"/>
              </w:rPr>
              <w:t>2021</w:t>
            </w:r>
            <w:r>
              <w:rPr>
                <w:rFonts w:hint="eastAsia" w:ascii="方正书宋_GBK" w:eastAsia="方正书宋_GBK"/>
              </w:rPr>
              <w:t>年省级林业改革发展补助资金</w:t>
            </w:r>
            <w:r>
              <w:rPr>
                <w:rFonts w:ascii="方正书宋_GBK" w:eastAsia="方正书宋_GBK"/>
              </w:rPr>
              <w:t>/</w:t>
            </w:r>
            <w:r>
              <w:rPr>
                <w:rFonts w:hint="eastAsia" w:ascii="方正书宋_GBK" w:eastAsia="方正书宋_GBK"/>
              </w:rPr>
              <w:t>森林植被恢复费项目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林业有害生物防治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按照要求完成支付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完成年度工作计划</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完成全年支付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林业有害生物防治面积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林业有害生物防治面积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覆盖范围扩大效果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覆盖范围扩大效果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森林受害率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森林受害率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地质灾害治理有效性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地质灾害治理有效性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0" w:name="_Toc66050586"/>
      <w:r>
        <w:rPr>
          <w:rFonts w:hint="eastAsia" w:ascii="方正仿宋_GBK" w:eastAsia="方正仿宋_GBK"/>
          <w:b/>
          <w:sz w:val="28"/>
        </w:rPr>
        <w:t>18.土地出让金/隆尧县不动产系统接入"一窗受理"系统项目绩效目标表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18、土地出让金/隆尧县不动产系统接入"一窗受理"系统项目绩效目标表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130525218OPHKIEGP3HZW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隆尧县不动产系统接入</w:t>
            </w:r>
            <w:r>
              <w:rPr>
                <w:rFonts w:ascii="方正书宋_GBK" w:eastAsia="方正书宋_GBK"/>
              </w:rPr>
              <w:t>"</w:t>
            </w:r>
            <w:r>
              <w:rPr>
                <w:rFonts w:hint="eastAsia" w:ascii="方正书宋_GBK" w:eastAsia="方正书宋_GBK"/>
              </w:rPr>
              <w:t>一窗受理</w:t>
            </w:r>
            <w:r>
              <w:rPr>
                <w:rFonts w:ascii="方正书宋_GBK" w:eastAsia="方正书宋_GBK"/>
              </w:rPr>
              <w:t>"</w:t>
            </w:r>
            <w:r>
              <w:rPr>
                <w:rFonts w:hint="eastAsia" w:ascii="方正书宋_GBK" w:eastAsia="方正书宋_GBK"/>
              </w:rPr>
              <w:t>系统项目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不动产系统接入</w:t>
            </w:r>
            <w:r>
              <w:rPr>
                <w:rFonts w:ascii="方正书宋_GBK" w:eastAsia="方正书宋_GBK"/>
              </w:rPr>
              <w:t>"</w:t>
            </w:r>
            <w:r>
              <w:rPr>
                <w:rFonts w:hint="eastAsia" w:ascii="方正书宋_GBK" w:eastAsia="方正书宋_GBK"/>
              </w:rPr>
              <w:t>一窗受理</w:t>
            </w:r>
            <w:r>
              <w:rPr>
                <w:rFonts w:ascii="方正书宋_GBK" w:eastAsia="方正书宋_GBK"/>
              </w:rPr>
              <w:t>"</w:t>
            </w:r>
            <w:r>
              <w:rPr>
                <w:rFonts w:hint="eastAsia" w:ascii="方正书宋_GBK" w:eastAsia="方正书宋_GBK"/>
              </w:rPr>
              <w:t>系统项目款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完成不动产登记系统建设要求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县不动产登记信息数据上报率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县不动产登记信息数据上报率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管理系统维护响应时间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管理系统维护响应时间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登记证书成本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登记证书成本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1" w:name="_Toc66050587"/>
      <w:r>
        <w:rPr>
          <w:rFonts w:hint="eastAsia" w:ascii="方正仿宋_GBK" w:eastAsia="方正仿宋_GBK"/>
          <w:b/>
          <w:sz w:val="28"/>
        </w:rPr>
        <w:t>19.土地出让金/隆尧县村庄规划编制项目二标段绩效目标表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19、土地出让金/隆尧县村庄规划编制项目二标段绩效目标表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13052521994TW2AM3O999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隆尧县村庄规划编制项目二标段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46</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隆尧县村庄规划编制项目工程款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2" w:name="_Toc66050588"/>
      <w:r>
        <w:rPr>
          <w:rFonts w:hint="eastAsia" w:ascii="方正仿宋_GBK" w:eastAsia="方正仿宋_GBK"/>
          <w:b/>
          <w:sz w:val="28"/>
        </w:rPr>
        <w:t>20.土地出让金/土地出让业务费绩效目标表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20、土地出让金/土地出让业务费绩效目标表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130525219WU32E5A8W3DP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土地出让业务费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土地收储费用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加快土地收储进度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加快土地出让进</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完成各项工作安排</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工期完工时间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工期完工时间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土地收储工作圆满完成率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工作完成程度收储各项工作有序开展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降低用能成本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降低用能成本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项目参与人员满意度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评估服务质量，对各项服务评价满意和不满意的比重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评估服务质量，对各项服务评价满意和不满意的比重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评估服务质量，对各项服务评价满意和不满意的比重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3" w:name="_Toc66050589"/>
      <w:r>
        <w:rPr>
          <w:rFonts w:hint="eastAsia" w:ascii="方正仿宋_GBK" w:eastAsia="方正仿宋_GBK"/>
          <w:b/>
          <w:sz w:val="28"/>
        </w:rPr>
        <w:t>21.土地出让金/隆尧县村庄规划编制项目一标段绩效目标表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21、土地出让金/隆尧县村庄规划编制项目一标段绩效目标表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13052521CC9HFUV79NDFY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隆尧县村庄规划编制项目一标段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隆尧县村庄规划编制项目一标段工程款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4" w:name="_Toc66050590"/>
      <w:r>
        <w:rPr>
          <w:rFonts w:hint="eastAsia" w:ascii="方正仿宋_GBK" w:eastAsia="方正仿宋_GBK"/>
          <w:b/>
          <w:sz w:val="28"/>
        </w:rPr>
        <w:t>22.土地出让金/隆尧县第三次全国国土调查绩效目标表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22、土地出让金/隆尧县第三次全国国土调查绩效目标表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13052521CXICS1GXXKVVO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隆尧县第三次全国国土调查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隆尧县第三次全国国土调查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完善国土调查</w:t>
            </w:r>
            <w:r>
              <w:rPr>
                <w:rFonts w:ascii="方正书宋_GBK" w:eastAsia="方正书宋_GBK"/>
              </w:rPr>
              <w:t>\</w:t>
            </w:r>
            <w:r>
              <w:rPr>
                <w:rFonts w:hint="eastAsia" w:ascii="方正书宋_GBK" w:eastAsia="方正书宋_GBK"/>
              </w:rPr>
              <w:t>监测和统计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开展土地利用状况分析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完成任务</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第三次国土调查完成率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第三次国土调查完成率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第三次全国国土调查初始调查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第三次全国国土调查初始调查成果数据汇总、分析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数据统计调查、分析监测完成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数据统计调查、分析监测完成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5" w:name="_Toc66050591"/>
      <w:r>
        <w:rPr>
          <w:rFonts w:hint="eastAsia" w:ascii="方正仿宋_GBK" w:eastAsia="方正仿宋_GBK"/>
          <w:b/>
          <w:sz w:val="28"/>
        </w:rPr>
        <w:t>23.土地出让金/农村集体土地使用和宅基地使用权登记发证绩效目标表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23、土地出让金/农村集体土地使用和宅基地使用权登记发证绩效目标表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13052521DGVGMOCULUYWE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农村集体土地使用和宅基地使用权登记发证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农村集体土地使用权和宅基地使用权登记发证（</w:t>
            </w:r>
            <w:r>
              <w:rPr>
                <w:rFonts w:ascii="方正书宋_GBK" w:eastAsia="方正书宋_GBK"/>
              </w:rPr>
              <w:t>6</w:t>
            </w:r>
            <w:r>
              <w:rPr>
                <w:rFonts w:hint="eastAsia" w:ascii="方正书宋_GBK" w:eastAsia="方正书宋_GBK"/>
              </w:rPr>
              <w:t>个乡）</w:t>
            </w:r>
            <w:r>
              <w:rPr>
                <w:rFonts w:ascii="方正书宋_GBK" w:eastAsia="方正书宋_GBK"/>
              </w:rPr>
              <w:t>1361156</w:t>
            </w:r>
            <w:r>
              <w:rPr>
                <w:rFonts w:hint="eastAsia" w:ascii="方正书宋_GBK" w:eastAsia="方正书宋_GBK"/>
              </w:rPr>
              <w:t>元</w:t>
            </w:r>
          </w:p>
          <w:p>
            <w:pPr>
              <w:spacing w:line="300" w:lineRule="exact"/>
              <w:jc w:val="left"/>
              <w:rPr>
                <w:rFonts w:ascii="方正书宋_GBK" w:eastAsia="方正书宋_GBK"/>
              </w:rPr>
            </w:pPr>
            <w:r>
              <w:rPr>
                <w:rFonts w:hint="eastAsia" w:ascii="方正书宋_GBK" w:eastAsia="方正书宋_GBK"/>
              </w:rPr>
              <w:t>农村集体土地使用权和宅基地使用权登记发证（</w:t>
            </w:r>
            <w:r>
              <w:rPr>
                <w:rFonts w:ascii="方正书宋_GBK" w:eastAsia="方正书宋_GBK"/>
              </w:rPr>
              <w:t>6</w:t>
            </w:r>
            <w:r>
              <w:rPr>
                <w:rFonts w:hint="eastAsia" w:ascii="方正书宋_GBK" w:eastAsia="方正书宋_GBK"/>
              </w:rPr>
              <w:t>个镇）</w:t>
            </w:r>
            <w:r>
              <w:rPr>
                <w:rFonts w:ascii="方正书宋_GBK" w:eastAsia="方正书宋_GBK"/>
              </w:rPr>
              <w:t>2907010</w:t>
            </w:r>
            <w:r>
              <w:rPr>
                <w:rFonts w:hint="eastAsia" w:ascii="方正书宋_GBK" w:eastAsia="方正书宋_GBK"/>
              </w:rPr>
              <w:t>元</w:t>
            </w:r>
          </w:p>
          <w:p>
            <w:pPr>
              <w:spacing w:line="300" w:lineRule="exact"/>
              <w:jc w:val="left"/>
              <w:rPr>
                <w:rFonts w:ascii="方正书宋_GBK" w:eastAsia="方正书宋_GBK"/>
              </w:rPr>
            </w:pPr>
            <w:r>
              <w:rPr>
                <w:rFonts w:hint="eastAsia" w:ascii="方正书宋_GBK" w:eastAsia="方正书宋_GBK"/>
              </w:rPr>
              <w:t>农村集体土地使用权和宅基地使用权登记发证（房产补充调查）</w:t>
            </w:r>
            <w:r>
              <w:rPr>
                <w:rFonts w:ascii="方正书宋_GBK" w:eastAsia="方正书宋_GBK"/>
              </w:rPr>
              <w:t>9540600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提高办证效率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登记发证比例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登记发证比例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全面查清最新土地利用状况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全面查清最新土地利用状况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项目发挥作用情况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项目发挥作用情况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6" w:name="_Toc66050592"/>
      <w:r>
        <w:rPr>
          <w:rFonts w:hint="eastAsia" w:ascii="方正仿宋_GBK" w:eastAsia="方正仿宋_GBK"/>
          <w:b/>
          <w:sz w:val="28"/>
        </w:rPr>
        <w:t>24.隆尧县中心城区控制性详细规划GY-01单元路中心周边地块动态维护论证报告和方案绩效目标表</w:t>
      </w:r>
      <w:bookmarkEnd w:id="2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24、隆尧县中心城区控制性详细规划GY-01单元路中心周边地块动态维护论证报告和方案绩效目标表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13052521EIK6H6UWKUVF7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隆尧县中心城区控制性详细规划</w:t>
            </w:r>
            <w:r>
              <w:rPr>
                <w:rFonts w:ascii="方正书宋_GBK" w:eastAsia="方正书宋_GBK"/>
              </w:rPr>
              <w:t>GY-01</w:t>
            </w:r>
            <w:r>
              <w:rPr>
                <w:rFonts w:hint="eastAsia" w:ascii="方正书宋_GBK" w:eastAsia="方正书宋_GBK"/>
              </w:rPr>
              <w:t>单元路中心周边地块动态维护论证报告和方案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隆尧县中心城区控制性详细规划</w:t>
            </w:r>
            <w:r>
              <w:rPr>
                <w:rFonts w:ascii="方正书宋_GBK" w:eastAsia="方正书宋_GBK"/>
              </w:rPr>
              <w:t>GY-01</w:t>
            </w:r>
            <w:r>
              <w:rPr>
                <w:rFonts w:hint="eastAsia" w:ascii="方正书宋_GBK" w:eastAsia="方正书宋_GBK"/>
              </w:rPr>
              <w:t>单元路考中心周边地块动态维护论证报告和方案工程款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7" w:name="_Toc66050593"/>
      <w:r>
        <w:rPr>
          <w:rFonts w:hint="eastAsia" w:ascii="方正仿宋_GBK" w:eastAsia="方正仿宋_GBK"/>
          <w:b/>
          <w:sz w:val="28"/>
        </w:rPr>
        <w:t>25.土地出让金/隆尧县"两馆一中心"室外工程绩效目标表</w:t>
      </w:r>
      <w:bookmarkEnd w:id="2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25、土地出让金/隆尧县"两馆一中心"室外工程绩效目标表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13052521F0M89A3BRNBGO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室外工程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室外工作项目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w:t>
            </w:r>
            <w:r>
              <w:rPr>
                <w:rFonts w:ascii="方正书宋_GBK" w:eastAsia="方正书宋_GBK"/>
              </w:rPr>
              <w:t>\</w:t>
            </w:r>
            <w:r>
              <w:rPr>
                <w:rFonts w:hint="eastAsia" w:ascii="方正书宋_GBK" w:eastAsia="方正书宋_GBK"/>
              </w:rPr>
              <w:t>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w:t>
            </w:r>
            <w:r>
              <w:rPr>
                <w:rFonts w:ascii="方正书宋_GBK" w:eastAsia="方正书宋_GBK"/>
              </w:rPr>
              <w:t>\</w:t>
            </w:r>
            <w:r>
              <w:rPr>
                <w:rFonts w:hint="eastAsia" w:ascii="方正书宋_GBK" w:eastAsia="方正书宋_GBK"/>
              </w:rPr>
              <w:t>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按量完成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8" w:name="_Toc66050594"/>
      <w:r>
        <w:rPr>
          <w:rFonts w:hint="eastAsia" w:ascii="方正仿宋_GBK" w:eastAsia="方正仿宋_GBK"/>
          <w:b/>
          <w:sz w:val="28"/>
        </w:rPr>
        <w:t>26.办案补助/自然资源和规划局人员经费绩效目标表</w:t>
      </w:r>
      <w:bookmarkEnd w:id="2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26、办案补助/自然资源和规划局人员经费绩效目标表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13052521FE7IQYGBPPZVT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127</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127</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发放职工工资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工作环境整治，秩序良好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各项工作完成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按时、按规支付工资</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完成执法监督工作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机关正常办公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规划工作有秩序有序开展，圆满完成率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保障系统工作节约能源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提供工作建议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用于评估服务质量，指调查者中对服务表示满意和基本满意的人员所占比重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用于评估服务质量，指调查者中对服务表示满意和基本满意的人员所占比重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用于评估服务质量，指调查者中对服务表示满意和基本满意的人员所占比重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9" w:name="_Toc66050595"/>
      <w:r>
        <w:rPr>
          <w:rFonts w:hint="eastAsia" w:ascii="方正仿宋_GBK" w:eastAsia="方正仿宋_GBK"/>
          <w:b/>
          <w:sz w:val="28"/>
        </w:rPr>
        <w:t>27.冀财资环[2020]103号/提前下达2021年省级林业改革发展补助资金/国家储备林基地建设贷款贴息绩效目标表</w:t>
      </w:r>
      <w:bookmarkEnd w:id="2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27、冀财资环[2020]103号/提前下达2021年省级林业改革发展补助资金/国家储备林基地建设贷款贴息绩效目标表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13052521GIKYNQ6G1G83Z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冀财资环</w:t>
            </w:r>
            <w:r>
              <w:rPr>
                <w:rFonts w:ascii="方正书宋_GBK" w:eastAsia="方正书宋_GBK"/>
              </w:rPr>
              <w:t>[2020]103</w:t>
            </w:r>
            <w:r>
              <w:rPr>
                <w:rFonts w:hint="eastAsia" w:ascii="方正书宋_GBK" w:eastAsia="方正书宋_GBK"/>
              </w:rPr>
              <w:t>号</w:t>
            </w:r>
            <w:r>
              <w:rPr>
                <w:rFonts w:ascii="方正书宋_GBK" w:eastAsia="方正书宋_GBK"/>
              </w:rPr>
              <w:t>/</w:t>
            </w:r>
            <w:r>
              <w:rPr>
                <w:rFonts w:hint="eastAsia" w:ascii="方正书宋_GBK" w:eastAsia="方正书宋_GBK"/>
              </w:rPr>
              <w:t>提前下达</w:t>
            </w:r>
            <w:r>
              <w:rPr>
                <w:rFonts w:ascii="方正书宋_GBK" w:eastAsia="方正书宋_GBK"/>
              </w:rPr>
              <w:t>2021</w:t>
            </w:r>
            <w:r>
              <w:rPr>
                <w:rFonts w:hint="eastAsia" w:ascii="方正书宋_GBK" w:eastAsia="方正书宋_GBK"/>
              </w:rPr>
              <w:t>年省级林业改革发展补助资金</w:t>
            </w:r>
            <w:r>
              <w:rPr>
                <w:rFonts w:ascii="方正书宋_GBK" w:eastAsia="方正书宋_GBK"/>
              </w:rPr>
              <w:t>/</w:t>
            </w:r>
            <w:r>
              <w:rPr>
                <w:rFonts w:hint="eastAsia" w:ascii="方正书宋_GBK" w:eastAsia="方正书宋_GBK"/>
              </w:rPr>
              <w:t>国家储备林基地建设贷款贴息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87</w:t>
            </w:r>
            <w:r>
              <w:rPr>
                <w:rFonts w:hint="eastAsia" w:ascii="方正书宋_GBK" w:eastAsia="方正书宋_GBK"/>
                <w:lang w:val="en-US" w:eastAsia="zh-CN"/>
              </w:rPr>
              <w:t>.</w:t>
            </w:r>
            <w:r>
              <w:rPr>
                <w:rFonts w:ascii="方正书宋_GBK" w:eastAsia="方正书宋_GBK"/>
              </w:rPr>
              <w:t>39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87</w:t>
            </w:r>
            <w:r>
              <w:rPr>
                <w:rFonts w:hint="eastAsia" w:ascii="方正书宋_GBK" w:eastAsia="方正书宋_GBK"/>
                <w:lang w:val="en-US" w:eastAsia="zh-CN"/>
              </w:rPr>
              <w:t>.</w:t>
            </w:r>
            <w:r>
              <w:rPr>
                <w:rFonts w:ascii="方正书宋_GBK" w:eastAsia="方正书宋_GBK"/>
              </w:rPr>
              <w:t>39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国家储备林基地建设贷款贴息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完成全部支付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提前完成支付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r>
              <w:rPr>
                <w:rFonts w:ascii="方正书宋_GBK" w:eastAsia="方正书宋_GBK"/>
              </w:rPr>
              <w:t xml:space="preserve">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30" w:name="_Toc66050596"/>
      <w:r>
        <w:rPr>
          <w:rFonts w:hint="eastAsia" w:ascii="方正仿宋_GBK" w:eastAsia="方正仿宋_GBK"/>
          <w:b/>
          <w:sz w:val="28"/>
        </w:rPr>
        <w:t>28.土地出让金/隆尧县"两馆一中心"项目(规划展览馆)室内布展装饰工程绩效目标表</w:t>
      </w:r>
      <w:bookmarkEnd w:id="3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28、土地出让金/隆尧县"两馆一中心"项目(规划展览馆)室内布展装饰工程绩效目标表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13052521GMGC0XI3APF39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w:t>
            </w:r>
            <w:r>
              <w:rPr>
                <w:rFonts w:ascii="方正书宋_GBK" w:eastAsia="方正书宋_GBK"/>
              </w:rPr>
              <w:t>(</w:t>
            </w:r>
            <w:r>
              <w:rPr>
                <w:rFonts w:hint="eastAsia" w:ascii="方正书宋_GBK" w:eastAsia="方正书宋_GBK"/>
              </w:rPr>
              <w:t>规划展览馆</w:t>
            </w:r>
            <w:r>
              <w:rPr>
                <w:rFonts w:ascii="方正书宋_GBK" w:eastAsia="方正书宋_GBK"/>
              </w:rPr>
              <w:t>)</w:t>
            </w:r>
            <w:r>
              <w:rPr>
                <w:rFonts w:hint="eastAsia" w:ascii="方正书宋_GBK" w:eastAsia="方正书宋_GBK"/>
              </w:rPr>
              <w:t>室内布展装饰工程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隆尧县两馆一中心</w:t>
            </w:r>
            <w:r>
              <w:rPr>
                <w:rFonts w:ascii="方正书宋_GBK" w:eastAsia="方正书宋_GBK"/>
              </w:rPr>
              <w:t>(f</w:t>
            </w:r>
            <w:r>
              <w:rPr>
                <w:rFonts w:hint="eastAsia" w:ascii="方正书宋_GBK" w:eastAsia="方正书宋_GBK"/>
              </w:rPr>
              <w:t>规划展览馆</w:t>
            </w:r>
            <w:r>
              <w:rPr>
                <w:rFonts w:ascii="方正书宋_GBK" w:eastAsia="方正书宋_GBK"/>
              </w:rPr>
              <w:t>)</w:t>
            </w:r>
            <w:r>
              <w:rPr>
                <w:rFonts w:hint="eastAsia" w:ascii="方正书宋_GBK" w:eastAsia="方正书宋_GBK"/>
              </w:rPr>
              <w:t>室内布展装饰工程项目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w:t>
            </w:r>
            <w:r>
              <w:rPr>
                <w:rFonts w:ascii="方正书宋_GBK" w:eastAsia="方正书宋_GBK"/>
              </w:rPr>
              <w:t>\</w:t>
            </w:r>
            <w:r>
              <w:rPr>
                <w:rFonts w:hint="eastAsia" w:ascii="方正书宋_GBK" w:eastAsia="方正书宋_GBK"/>
              </w:rPr>
              <w:t>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w:t>
            </w:r>
            <w:r>
              <w:rPr>
                <w:rFonts w:ascii="方正书宋_GBK" w:eastAsia="方正书宋_GBK"/>
              </w:rPr>
              <w:t>\</w:t>
            </w:r>
            <w:r>
              <w:rPr>
                <w:rFonts w:hint="eastAsia" w:ascii="方正书宋_GBK" w:eastAsia="方正书宋_GBK"/>
              </w:rPr>
              <w:t>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31" w:name="_Toc66050597"/>
      <w:r>
        <w:rPr>
          <w:rFonts w:hint="eastAsia" w:ascii="方正仿宋_GBK" w:eastAsia="方正仿宋_GBK"/>
          <w:b/>
          <w:sz w:val="28"/>
        </w:rPr>
        <w:t>29.土地出让金/隆尧县规划地形图测绘绩效目标表</w:t>
      </w:r>
      <w:bookmarkEnd w:id="3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29、土地出让金/隆尧县规划地形图测绘绩效目标表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13052521GQTHGM1QVTCUL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隆尧县规划地形图测绘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支付隆尧县规划地形图测绘费用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测绘成果验收合格</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优化环境</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土地测绘面积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土地测绘面积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有规定资质的测绘单位测量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单位等级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单位等级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测量单位的资质等级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年度工作计划完成情况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控制成本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提升县城发展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提升展会的社会影响力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提升展会的社会影响力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提升县城发展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对环境的发展影响力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提高工作效率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服务对象满意度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服务对象满意度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服务对象满意度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2" w:name="_Toc66050598"/>
      <w:r>
        <w:rPr>
          <w:rFonts w:hint="eastAsia" w:ascii="方正仿宋_GBK" w:eastAsia="方正仿宋_GBK"/>
          <w:b/>
          <w:sz w:val="28"/>
        </w:rPr>
        <w:t>30.飞机喷药防治美国白蛾等绩效目标表</w:t>
      </w:r>
      <w:bookmarkEnd w:id="3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30、飞机喷药防治美国白蛾等绩效目标表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13052521HQAL3GGUS1PG8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飞机喷药防治美国白蛾等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用于我县防治美国白蛾等林业有害生物的治理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加强对我县林业有害生物防治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提高我县绿化水平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改善我县生态环境</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农药产品质量率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农药产品质量情况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农药产品质量情况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验收情况</w:t>
            </w:r>
            <w:r>
              <w:rPr>
                <w:rFonts w:ascii="方正书宋_GBK" w:eastAsia="方正书宋_GBK"/>
              </w:rPr>
              <w:t xml:space="preserve"> </w:t>
            </w:r>
            <w:r>
              <w:rPr>
                <w:rFonts w:hint="eastAsia" w:ascii="方正书宋_GBK" w:eastAsia="方正书宋_GBK"/>
              </w:rPr>
              <w:t>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采购农药合格率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采购农药合格率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当年对我县林木喷药亩数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当年对我县林木喷药亩数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验收情况</w:t>
            </w:r>
            <w:r>
              <w:rPr>
                <w:rFonts w:ascii="方正书宋_GBK" w:eastAsia="方正书宋_GBK"/>
              </w:rPr>
              <w:t xml:space="preserve"> </w:t>
            </w:r>
            <w:r>
              <w:rPr>
                <w:rFonts w:hint="eastAsia" w:ascii="方正书宋_GBK" w:eastAsia="方正书宋_GBK"/>
              </w:rPr>
              <w:t>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保存林木完整，对我县生态环境发展改善的可持续情况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保存林木完整，对我县生态环境发展改善的可持续情况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通过对有害生物防治，保存林木完整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有效改善我县生态环境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通过对有害生物防治，保存林木完整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验收情况</w:t>
            </w:r>
            <w:r>
              <w:rPr>
                <w:rFonts w:ascii="方正书宋_GBK" w:eastAsia="方正书宋_GBK"/>
              </w:rPr>
              <w:t xml:space="preserve"> </w:t>
            </w:r>
            <w:r>
              <w:rPr>
                <w:rFonts w:hint="eastAsia" w:ascii="方正书宋_GBK" w:eastAsia="方正书宋_GBK"/>
              </w:rPr>
              <w:t>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生态环境质量改善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有效改善我县生态环境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有效改善我县生态环境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保存林木完整，对我县生态环境发展改善的可持续情况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保存林木完整，对我县生态环境发展改善的可持续情况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验收情况</w:t>
            </w:r>
            <w:r>
              <w:rPr>
                <w:rFonts w:ascii="方正书宋_GBK" w:eastAsia="方正书宋_GBK"/>
              </w:rPr>
              <w:t xml:space="preserve"> </w:t>
            </w:r>
            <w:r>
              <w:rPr>
                <w:rFonts w:hint="eastAsia" w:ascii="方正书宋_GBK" w:eastAsia="方正书宋_GBK"/>
              </w:rPr>
              <w:t>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调查群众情况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调查情况表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调查群众情况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调查情况表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调查群众情况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调查情况表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3" w:name="_Toc66050599"/>
      <w:r>
        <w:rPr>
          <w:rFonts w:hint="eastAsia" w:ascii="方正仿宋_GBK" w:eastAsia="方正仿宋_GBK"/>
          <w:b/>
          <w:sz w:val="28"/>
        </w:rPr>
        <w:t>31.土地出让金/白家庄村土地整治（占补平衡）项目绩效目标表</w:t>
      </w:r>
      <w:bookmarkEnd w:id="3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31、土地出让金/白家庄村土地整治（占补平衡）项目绩效目标表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13052521ID0BUCNCQLGLG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白家庄村土地整治（占补平衡）项目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16940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1694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隆尧县隆尧镇白家庄村土地整治（占补平衡）项目（占补平衡）项目工程款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4" w:name="_Toc66050600"/>
      <w:r>
        <w:rPr>
          <w:rFonts w:hint="eastAsia" w:ascii="方正仿宋_GBK" w:eastAsia="方正仿宋_GBK"/>
          <w:b/>
          <w:sz w:val="28"/>
        </w:rPr>
        <w:t>32.冀财资环[2020]103号/提前下达2021年省级林业改革发展补助资金/林业有害生物防治绩效目标表</w:t>
      </w:r>
      <w:bookmarkEnd w:id="3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32、冀财资环[2020]103号/提前下达2021年省级林业改革发展补助资金/林业有害生物防治绩效目标表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13052521IGYXAXHCWAY1D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冀财资环</w:t>
            </w:r>
            <w:r>
              <w:rPr>
                <w:rFonts w:ascii="方正书宋_GBK" w:eastAsia="方正书宋_GBK"/>
              </w:rPr>
              <w:t>[2020]103</w:t>
            </w:r>
            <w:r>
              <w:rPr>
                <w:rFonts w:hint="eastAsia" w:ascii="方正书宋_GBK" w:eastAsia="方正书宋_GBK"/>
              </w:rPr>
              <w:t>号</w:t>
            </w:r>
            <w:r>
              <w:rPr>
                <w:rFonts w:ascii="方正书宋_GBK" w:eastAsia="方正书宋_GBK"/>
              </w:rPr>
              <w:t>/</w:t>
            </w:r>
            <w:r>
              <w:rPr>
                <w:rFonts w:hint="eastAsia" w:ascii="方正书宋_GBK" w:eastAsia="方正书宋_GBK"/>
              </w:rPr>
              <w:t>提前下达</w:t>
            </w:r>
            <w:r>
              <w:rPr>
                <w:rFonts w:ascii="方正书宋_GBK" w:eastAsia="方正书宋_GBK"/>
              </w:rPr>
              <w:t>2021</w:t>
            </w:r>
            <w:r>
              <w:rPr>
                <w:rFonts w:hint="eastAsia" w:ascii="方正书宋_GBK" w:eastAsia="方正书宋_GBK"/>
              </w:rPr>
              <w:t>年省级林业改革发展补助资金</w:t>
            </w:r>
            <w:r>
              <w:rPr>
                <w:rFonts w:ascii="方正书宋_GBK" w:eastAsia="方正书宋_GBK"/>
              </w:rPr>
              <w:t>/</w:t>
            </w:r>
            <w:r>
              <w:rPr>
                <w:rFonts w:hint="eastAsia" w:ascii="方正书宋_GBK" w:eastAsia="方正书宋_GBK"/>
              </w:rPr>
              <w:t>林业有害生物防治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森林植被恢复费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完成省级下达的工作任务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完成提前下达额度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湿地保护与恢复任务完成率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植被恢复完成情况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上级安排完成率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林地恢复量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生态影响情况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满意问卷调查情况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满意问卷调查情况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满意问卷调查情况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281" w:firstLineChars="100"/>
        <w:jc w:val="left"/>
        <w:outlineLvl w:val="3"/>
        <w:rPr>
          <w:rFonts w:ascii="Times New Roman" w:hAnsi="宋体"/>
          <w:b/>
          <w:sz w:val="28"/>
        </w:rPr>
      </w:pPr>
      <w:bookmarkStart w:id="35" w:name="_Toc66050601"/>
      <w:r>
        <w:rPr>
          <w:rFonts w:hint="eastAsia" w:ascii="方正仿宋_GBK" w:eastAsia="方正仿宋_GBK"/>
          <w:b/>
          <w:sz w:val="28"/>
        </w:rPr>
        <w:t>33.土地出让金/土地取得费（隆收储【2014】38号地块）绩效目标表</w:t>
      </w:r>
      <w:bookmarkEnd w:id="3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33、土地出让金/土地取得费（隆收储【2014】38号地块）绩效目标表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13052521IRWQO4QEINAHT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土地取得费（隆收储【</w:t>
            </w:r>
            <w:r>
              <w:rPr>
                <w:rFonts w:ascii="方正书宋_GBK" w:eastAsia="方正书宋_GBK"/>
              </w:rPr>
              <w:t>2014</w:t>
            </w:r>
            <w:r>
              <w:rPr>
                <w:rFonts w:hint="eastAsia" w:ascii="方正书宋_GBK" w:eastAsia="方正书宋_GBK"/>
              </w:rPr>
              <w:t>】</w:t>
            </w:r>
            <w:r>
              <w:rPr>
                <w:rFonts w:ascii="方正书宋_GBK" w:eastAsia="方正书宋_GBK"/>
              </w:rPr>
              <w:t>38</w:t>
            </w:r>
            <w:r>
              <w:rPr>
                <w:rFonts w:hint="eastAsia" w:ascii="方正书宋_GBK" w:eastAsia="方正书宋_GBK"/>
              </w:rPr>
              <w:t>号地块）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9002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9002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隆收储【</w:t>
            </w:r>
            <w:r>
              <w:rPr>
                <w:rFonts w:ascii="方正书宋_GBK" w:eastAsia="方正书宋_GBK"/>
              </w:rPr>
              <w:t>2014</w:t>
            </w:r>
            <w:r>
              <w:rPr>
                <w:rFonts w:hint="eastAsia" w:ascii="方正书宋_GBK" w:eastAsia="方正书宋_GBK"/>
              </w:rPr>
              <w:t>】</w:t>
            </w:r>
            <w:r>
              <w:rPr>
                <w:rFonts w:ascii="方正书宋_GBK" w:eastAsia="方正书宋_GBK"/>
              </w:rPr>
              <w:t>38</w:t>
            </w:r>
            <w:r>
              <w:rPr>
                <w:rFonts w:hint="eastAsia" w:ascii="方正书宋_GBK" w:eastAsia="方正书宋_GBK"/>
              </w:rPr>
              <w:t>号地块征收费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月份完成全部支付款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高标准完成支付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各项资金按照预算进度拨付进行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符合规划要求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工作发挥效益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自然资源合理利用和保护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6" w:name="_Toc66050602"/>
      <w:r>
        <w:rPr>
          <w:rFonts w:hint="eastAsia" w:ascii="方正仿宋_GBK" w:eastAsia="方正仿宋_GBK"/>
          <w:b/>
          <w:sz w:val="28"/>
        </w:rPr>
        <w:t>34.退役军人专岗绩效目标表</w:t>
      </w:r>
      <w:bookmarkEnd w:id="3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34、退役军人专岗绩效目标表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13052521K5LNXDHGGTNS1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7587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7587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工作环境整治，秩序良好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各项工作完成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按时、按规支付工资</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完成执法监督工作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机关正常办公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规划工作有秩序有序开展，圆满完成率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保障系统工作节约能源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提供工作建议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用于评估服务质量，指调查者中对服务表示满意和基本满意的人员所占比重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用于评估服务质量，指调查者中对服务表示满意和基本满意的人员所占比重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用于评估服务质量，指调查者中对服务表示满意和基本满意的人员所占比重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7" w:name="_Toc66050603"/>
      <w:r>
        <w:rPr>
          <w:rFonts w:hint="eastAsia" w:ascii="方正仿宋_GBK" w:eastAsia="方正仿宋_GBK"/>
          <w:b/>
          <w:sz w:val="28"/>
        </w:rPr>
        <w:t>35.土地出让金/2016年国家储备林项目还本付息绩效目标表</w:t>
      </w:r>
      <w:bookmarkEnd w:id="3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35、土地出让金/2016年国家储备林项目还本付息绩效目标表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13052521LA7O0ROYI6NUS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/2016</w:t>
            </w:r>
            <w:r>
              <w:rPr>
                <w:rFonts w:hint="eastAsia" w:ascii="方正书宋_GBK" w:eastAsia="方正书宋_GBK"/>
              </w:rPr>
              <w:t>年国家储备林项目还本付息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hint="eastAsia" w:ascii="方正书宋_GBK" w:eastAsia="方正书宋_GBK"/>
                <w:lang w:val="en-US" w:eastAsia="zh-CN"/>
              </w:rPr>
            </w:pPr>
            <w:r>
              <w:rPr>
                <w:rFonts w:ascii="方正书宋_GBK" w:eastAsia="方正书宋_GBK"/>
              </w:rPr>
              <w:t>1575</w:t>
            </w:r>
            <w:r>
              <w:rPr>
                <w:rFonts w:hint="eastAsia" w:ascii="方正书宋_GBK" w:eastAsia="方正书宋_GBK"/>
                <w:lang w:val="en-US" w:eastAsia="zh-CN"/>
              </w:rPr>
              <w:t>.</w:t>
            </w:r>
            <w:r>
              <w:rPr>
                <w:rFonts w:ascii="方正书宋_GBK" w:eastAsia="方正书宋_GBK"/>
              </w:rPr>
              <w:t>0</w:t>
            </w:r>
            <w:r>
              <w:rPr>
                <w:rFonts w:hint="eastAsia" w:ascii="方正书宋_GBK" w:eastAsia="方正书宋_GBK"/>
                <w:lang w:val="en-US" w:eastAsia="zh-CN"/>
              </w:rPr>
              <w:t>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1575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年国家储备林偿还本金利息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足额偿还利息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按要求完成支付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分次偿还贷款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分次偿还贷款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归还贷款利息、贷款完成率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完成贷款利息支付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偿还贷款的时间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偿还贷款的时间要求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按流程偿还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按流程偿还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森林生长情况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强化政府信誉</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强化政府信誉</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生态环境质量改善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生态环境质量改善</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对林场发展影响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对林场发展影响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8" w:name="_Toc66050604"/>
      <w:r>
        <w:rPr>
          <w:rFonts w:hint="eastAsia" w:ascii="方正仿宋_GBK" w:eastAsia="方正仿宋_GBK"/>
          <w:b/>
          <w:sz w:val="28"/>
        </w:rPr>
        <w:t>36.土地出让金/两馆一中心运营经费绩效目标表</w:t>
      </w:r>
      <w:bookmarkEnd w:id="3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36、土地出让金/两馆一中心运营经费绩效目标表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13052521LMATEG8HF3UYL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两馆一中心运营经费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两馆一中心运营经费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按时支付各项费用</w:t>
            </w:r>
            <w:r>
              <w:rPr>
                <w:rFonts w:ascii="方正书宋_GBK" w:eastAsia="方正书宋_GBK"/>
              </w:rPr>
              <w:t>,</w:t>
            </w:r>
            <w:r>
              <w:rPr>
                <w:rFonts w:hint="eastAsia" w:ascii="方正书宋_GBK" w:eastAsia="方正书宋_GBK"/>
              </w:rPr>
              <w:t>保障展厅工作正常运转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完成各项工作安排活动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保障展示内容更新和维护</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正常运行天数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正常运行天数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90365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办公基础设施、设备运行情况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办公基础设施、设备运行情况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办公基础设施、设备正常运行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办公基础设施、设备正常运行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9" w:name="_Toc66050605"/>
      <w:r>
        <w:rPr>
          <w:rFonts w:hint="eastAsia" w:ascii="方正仿宋_GBK" w:eastAsia="方正仿宋_GBK"/>
          <w:b/>
          <w:sz w:val="28"/>
        </w:rPr>
        <w:t>37.冀财资环[2020]94号/提前下达2021年中央财政林业改革发展资金/贷款贴息绩效目标表</w:t>
      </w:r>
      <w:bookmarkEnd w:id="3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37、冀财资环[2020]94号/提前下达2021年中央财政林业改革发展资金/贷款贴息绩效目标表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13052521LPGTEBZGEICER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冀财资环</w:t>
            </w:r>
            <w:r>
              <w:rPr>
                <w:rFonts w:ascii="方正书宋_GBK" w:eastAsia="方正书宋_GBK"/>
              </w:rPr>
              <w:t>[2020]94</w:t>
            </w:r>
            <w:r>
              <w:rPr>
                <w:rFonts w:hint="eastAsia" w:ascii="方正书宋_GBK" w:eastAsia="方正书宋_GBK"/>
              </w:rPr>
              <w:t>号</w:t>
            </w:r>
            <w:r>
              <w:rPr>
                <w:rFonts w:ascii="方正书宋_GBK" w:eastAsia="方正书宋_GBK"/>
              </w:rPr>
              <w:t>/</w:t>
            </w:r>
            <w:r>
              <w:rPr>
                <w:rFonts w:hint="eastAsia" w:ascii="方正书宋_GBK" w:eastAsia="方正书宋_GBK"/>
              </w:rPr>
              <w:t>提前下达</w:t>
            </w:r>
            <w:r>
              <w:rPr>
                <w:rFonts w:ascii="方正书宋_GBK" w:eastAsia="方正书宋_GBK"/>
              </w:rPr>
              <w:t>2021</w:t>
            </w:r>
            <w:r>
              <w:rPr>
                <w:rFonts w:hint="eastAsia" w:ascii="方正书宋_GBK" w:eastAsia="方正书宋_GBK"/>
              </w:rPr>
              <w:t>年中央财政林业改革发展资金</w:t>
            </w:r>
            <w:r>
              <w:rPr>
                <w:rFonts w:ascii="方正书宋_GBK" w:eastAsia="方正书宋_GBK"/>
              </w:rPr>
              <w:t>/</w:t>
            </w:r>
            <w:r>
              <w:rPr>
                <w:rFonts w:hint="eastAsia" w:ascii="方正书宋_GBK" w:eastAsia="方正书宋_GBK"/>
              </w:rPr>
              <w:t>贷款贴息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135</w:t>
            </w:r>
            <w:r>
              <w:rPr>
                <w:rFonts w:hint="eastAsia" w:ascii="方正书宋_GBK" w:eastAsia="方正书宋_GBK"/>
                <w:lang w:val="en-US" w:eastAsia="zh-CN"/>
              </w:rPr>
              <w:t>.</w:t>
            </w:r>
            <w:r>
              <w:rPr>
                <w:rFonts w:ascii="方正书宋_GBK" w:eastAsia="方正书宋_GBK"/>
              </w:rPr>
              <w:t>61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135</w:t>
            </w:r>
            <w:r>
              <w:rPr>
                <w:rFonts w:hint="eastAsia" w:ascii="方正书宋_GBK" w:eastAsia="方正书宋_GBK"/>
                <w:lang w:val="en-US" w:eastAsia="zh-CN"/>
              </w:rPr>
              <w:t>.</w:t>
            </w:r>
            <w:r>
              <w:rPr>
                <w:rFonts w:ascii="方正书宋_GBK" w:eastAsia="方正书宋_GBK"/>
              </w:rPr>
              <w:t>61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支付造林补助（贷款贴息）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发放到位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完成全部支付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发放到账率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资金成本核算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满足生态环保要求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满足生态环保要求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生态管护人员满意度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用户使用满意度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0" w:name="_Toc66050606"/>
      <w:r>
        <w:rPr>
          <w:rFonts w:hint="eastAsia" w:ascii="方正仿宋_GBK" w:eastAsia="方正仿宋_GBK"/>
          <w:b/>
          <w:sz w:val="28"/>
        </w:rPr>
        <w:t>38.土地出让金/隆尧县东良乡等二个乡镇周村村等七个村高标准农田建设项目绩效目标表</w:t>
      </w:r>
      <w:bookmarkEnd w:id="4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38、土地出让金/隆尧县东良乡等二个乡镇周村村等七个村高标准农田建设项目绩效目标表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13052521LXMYHCYAWT8MI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隆尧县东良乡等二个乡镇周村村等七个村高标准农田建设项目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隆尧县东良乡等二个乡镇周村村等</w:t>
            </w:r>
            <w:r>
              <w:rPr>
                <w:rFonts w:ascii="方正书宋_GBK" w:eastAsia="方正书宋_GBK"/>
              </w:rPr>
              <w:t xml:space="preserve"> </w:t>
            </w:r>
            <w:r>
              <w:rPr>
                <w:rFonts w:hint="eastAsia" w:ascii="方正书宋_GBK" w:eastAsia="方正书宋_GBK"/>
              </w:rPr>
              <w:t>七个村高标准农田建设项目工程款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按时按规支付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保证项目正常施工</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1" w:name="_Toc66050607"/>
      <w:r>
        <w:rPr>
          <w:rFonts w:hint="eastAsia" w:ascii="方正仿宋_GBK" w:eastAsia="方正仿宋_GBK"/>
          <w:b/>
          <w:sz w:val="28"/>
        </w:rPr>
        <w:t>39.土地出让金/不动产登记工作数据整合建库项目绩效目标表</w:t>
      </w:r>
      <w:bookmarkEnd w:id="4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39、土地出让金/不动产登记工作数据整合建库项目绩效目标表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13052521M5GWWAZU5MQ1G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不动产登记工作数据整合建库项目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w:t>
            </w:r>
            <w:r>
              <w:rPr>
                <w:rFonts w:hint="eastAsia" w:ascii="方正书宋_GBK" w:eastAsia="方正书宋_GBK"/>
                <w:lang w:val="en-US" w:eastAsia="zh-CN"/>
              </w:rPr>
              <w:t>.</w:t>
            </w:r>
            <w:r>
              <w:rPr>
                <w:rFonts w:ascii="方正书宋_GBK" w:eastAsia="方正书宋_GBK"/>
              </w:rPr>
              <w:t>9528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w:t>
            </w:r>
            <w:r>
              <w:rPr>
                <w:rFonts w:hint="eastAsia" w:ascii="方正书宋_GBK" w:eastAsia="方正书宋_GBK"/>
                <w:lang w:val="en-US" w:eastAsia="zh-CN"/>
              </w:rPr>
              <w:t>.</w:t>
            </w:r>
            <w:r>
              <w:rPr>
                <w:rFonts w:ascii="方正书宋_GBK" w:eastAsia="方正书宋_GBK"/>
              </w:rPr>
              <w:t>9528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支付不动产登记工作数据整合项目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完成不动产登记系统建设要求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县不动产登记信息数据上报率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县不动产登记信息数据上报率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管理系统维护响应时间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管理系统维护响应时间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登记证书成本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登记证书成本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2" w:name="_Toc66050608"/>
      <w:r>
        <w:rPr>
          <w:rFonts w:hint="eastAsia" w:ascii="方正仿宋_GBK" w:eastAsia="方正仿宋_GBK"/>
          <w:b/>
          <w:sz w:val="28"/>
        </w:rPr>
        <w:t>40.土地出让金/隆尧县固城镇乡观村土地整治（占补平衡）项目绩效目标表</w:t>
      </w:r>
      <w:bookmarkEnd w:id="4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40、土地出让金/隆尧县固城镇乡观村土地整治（占补平衡）项目绩效目标表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13052521MF1CZBVUGTODC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隆尧县固城镇乡观村土地整治（占补平衡）项目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1825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1825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隆尧县固城镇乡观村土地整治</w:t>
            </w:r>
            <w:r>
              <w:rPr>
                <w:rFonts w:ascii="方正书宋_GBK" w:eastAsia="方正书宋_GBK"/>
              </w:rPr>
              <w:t>(</w:t>
            </w:r>
            <w:r>
              <w:rPr>
                <w:rFonts w:hint="eastAsia" w:ascii="方正书宋_GBK" w:eastAsia="方正书宋_GBK"/>
              </w:rPr>
              <w:t>占补平衡</w:t>
            </w:r>
            <w:r>
              <w:rPr>
                <w:rFonts w:ascii="方正书宋_GBK" w:eastAsia="方正书宋_GBK"/>
              </w:rPr>
              <w:t>)</w:t>
            </w:r>
            <w:r>
              <w:rPr>
                <w:rFonts w:hint="eastAsia" w:ascii="方正书宋_GBK" w:eastAsia="方正书宋_GBK"/>
              </w:rPr>
              <w:t>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3" w:name="_Toc66050609"/>
      <w:r>
        <w:rPr>
          <w:rFonts w:hint="eastAsia" w:ascii="方正仿宋_GBK" w:eastAsia="方正仿宋_GBK"/>
          <w:b/>
          <w:sz w:val="28"/>
        </w:rPr>
        <w:t>41.土地出让金/隆尧县“两馆一中心”项目施工绩效目标表</w:t>
      </w:r>
      <w:bookmarkEnd w:id="4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41、土地出让金/隆尧县\“两馆一中心\”项目施工绩效目标表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13052521MHACWOQK0R9LI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hint="cs" w:ascii="方正书宋_GBK" w:eastAsia="方正书宋_GBK"/>
              </w:rPr>
              <w:t>“</w:t>
            </w:r>
            <w:r>
              <w:rPr>
                <w:rFonts w:hint="eastAsia" w:ascii="方正书宋_GBK" w:eastAsia="方正书宋_GBK"/>
              </w:rPr>
              <w:t>两馆一中心</w:t>
            </w:r>
            <w:r>
              <w:rPr>
                <w:rFonts w:hint="cs" w:ascii="方正书宋_GBK" w:eastAsia="方正书宋_GBK"/>
              </w:rPr>
              <w:t>”</w:t>
            </w:r>
            <w:r>
              <w:rPr>
                <w:rFonts w:hint="eastAsia" w:ascii="方正书宋_GBK" w:eastAsia="方正书宋_GBK"/>
              </w:rPr>
              <w:t>项目施工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项目施工费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w:t>
            </w:r>
            <w:r>
              <w:rPr>
                <w:rFonts w:ascii="方正书宋_GBK" w:eastAsia="方正书宋_GBK"/>
              </w:rPr>
              <w:t>\</w:t>
            </w:r>
            <w:r>
              <w:rPr>
                <w:rFonts w:hint="eastAsia" w:ascii="方正书宋_GBK" w:eastAsia="方正书宋_GBK"/>
              </w:rPr>
              <w:t>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w:t>
            </w:r>
            <w:r>
              <w:rPr>
                <w:rFonts w:ascii="方正书宋_GBK" w:eastAsia="方正书宋_GBK"/>
              </w:rPr>
              <w:t>\</w:t>
            </w:r>
            <w:r>
              <w:rPr>
                <w:rFonts w:hint="eastAsia" w:ascii="方正书宋_GBK" w:eastAsia="方正书宋_GBK"/>
              </w:rPr>
              <w:t>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4" w:name="_Toc66050610"/>
      <w:r>
        <w:rPr>
          <w:rFonts w:hint="eastAsia" w:ascii="方正仿宋_GBK" w:eastAsia="方正仿宋_GBK"/>
          <w:b/>
          <w:sz w:val="28"/>
        </w:rPr>
        <w:t>42.土地出让金/隆尧县2020年第一批次城乡建设用地增减挂钩项目(废弃砖瓦窑)绩效目标表</w:t>
      </w:r>
      <w:bookmarkEnd w:id="4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42、土地出让金/隆尧县2020年第一批次城乡建设用地增减挂钩项目(废弃砖瓦窑)绩效目标表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13052521N4OPNWS3P7OMR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2020</w:t>
            </w:r>
            <w:r>
              <w:rPr>
                <w:rFonts w:hint="eastAsia" w:ascii="方正书宋_GBK" w:eastAsia="方正书宋_GBK"/>
              </w:rPr>
              <w:t>年第一批次城乡建设用地增减挂钩项目</w:t>
            </w:r>
            <w:r>
              <w:rPr>
                <w:rFonts w:ascii="方正书宋_GBK" w:eastAsia="方正书宋_GBK"/>
              </w:rPr>
              <w:t>(</w:t>
            </w:r>
            <w:r>
              <w:rPr>
                <w:rFonts w:hint="eastAsia" w:ascii="方正书宋_GBK" w:eastAsia="方正书宋_GBK"/>
              </w:rPr>
              <w:t>废弃砖瓦窑</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隆尧县固城镇乡观村砖厂土地整治（占补平衡）项目工程款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成本预算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生产效率提高率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5" w:name="_Toc66050611"/>
      <w:r>
        <w:rPr>
          <w:rFonts w:hint="eastAsia" w:ascii="方正仿宋_GBK" w:eastAsia="方正仿宋_GBK"/>
          <w:b/>
          <w:sz w:val="28"/>
        </w:rPr>
        <w:t>43.土地出让金/中心城区和镇(城市设计\控制性详细规划)绩效目标表</w:t>
      </w:r>
      <w:bookmarkEnd w:id="4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43、土地出让金/中心城区和镇(城市设计\控制性详细规划)绩效目标表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13052521NHAM4GHG53TFT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中心城区和镇</w:t>
            </w:r>
            <w:r>
              <w:rPr>
                <w:rFonts w:ascii="方正书宋_GBK" w:eastAsia="方正书宋_GBK"/>
              </w:rPr>
              <w:t>(</w:t>
            </w:r>
            <w:r>
              <w:rPr>
                <w:rFonts w:hint="eastAsia" w:ascii="方正书宋_GBK" w:eastAsia="方正书宋_GBK"/>
              </w:rPr>
              <w:t>城市设计</w:t>
            </w:r>
            <w:r>
              <w:rPr>
                <w:rFonts w:ascii="方正书宋_GBK" w:eastAsia="方正书宋_GBK"/>
              </w:rPr>
              <w:t>\</w:t>
            </w:r>
            <w:r>
              <w:rPr>
                <w:rFonts w:hint="eastAsia" w:ascii="方正书宋_GBK" w:eastAsia="方正书宋_GBK"/>
              </w:rPr>
              <w:t>控制性详细规划</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中心城区总体城市设计编制工作</w:t>
            </w:r>
            <w:r>
              <w:rPr>
                <w:rFonts w:ascii="方正书宋_GBK" w:eastAsia="方正书宋_GBK"/>
              </w:rPr>
              <w:t>,</w:t>
            </w:r>
            <w:r>
              <w:rPr>
                <w:rFonts w:hint="eastAsia" w:ascii="方正书宋_GBK" w:eastAsia="方正书宋_GBK"/>
              </w:rPr>
              <w:t>中心城区控制性详细规划编制工作</w:t>
            </w:r>
            <w:r>
              <w:rPr>
                <w:rFonts w:ascii="方正书宋_GBK" w:eastAsia="方正书宋_GBK"/>
              </w:rPr>
              <w:t>,</w:t>
            </w:r>
            <w:r>
              <w:rPr>
                <w:rFonts w:hint="eastAsia" w:ascii="方正书宋_GBK" w:eastAsia="方正书宋_GBK"/>
              </w:rPr>
              <w:t>镇控制性详细规划编制工作</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6" w:name="_Toc66050612"/>
      <w:r>
        <w:rPr>
          <w:rFonts w:hint="eastAsia" w:ascii="方正仿宋_GBK" w:eastAsia="方正仿宋_GBK"/>
          <w:b/>
          <w:sz w:val="28"/>
        </w:rPr>
        <w:t>44.土地出让金/土地取得费绩效目标表</w:t>
      </w:r>
      <w:bookmarkEnd w:id="4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44、土地出让金/土地取得费绩效目标表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13052521NMFXZN3GTIVEN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土地取得费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3447</w:t>
            </w:r>
            <w:r>
              <w:rPr>
                <w:rFonts w:hint="eastAsia" w:ascii="方正书宋_GBK" w:eastAsia="方正书宋_GBK"/>
                <w:lang w:val="en-US" w:eastAsia="zh-CN"/>
              </w:rPr>
              <w:t>.</w:t>
            </w:r>
            <w:r>
              <w:rPr>
                <w:rFonts w:ascii="方正书宋_GBK" w:eastAsia="方正书宋_GBK"/>
              </w:rPr>
              <w:t>1965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3447</w:t>
            </w:r>
            <w:r>
              <w:rPr>
                <w:rFonts w:hint="eastAsia" w:ascii="方正书宋_GBK" w:eastAsia="方正书宋_GBK"/>
                <w:lang w:val="en-US" w:eastAsia="zh-CN"/>
              </w:rPr>
              <w:t>.</w:t>
            </w:r>
            <w:r>
              <w:rPr>
                <w:rFonts w:ascii="方正书宋_GBK" w:eastAsia="方正书宋_GBK"/>
              </w:rPr>
              <w:t>1965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号等支付</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月份完成全部支付款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高标准完成支付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各项资金按照预算进度拨付进行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符合规划要求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工作发挥效益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自然资源合理利用和保护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7" w:name="_Toc66050613"/>
      <w:r>
        <w:rPr>
          <w:rFonts w:hint="eastAsia" w:ascii="方正仿宋_GBK" w:eastAsia="方正仿宋_GBK"/>
          <w:b/>
          <w:sz w:val="28"/>
        </w:rPr>
        <w:t>45.办案补助/自然资源和规划局专项公用经费绩效目标表</w:t>
      </w:r>
      <w:bookmarkEnd w:id="4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45、办案补助/自然资源和规划局专项公用经费绩效目标表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13052521NSWD4Y04SOORF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自然资源和规划局专项公用经费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保障单位正常办公运转。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工作环境整洁，工作秩序正常展开。</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各项资金按照预算进度拨付进行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正常运行率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正常日常运转的各项支付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完成工作及时情况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日常工作人员运转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工作运转情况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社会满意度经济效益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工作环境正常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为我县机关事业单位提供人力支持，保障各项工作顺利开展。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统一规划，美化环境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统一规划，美化环境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保障工作有序开展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保障机关正常运转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8" w:name="_Toc66050614"/>
      <w:r>
        <w:rPr>
          <w:rFonts w:hint="eastAsia" w:ascii="方正仿宋_GBK" w:eastAsia="方正仿宋_GBK"/>
          <w:b/>
          <w:sz w:val="28"/>
        </w:rPr>
        <w:t>46.土地出让金/国土空间规划绩效目标表</w:t>
      </w:r>
      <w:bookmarkEnd w:id="4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46、土地出让金/国土空间规划绩效目标表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13052521NUBS7Q6EASZGF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国土空间规划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隆尧县国土空间规划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及时技术服务费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根据工作计划在规定时间内提交工作成果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9" w:name="_Toc66050615"/>
      <w:r>
        <w:rPr>
          <w:rFonts w:hint="eastAsia" w:ascii="方正仿宋_GBK" w:eastAsia="方正仿宋_GBK"/>
          <w:b/>
          <w:sz w:val="28"/>
        </w:rPr>
        <w:t>47.土地出让金/隆尧县“两馆一中心”监理绩效目标表</w:t>
      </w:r>
      <w:bookmarkEnd w:id="4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47、土地出让金/隆尧县\“两馆一中心\”监理绩效目标表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13052521NZNXN7AYHZAMZ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hint="cs" w:ascii="方正书宋_GBK" w:eastAsia="方正书宋_GBK"/>
              </w:rPr>
              <w:t>“</w:t>
            </w:r>
            <w:r>
              <w:rPr>
                <w:rFonts w:hint="eastAsia" w:ascii="方正书宋_GBK" w:eastAsia="方正书宋_GBK"/>
              </w:rPr>
              <w:t>两馆一中心</w:t>
            </w:r>
            <w:r>
              <w:rPr>
                <w:rFonts w:hint="cs" w:ascii="方正书宋_GBK" w:eastAsia="方正书宋_GBK"/>
              </w:rPr>
              <w:t>”</w:t>
            </w:r>
            <w:r>
              <w:rPr>
                <w:rFonts w:hint="eastAsia" w:ascii="方正书宋_GBK" w:eastAsia="方正书宋_GBK"/>
              </w:rPr>
              <w:t>监理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96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96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用于支付两馆一中心监理费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w:t>
            </w:r>
            <w:r>
              <w:rPr>
                <w:rFonts w:ascii="方正书宋_GBK" w:eastAsia="方正书宋_GBK"/>
              </w:rPr>
              <w:t>\</w:t>
            </w:r>
            <w:r>
              <w:rPr>
                <w:rFonts w:hint="eastAsia" w:ascii="方正书宋_GBK" w:eastAsia="方正书宋_GBK"/>
              </w:rPr>
              <w:t>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w:t>
            </w:r>
            <w:r>
              <w:rPr>
                <w:rFonts w:ascii="方正书宋_GBK" w:eastAsia="方正书宋_GBK"/>
              </w:rPr>
              <w:t>\</w:t>
            </w:r>
            <w:r>
              <w:rPr>
                <w:rFonts w:hint="eastAsia" w:ascii="方正书宋_GBK" w:eastAsia="方正书宋_GBK"/>
              </w:rPr>
              <w:t>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0" w:name="_Toc66050616"/>
      <w:r>
        <w:rPr>
          <w:rFonts w:hint="eastAsia" w:ascii="方正仿宋_GBK" w:eastAsia="方正仿宋_GBK"/>
          <w:b/>
          <w:sz w:val="28"/>
        </w:rPr>
        <w:t>48.土地出让金/两馆一中心精装修工程绩效目标表</w:t>
      </w:r>
      <w:bookmarkEnd w:id="5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48、土地出让金/两馆一中心精装修工程绩效目标表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13052521OLMYP7T6GHCTA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两馆一中心精装修工程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两馆一中心精装修工程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w:t>
            </w:r>
            <w:r>
              <w:rPr>
                <w:rFonts w:ascii="方正书宋_GBK" w:eastAsia="方正书宋_GBK"/>
              </w:rPr>
              <w:t>\</w:t>
            </w:r>
            <w:r>
              <w:rPr>
                <w:rFonts w:hint="eastAsia" w:ascii="方正书宋_GBK" w:eastAsia="方正书宋_GBK"/>
              </w:rPr>
              <w:t>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w:t>
            </w:r>
            <w:r>
              <w:rPr>
                <w:rFonts w:ascii="方正书宋_GBK" w:eastAsia="方正书宋_GBK"/>
              </w:rPr>
              <w:t>\</w:t>
            </w:r>
            <w:r>
              <w:rPr>
                <w:rFonts w:hint="eastAsia" w:ascii="方正书宋_GBK" w:eastAsia="方正书宋_GBK"/>
              </w:rPr>
              <w:t>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按量完成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1" w:name="_Toc66050617"/>
      <w:r>
        <w:rPr>
          <w:rFonts w:hint="eastAsia" w:ascii="方正仿宋_GBK" w:eastAsia="方正仿宋_GBK"/>
          <w:b/>
          <w:sz w:val="28"/>
        </w:rPr>
        <w:t>49.土地出让金/隆尧县2021年尧山绿化建设项目施工费绩效目标表</w:t>
      </w:r>
      <w:bookmarkEnd w:id="5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49、土地出让金/隆尧县2021年尧山绿化建设项目施工费绩效目标表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13052521P6KPVM3QHGWGO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2021</w:t>
            </w:r>
            <w:r>
              <w:rPr>
                <w:rFonts w:hint="eastAsia" w:ascii="方正书宋_GBK" w:eastAsia="方正书宋_GBK"/>
              </w:rPr>
              <w:t>年尧山绿化建设项目施工费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w:t>
            </w:r>
            <w:r>
              <w:rPr>
                <w:rFonts w:ascii="方正书宋_GBK" w:eastAsia="方正书宋_GBK"/>
              </w:rPr>
              <w:t>2021</w:t>
            </w:r>
            <w:r>
              <w:rPr>
                <w:rFonts w:hint="eastAsia" w:ascii="方正书宋_GBK" w:eastAsia="方正书宋_GBK"/>
              </w:rPr>
              <w:t>年尧山绿化建设项目施工费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完成绿化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规定时间内完成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园林绿化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园林绿化</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绿化成活率（≥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绿化成活率（≥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园林绿化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园林绿化</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持续发展作用力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持续发展作用力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2" w:name="_Toc66050618"/>
      <w:r>
        <w:rPr>
          <w:rFonts w:hint="eastAsia" w:ascii="方正仿宋_GBK" w:eastAsia="方正仿宋_GBK"/>
          <w:b/>
          <w:sz w:val="28"/>
        </w:rPr>
        <w:t>50.土地出让金/2016年造林补贴（2020年补偿资金及验收费用）绩效目标表</w:t>
      </w:r>
      <w:bookmarkEnd w:id="5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50、土地出让金/2016年造林补贴（2020年补偿资金及验收费用）绩效目标表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13052521P9311RV8GBG2C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/2016</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3824</w:t>
            </w:r>
            <w:r>
              <w:rPr>
                <w:rFonts w:hint="eastAsia" w:ascii="方正书宋_GBK" w:eastAsia="方正书宋_GBK"/>
                <w:lang w:val="en-US" w:eastAsia="zh-CN"/>
              </w:rPr>
              <w:t>.</w:t>
            </w:r>
            <w:r>
              <w:rPr>
                <w:rFonts w:ascii="方正书宋_GBK" w:eastAsia="方正书宋_GBK"/>
              </w:rPr>
              <w:t>5836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3824</w:t>
            </w:r>
            <w:r>
              <w:rPr>
                <w:rFonts w:hint="eastAsia" w:ascii="方正书宋_GBK" w:eastAsia="方正书宋_GBK"/>
                <w:lang w:val="en-US" w:eastAsia="zh-CN"/>
              </w:rPr>
              <w:t>.</w:t>
            </w:r>
            <w:r>
              <w:rPr>
                <w:rFonts w:ascii="方正书宋_GBK" w:eastAsia="方正书宋_GBK"/>
              </w:rPr>
              <w:t>5836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完成历年造林及新造林进行验收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验收合格，兑现补贴，不合格的督促补种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规划工作有秩序有序开展，圆满完成率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3" w:name="_Toc66050619"/>
      <w:r>
        <w:rPr>
          <w:rFonts w:hint="eastAsia" w:ascii="方正仿宋_GBK" w:eastAsia="方正仿宋_GBK"/>
          <w:b/>
          <w:sz w:val="28"/>
        </w:rPr>
        <w:t>51.土地出让金/2019年验收费用绩效目标表</w:t>
      </w:r>
      <w:bookmarkEnd w:id="5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51、土地出让金/2019年验收费用绩效目标表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13052521Q0FGF8G5UWBZK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/2019</w:t>
            </w:r>
            <w:r>
              <w:rPr>
                <w:rFonts w:hint="eastAsia" w:ascii="方正书宋_GBK" w:eastAsia="方正书宋_GBK"/>
              </w:rPr>
              <w:t>年验收费用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w:t>
            </w:r>
            <w:r>
              <w:rPr>
                <w:rFonts w:hint="eastAsia" w:ascii="方正书宋_GBK" w:eastAsia="方正书宋_GBK"/>
                <w:lang w:val="en-US" w:eastAsia="zh-CN"/>
              </w:rPr>
              <w:t>.</w:t>
            </w:r>
            <w:r>
              <w:rPr>
                <w:rFonts w:ascii="方正书宋_GBK" w:eastAsia="方正书宋_GBK"/>
              </w:rPr>
              <w:t>783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w:t>
            </w:r>
            <w:r>
              <w:rPr>
                <w:rFonts w:hint="eastAsia" w:ascii="方正书宋_GBK" w:eastAsia="方正书宋_GBK"/>
                <w:lang w:val="en-US" w:eastAsia="zh-CN"/>
              </w:rPr>
              <w:t>.</w:t>
            </w:r>
            <w:r>
              <w:rPr>
                <w:rFonts w:ascii="方正书宋_GBK" w:eastAsia="方正书宋_GBK"/>
              </w:rPr>
              <w:t>783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年造林验收费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完成历年造林及新造林进行验收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验收合格，兑现补贴，不合格的督促补种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规划工作有秩序有序开展，圆满完成率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4" w:name="_Toc66050620"/>
      <w:r>
        <w:rPr>
          <w:rFonts w:hint="eastAsia" w:ascii="方正仿宋_GBK" w:eastAsia="方正仿宋_GBK"/>
          <w:b/>
          <w:sz w:val="28"/>
        </w:rPr>
        <w:t>52.土地出让金/隆尧县国家森林城市建设总体规划编制项目绩效目标表</w:t>
      </w:r>
      <w:bookmarkEnd w:id="5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52、土地出让金/隆尧县国家森林城市建设总体规划编制项目绩效目标表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13052521RVOS43FDWUDQY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隆尧县国家森林城市建设总体规划编制项目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隆尧县国家森林城市建设总体规划编制项目款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5" w:name="_Toc66050621"/>
      <w:r>
        <w:rPr>
          <w:rFonts w:hint="eastAsia" w:ascii="方正仿宋_GBK" w:eastAsia="方正仿宋_GBK"/>
          <w:b/>
          <w:sz w:val="28"/>
        </w:rPr>
        <w:t>53.土地出让金/2018年造林补贴（2020年补偿资金及验收费用）绩效目标表</w:t>
      </w:r>
      <w:bookmarkEnd w:id="5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53、土地出让金/2018年造林补贴（2020年补偿资金及验收费用）绩效目标表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13052521S06WTPZTXKPZP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/2018</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2447</w:t>
            </w:r>
            <w:r>
              <w:rPr>
                <w:rFonts w:hint="eastAsia" w:ascii="方正书宋_GBK" w:eastAsia="方正书宋_GBK"/>
                <w:lang w:val="en-US" w:eastAsia="zh-CN"/>
              </w:rPr>
              <w:t>.</w:t>
            </w:r>
            <w:r>
              <w:rPr>
                <w:rFonts w:ascii="方正书宋_GBK" w:eastAsia="方正书宋_GBK"/>
              </w:rPr>
              <w:t>9084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2447</w:t>
            </w:r>
            <w:r>
              <w:rPr>
                <w:rFonts w:hint="eastAsia" w:ascii="方正书宋_GBK" w:eastAsia="方正书宋_GBK"/>
                <w:lang w:val="en-US" w:eastAsia="zh-CN"/>
              </w:rPr>
              <w:t>.</w:t>
            </w:r>
            <w:r>
              <w:rPr>
                <w:rFonts w:ascii="方正书宋_GBK" w:eastAsia="方正书宋_GBK"/>
              </w:rPr>
              <w:t>9084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完成历年造林及新造林进行验收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验收合格，兑现补贴，不合格的督促补种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森林资源监测任务完成率（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6" w:name="_Toc66050622"/>
      <w:r>
        <w:rPr>
          <w:rFonts w:hint="eastAsia" w:ascii="方正仿宋_GBK" w:eastAsia="方正仿宋_GBK"/>
          <w:b/>
          <w:sz w:val="28"/>
        </w:rPr>
        <w:t>54.土地出让金/补缴耕地占用税绩效目标表</w:t>
      </w:r>
      <w:bookmarkEnd w:id="5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54、土地出让金/补缴耕地占用税绩效目标表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13052521SHCCGPY7SC059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补缴耕地占用税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补缴耕地占用税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完成占地税缴纳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工作更好更快发放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工作顺利发展</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实际发放工资高质量率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完成年度整治任务目标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7" w:name="_Toc66050623"/>
      <w:r>
        <w:rPr>
          <w:rFonts w:hint="eastAsia" w:ascii="方正仿宋_GBK" w:eastAsia="方正仿宋_GBK"/>
          <w:b/>
          <w:sz w:val="28"/>
        </w:rPr>
        <w:t>55.土地出让金/隆尧县永久基本农田储备区划定工作绩效目标表</w:t>
      </w:r>
      <w:bookmarkEnd w:id="5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55、土地出让金/隆尧县永久基本农田储备区划定工作绩效目标表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13052521STX79BD09A6MM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隆尧县永久基本农田储备区划定工作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隆尧县永久基本农田储备区划定工作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提高划定时间</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建设基本农田面积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建设基本农田面积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永久基本农田数据库更新监管率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永久基本农田数据库更新监管率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全面查清最新土地利用状况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全面查清最新土地利用状况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项目发挥作用情况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项目发挥作用情况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8" w:name="_Toc66050624"/>
      <w:r>
        <w:rPr>
          <w:rFonts w:hint="eastAsia" w:ascii="方正仿宋_GBK" w:eastAsia="方正仿宋_GBK"/>
          <w:b/>
          <w:sz w:val="28"/>
        </w:rPr>
        <w:t>56.2019年差额和自收自支人员工资及经费应急借款绩效目标表</w:t>
      </w:r>
      <w:bookmarkEnd w:id="5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56、2019年差额和自收自支人员工资及经费应急借款绩效目标表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13052521T8R0MRWL3TBZU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年差额和自收自支人员工资及经费应急借款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595</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595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年差额和自收自支人员工资及经费应急借款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完成在编差额人员工资等社保费用支付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完成差额人员工资工作更好更快发放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工作顺利发展</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r>
              <w:rPr>
                <w:rFonts w:ascii="方正书宋_GBK" w:eastAsia="方正书宋_GBK"/>
              </w:rPr>
              <w:t>48</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实际发放工资高质量率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289</w:t>
            </w:r>
            <w:r>
              <w:rPr>
                <w:rFonts w:hint="eastAsia" w:ascii="方正书宋_GBK" w:eastAsia="方正书宋_GBK"/>
                <w:lang w:val="en-US" w:eastAsia="zh-CN"/>
              </w:rPr>
              <w:t>.</w:t>
            </w:r>
            <w:r>
              <w:rPr>
                <w:rFonts w:ascii="方正书宋_GBK" w:eastAsia="方正书宋_GBK"/>
              </w:rPr>
              <w:t>1852</w:t>
            </w:r>
            <w:r>
              <w:rPr>
                <w:rFonts w:hint="eastAsia" w:ascii="方正书宋_GBK" w:eastAsia="方正书宋_GBK"/>
                <w:lang w:eastAsia="zh-CN"/>
              </w:rPr>
              <w:t>万</w:t>
            </w:r>
            <w:r>
              <w:rPr>
                <w:rFonts w:hint="eastAsia" w:ascii="方正书宋_GBK" w:eastAsia="方正书宋_GBK"/>
              </w:rPr>
              <w:t>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完成年度整治任务目标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9" w:name="_Toc66050625"/>
      <w:r>
        <w:rPr>
          <w:rFonts w:hint="eastAsia" w:ascii="方正仿宋_GBK" w:eastAsia="方正仿宋_GBK"/>
          <w:b/>
          <w:sz w:val="28"/>
        </w:rPr>
        <w:t>57.土地出让金/绿地系统专项规划绩效目标表</w:t>
      </w:r>
      <w:bookmarkEnd w:id="5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57、土地出让金/绿地系统专项规划绩效目标表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13052521TKALKC1VP6LT1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绿地系统专项规划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支会绿地系统专项规划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及时技术服务费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根据工作计划在规定时间内提交工作成果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0" w:name="_Toc66050626"/>
      <w:r>
        <w:rPr>
          <w:rFonts w:hint="eastAsia" w:ascii="方正仿宋_GBK" w:eastAsia="方正仿宋_GBK"/>
          <w:b/>
          <w:sz w:val="28"/>
        </w:rPr>
        <w:t>58.土地出让金/第三次全国国土调查耕地分等调查评价工作绩效目标表</w:t>
      </w:r>
      <w:bookmarkEnd w:id="6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58、土地出让金/第三次全国国土调查耕地分等调查评价工作绩效目标表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13052521TRM7KORQ3TSE5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第三次全国国土调查耕地分等调查评价工作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0</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第三次全国国土调查耕地分等调查评价工作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完善国土调查</w:t>
            </w:r>
            <w:r>
              <w:rPr>
                <w:rFonts w:ascii="方正书宋_GBK" w:eastAsia="方正书宋_GBK"/>
              </w:rPr>
              <w:t>\</w:t>
            </w:r>
            <w:r>
              <w:rPr>
                <w:rFonts w:hint="eastAsia" w:ascii="方正书宋_GBK" w:eastAsia="方正书宋_GBK"/>
              </w:rPr>
              <w:t>监测和统计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开展土地利用状况分析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完成任务</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第三次国土调查完成率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第三次国土调查完成率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第三次全国国土调查初始调查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第三次全国国土调查初始调查成果数据汇总、分析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数据统计调查、分析监测完成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数据统计调查、分析监测完成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1" w:name="_Toc66050627"/>
      <w:r>
        <w:rPr>
          <w:rFonts w:hint="eastAsia" w:ascii="方正仿宋_GBK" w:eastAsia="方正仿宋_GBK"/>
          <w:b/>
          <w:sz w:val="28"/>
        </w:rPr>
        <w:t>59.土地出让金/不动产登记信息系统建设项目绩效目标表</w:t>
      </w:r>
      <w:bookmarkEnd w:id="6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59、土地出让金/不动产登记信息系统建设项目绩效目标表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13052521TYPF6D0N2DR9P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不动产登记信息系统建设项目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lang w:val="en-US" w:eastAsia="zh-CN"/>
              </w:rPr>
              <w:t>.</w:t>
            </w:r>
            <w:r>
              <w:rPr>
                <w:rFonts w:ascii="方正书宋_GBK" w:eastAsia="方正书宋_GBK"/>
              </w:rPr>
              <w:t>5950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lang w:val="en-US" w:eastAsia="zh-CN"/>
              </w:rPr>
              <w:t>.</w:t>
            </w:r>
            <w:r>
              <w:rPr>
                <w:rFonts w:ascii="方正书宋_GBK" w:eastAsia="方正书宋_GBK"/>
              </w:rPr>
              <w:t>5950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支付不动产登记信息系统建设项目支付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完成不动产登记系统建设要求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县不动产登记信息数据上报率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县不动产登记信息数据上报率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管理系统维护响应时间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管理系统维护响应时间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登记证书成本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登记证书成本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2" w:name="_Toc66050628"/>
      <w:r>
        <w:rPr>
          <w:rFonts w:hint="eastAsia" w:ascii="方正仿宋_GBK" w:eastAsia="方正仿宋_GBK"/>
          <w:b/>
          <w:sz w:val="28"/>
        </w:rPr>
        <w:t>60.土地出让金/隆尧县2019年度自然资源评价评估项目绩效目标表</w:t>
      </w:r>
      <w:bookmarkEnd w:id="6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60、土地出让金/隆尧县2019年度自然资源评价评估项目绩效目标表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13052521X5VATF8MMEW75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2019</w:t>
            </w:r>
            <w:r>
              <w:rPr>
                <w:rFonts w:hint="eastAsia" w:ascii="方正书宋_GBK" w:eastAsia="方正书宋_GBK"/>
              </w:rPr>
              <w:t>年度自然资源评价评估项目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w:t>
            </w:r>
            <w:r>
              <w:rPr>
                <w:rFonts w:ascii="方正书宋_GBK" w:eastAsia="方正书宋_GBK"/>
              </w:rPr>
              <w:t>2019</w:t>
            </w:r>
            <w:r>
              <w:rPr>
                <w:rFonts w:hint="eastAsia" w:ascii="方正书宋_GBK" w:eastAsia="方正书宋_GBK"/>
              </w:rPr>
              <w:t>年度自然资源评价评估项目工程款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加快评估进度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对土地资源合理利用的持续影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城乡规划、土地整治规划对土地资源合理利用的持续影响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3" w:name="_Toc66050629"/>
      <w:r>
        <w:rPr>
          <w:rFonts w:hint="eastAsia" w:ascii="方正仿宋_GBK" w:eastAsia="方正仿宋_GBK"/>
          <w:b/>
          <w:sz w:val="28"/>
        </w:rPr>
        <w:t>61.土地出让金/智能监管平台绩效目标表</w:t>
      </w:r>
      <w:bookmarkEnd w:id="6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61、土地出让金/智能监管平台绩效目标表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13052521XA95UBVH6HAXM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智能监管平台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72</w:t>
            </w:r>
            <w:r>
              <w:rPr>
                <w:rFonts w:hint="eastAsia" w:ascii="方正书宋_GBK" w:eastAsia="方正书宋_GBK"/>
                <w:lang w:val="en-US" w:eastAsia="zh-CN"/>
              </w:rPr>
              <w:t>.</w:t>
            </w:r>
            <w:r>
              <w:rPr>
                <w:rFonts w:ascii="方正书宋_GBK" w:eastAsia="方正书宋_GBK"/>
              </w:rPr>
              <w:t>73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72</w:t>
            </w:r>
            <w:r>
              <w:rPr>
                <w:rFonts w:hint="eastAsia" w:ascii="方正书宋_GBK" w:eastAsia="方正书宋_GBK"/>
                <w:lang w:val="en-US" w:eastAsia="zh-CN"/>
              </w:rPr>
              <w:t>.</w:t>
            </w:r>
            <w:r>
              <w:rPr>
                <w:rFonts w:ascii="方正书宋_GBK" w:eastAsia="方正书宋_GBK"/>
              </w:rPr>
              <w:t>73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智能监管平台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完成当年交办的支付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管理平台数据入库数量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管理平台数据入库数量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年度工作计划和相关要求</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日常监管检查工作进度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日常监管检查工作进度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监管系统重大保障处理响应时间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监管系统重大保障处理响应时间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日常监管检查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日常监管检查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监测、评价完成率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监测、评价完成率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4" w:name="_Toc66050630"/>
      <w:r>
        <w:rPr>
          <w:rFonts w:hint="eastAsia" w:ascii="方正仿宋_GBK" w:eastAsia="方正仿宋_GBK"/>
          <w:b/>
          <w:sz w:val="28"/>
        </w:rPr>
        <w:t>62.土地出让金/隆尧县东良镇唐庄村等四个村高标准农田建设项目绩效目标表</w:t>
      </w:r>
      <w:bookmarkEnd w:id="6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62、土地出让金/隆尧县东良镇唐庄村等四个村高标准农田建设项目绩效目标表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13052521XMMKZWIMSNOQK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隆尧县东良镇唐庄村等四个村高标准农田建设项目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隆尧县东良镇唐庄村等四个村高标准农田建设项目工程款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按时按规支付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保证项目正常施工</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5" w:name="_Toc66050631"/>
      <w:r>
        <w:rPr>
          <w:rFonts w:hint="eastAsia" w:ascii="方正仿宋_GBK" w:eastAsia="方正仿宋_GBK"/>
          <w:b/>
          <w:sz w:val="28"/>
        </w:rPr>
        <w:t>63.土地出让金/土地取得费（隆收储[2020]01号地块）绩效目标表</w:t>
      </w:r>
      <w:bookmarkEnd w:id="6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63、土地出让金/土地取得费（隆收储[2020]01号地块）绩效目标表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13052521XTW3CGUTQ6DF7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土地取得费（隆收储</w:t>
            </w:r>
            <w:r>
              <w:rPr>
                <w:rFonts w:ascii="方正书宋_GBK" w:eastAsia="方正书宋_GBK"/>
              </w:rPr>
              <w:t>[2020]01</w:t>
            </w:r>
            <w:r>
              <w:rPr>
                <w:rFonts w:hint="eastAsia" w:ascii="方正书宋_GBK" w:eastAsia="方正书宋_GBK"/>
              </w:rPr>
              <w:t>号地块）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1578</w:t>
            </w:r>
            <w:r>
              <w:rPr>
                <w:rFonts w:hint="eastAsia" w:ascii="方正书宋_GBK" w:eastAsia="方正书宋_GBK"/>
                <w:lang w:val="en-US" w:eastAsia="zh-CN"/>
              </w:rPr>
              <w:t>.</w:t>
            </w:r>
            <w:r>
              <w:rPr>
                <w:rFonts w:ascii="方正书宋_GBK" w:eastAsia="方正书宋_GBK"/>
              </w:rPr>
              <w:t>70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1578</w:t>
            </w:r>
            <w:r>
              <w:rPr>
                <w:rFonts w:hint="eastAsia" w:ascii="方正书宋_GBK" w:eastAsia="方正书宋_GBK"/>
                <w:lang w:val="en-US" w:eastAsia="zh-CN"/>
              </w:rPr>
              <w:t>.</w:t>
            </w:r>
            <w:r>
              <w:rPr>
                <w:rFonts w:ascii="方正书宋_GBK" w:eastAsia="方正书宋_GBK"/>
              </w:rPr>
              <w:t>70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拨付隆收储</w:t>
            </w:r>
            <w:r>
              <w:rPr>
                <w:rFonts w:ascii="方正书宋_GBK" w:eastAsia="方正书宋_GBK"/>
              </w:rPr>
              <w:t>[2020]01</w:t>
            </w:r>
            <w:r>
              <w:rPr>
                <w:rFonts w:hint="eastAsia" w:ascii="方正书宋_GBK" w:eastAsia="方正书宋_GBK"/>
              </w:rPr>
              <w:t>号地块征收（收购）费用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月份完成全部支付款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高标准完成支付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各项资金按照预算进度拨付进行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符合规划要求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工作发挥效益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自然资源合理利用和保护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6" w:name="_Toc66050632"/>
      <w:r>
        <w:rPr>
          <w:rFonts w:hint="eastAsia" w:ascii="方正仿宋_GBK" w:eastAsia="方正仿宋_GBK"/>
          <w:b/>
          <w:sz w:val="28"/>
        </w:rPr>
        <w:t>64.隆尧县尧山灰岩矿区矿山地质环境恢复治理三期工程绩效目标表</w:t>
      </w:r>
      <w:bookmarkEnd w:id="6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64、隆尧县尧山灰岩矿区矿山地质环境恢复治理三期工程绩效目标表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13052521XV0OSAB3OR7L0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隆尧县尧山灰岩矿区矿山地质环境恢复治理三期工程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36</w:t>
            </w:r>
            <w:r>
              <w:rPr>
                <w:rFonts w:hint="eastAsia" w:ascii="方正书宋_GBK" w:eastAsia="方正书宋_GBK"/>
                <w:lang w:val="en-US" w:eastAsia="zh-CN"/>
              </w:rPr>
              <w:t>.</w:t>
            </w:r>
            <w:r>
              <w:rPr>
                <w:rFonts w:ascii="方正书宋_GBK" w:eastAsia="方正书宋_GBK"/>
              </w:rPr>
              <w:t>5861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36</w:t>
            </w:r>
            <w:r>
              <w:rPr>
                <w:rFonts w:hint="eastAsia" w:ascii="方正书宋_GBK" w:eastAsia="方正书宋_GBK"/>
                <w:lang w:val="en-US" w:eastAsia="zh-CN"/>
              </w:rPr>
              <w:t>.</w:t>
            </w:r>
            <w:r>
              <w:rPr>
                <w:rFonts w:ascii="方正书宋_GBK" w:eastAsia="方正书宋_GBK"/>
              </w:rPr>
              <w:t>5861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支付尧山灰岩矿区矿山地质环境恢复治理三期工程款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完成合同要求支付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按上级要求支付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矿山地质环境监测完成率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矿山地质环境监测完成率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测量完成情况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矿山地质环境保护治理恢复合格率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矿山地质环境保护与治理恢复方案评审合格率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矿山污染综合整治专项行动技术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矿山污染综合整治专项行动技术支撑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地质灾害治理有效性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地质灾害治理有效性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进行满意度测评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进行满意度测评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进行满意度测评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7" w:name="_Toc66050633"/>
      <w:r>
        <w:rPr>
          <w:rFonts w:hint="eastAsia" w:ascii="方正仿宋_GBK" w:eastAsia="方正仿宋_GBK"/>
          <w:b/>
          <w:sz w:val="28"/>
        </w:rPr>
        <w:t>65.土地出让金/失地农民养老保险绩效目标表</w:t>
      </w:r>
      <w:bookmarkEnd w:id="6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65、土地出让金/失地农民养老保险绩效目标表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13052521YRT83ZI5PMRQI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失地农民养老保险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失地农民养老保险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完成社保费用支付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工作更好更快发放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工作顺利发展</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实际发放工资高质量率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完成年度整治任务目标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8" w:name="_Toc66050634"/>
      <w:r>
        <w:rPr>
          <w:rFonts w:hint="eastAsia" w:ascii="方正仿宋_GBK" w:eastAsia="方正仿宋_GBK"/>
          <w:b/>
          <w:sz w:val="28"/>
        </w:rPr>
        <w:t>66.土地出让金/农村集体土地所有权补充调查绩效目标表</w:t>
      </w:r>
      <w:bookmarkEnd w:id="6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66、土地出让金/农村集体土地所有权补充调查绩效目标表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13052521Z1M046BXI8HGH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农村集体土地所有权补充调查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农村集体土地所有权补充调查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提高办证效率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登记发证比例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登记发证比例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全面查清最新土地利用状况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全面查清最新土地利用状况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项目发挥作用情况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项目发挥作用情况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9" w:name="_Toc66050635"/>
      <w:r>
        <w:rPr>
          <w:rFonts w:hint="eastAsia" w:ascii="方正仿宋_GBK" w:eastAsia="方正仿宋_GBK"/>
          <w:b/>
          <w:sz w:val="28"/>
        </w:rPr>
        <w:t>67.土地出让金/土地取得费绩效目标表</w:t>
      </w:r>
      <w:bookmarkEnd w:id="6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67、土地出让金/土地取得费绩效目标表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13052521ZHMPSSFEDCL7F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土地取得费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35442</w:t>
            </w:r>
            <w:r>
              <w:rPr>
                <w:rFonts w:hint="eastAsia" w:ascii="方正书宋_GBK" w:eastAsia="方正书宋_GBK"/>
                <w:lang w:val="en-US" w:eastAsia="zh-CN"/>
              </w:rPr>
              <w:t>.</w:t>
            </w:r>
            <w:r>
              <w:rPr>
                <w:rFonts w:ascii="方正书宋_GBK" w:eastAsia="方正书宋_GBK"/>
              </w:rPr>
              <w:t>2033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35442</w:t>
            </w:r>
            <w:r>
              <w:rPr>
                <w:rFonts w:hint="eastAsia" w:ascii="方正书宋_GBK" w:eastAsia="方正书宋_GBK"/>
                <w:lang w:val="en-US" w:eastAsia="zh-CN"/>
              </w:rPr>
              <w:t>.</w:t>
            </w:r>
            <w:r>
              <w:rPr>
                <w:rFonts w:ascii="方正书宋_GBK" w:eastAsia="方正书宋_GBK"/>
              </w:rPr>
              <w:t>2033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年土地取得费补偿费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月份完成全部支付款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高标准完成支付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各项资金按照预算进度拨付进行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符合规划要求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工作发挥效益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自然资源合理利用和保护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0" w:name="_Toc66050636"/>
      <w:r>
        <w:rPr>
          <w:rFonts w:hint="eastAsia" w:ascii="方正仿宋_GBK" w:eastAsia="方正仿宋_GBK"/>
          <w:b/>
          <w:sz w:val="28"/>
        </w:rPr>
        <w:t>68.土地出让金/隆尧县"两馆一中心"项目压覆矿产资源评估绩效目标表</w:t>
      </w:r>
      <w:bookmarkEnd w:id="7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68、土地出让金/隆尧县"两馆一中心"项目压覆矿产资源评估绩效目标表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13052521ZRH1NH36HVDDQ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项目压覆矿产资源评估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项目压覆矿产资源评估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加快评估进度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对土地资源合理利用的持续影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城乡规划、土地整治规划对土地资源合理利用的持续影响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1" w:name="_Toc66050637"/>
      <w:r>
        <w:rPr>
          <w:rFonts w:hint="eastAsia" w:ascii="方正仿宋_GBK" w:eastAsia="方正仿宋_GBK"/>
          <w:b/>
          <w:sz w:val="28"/>
        </w:rPr>
        <w:t>69.土地出让金/项目前期费用(土壤监测,增减挂钩规划调整,调整土地利用总体规划,国土空间生态规划,森林科普基地,两馆亮化等)绩效目标表</w:t>
      </w:r>
      <w:bookmarkEnd w:id="7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69、土地出让金/项目前期费用(土壤监测,增减挂钩规划调整,调整土地利用总体规划,国土空间生态规划,森林科普基地,两馆亮化等)绩效目标表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13052521ZWNOE9OCLLHLG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项目前期费用</w:t>
            </w:r>
            <w:r>
              <w:rPr>
                <w:rFonts w:ascii="方正书宋_GBK" w:eastAsia="方正书宋_GBK"/>
              </w:rPr>
              <w:t>(</w:t>
            </w:r>
            <w:r>
              <w:rPr>
                <w:rFonts w:hint="eastAsia" w:ascii="方正书宋_GBK" w:eastAsia="方正书宋_GBK"/>
              </w:rPr>
              <w:t>土壤监测</w:t>
            </w:r>
            <w:r>
              <w:rPr>
                <w:rFonts w:ascii="方正书宋_GBK" w:eastAsia="方正书宋_GBK"/>
              </w:rPr>
              <w:t>,</w:t>
            </w:r>
            <w:r>
              <w:rPr>
                <w:rFonts w:hint="eastAsia" w:ascii="方正书宋_GBK" w:eastAsia="方正书宋_GBK"/>
              </w:rPr>
              <w:t>增减挂钩规划调整</w:t>
            </w:r>
            <w:r>
              <w:rPr>
                <w:rFonts w:ascii="方正书宋_GBK" w:eastAsia="方正书宋_GBK"/>
              </w:rPr>
              <w:t>,</w:t>
            </w:r>
            <w:r>
              <w:rPr>
                <w:rFonts w:hint="eastAsia" w:ascii="方正书宋_GBK" w:eastAsia="方正书宋_GBK"/>
              </w:rPr>
              <w:t>调整土地利用总体规划</w:t>
            </w:r>
            <w:r>
              <w:rPr>
                <w:rFonts w:ascii="方正书宋_GBK" w:eastAsia="方正书宋_GBK"/>
              </w:rPr>
              <w:t>,</w:t>
            </w:r>
            <w:r>
              <w:rPr>
                <w:rFonts w:hint="eastAsia" w:ascii="方正书宋_GBK" w:eastAsia="方正书宋_GBK"/>
              </w:rPr>
              <w:t>国土空间生态规划</w:t>
            </w:r>
            <w:r>
              <w:rPr>
                <w:rFonts w:ascii="方正书宋_GBK" w:eastAsia="方正书宋_GBK"/>
              </w:rPr>
              <w:t>,</w:t>
            </w:r>
            <w:r>
              <w:rPr>
                <w:rFonts w:hint="eastAsia" w:ascii="方正书宋_GBK" w:eastAsia="方正书宋_GBK"/>
              </w:rPr>
              <w:t>森林科普基地</w:t>
            </w:r>
            <w:r>
              <w:rPr>
                <w:rFonts w:ascii="方正书宋_GBK" w:eastAsia="方正书宋_GBK"/>
              </w:rPr>
              <w:t>,</w:t>
            </w:r>
            <w:r>
              <w:rPr>
                <w:rFonts w:hint="eastAsia" w:ascii="方正书宋_GBK" w:eastAsia="方正书宋_GBK"/>
              </w:rPr>
              <w:t>两馆亮化等</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土壤监测</w:t>
            </w:r>
            <w:r>
              <w:rPr>
                <w:rFonts w:ascii="方正书宋_GBK" w:eastAsia="方正书宋_GBK"/>
              </w:rPr>
              <w:t>\</w:t>
            </w:r>
            <w:r>
              <w:rPr>
                <w:rFonts w:hint="eastAsia" w:ascii="方正书宋_GBK" w:eastAsia="方正书宋_GBK"/>
              </w:rPr>
              <w:t>调整土地利用总体规划</w:t>
            </w:r>
            <w:r>
              <w:rPr>
                <w:rFonts w:ascii="方正书宋_GBK" w:eastAsia="方正书宋_GBK"/>
              </w:rPr>
              <w:t>(</w:t>
            </w:r>
            <w:r>
              <w:rPr>
                <w:rFonts w:hint="eastAsia" w:ascii="方正书宋_GBK" w:eastAsia="方正书宋_GBK"/>
              </w:rPr>
              <w:t>尧山街等</w:t>
            </w:r>
            <w:r>
              <w:rPr>
                <w:rFonts w:ascii="方正书宋_GBK" w:eastAsia="方正书宋_GBK"/>
              </w:rPr>
              <w:t>)/</w:t>
            </w:r>
            <w:r>
              <w:rPr>
                <w:rFonts w:hint="eastAsia" w:ascii="方正书宋_GBK" w:eastAsia="方正书宋_GBK"/>
              </w:rPr>
              <w:t>增减挂钩整治规划调</w:t>
            </w:r>
            <w:r>
              <w:rPr>
                <w:rFonts w:ascii="方正书宋_GBK" w:eastAsia="方正书宋_GBK"/>
              </w:rPr>
              <w:t>/</w:t>
            </w:r>
            <w:r>
              <w:rPr>
                <w:rFonts w:hint="eastAsia" w:ascii="方正书宋_GBK" w:eastAsia="方正书宋_GBK"/>
              </w:rPr>
              <w:t>国土空间生态修复规划编制</w:t>
            </w:r>
            <w:r>
              <w:rPr>
                <w:rFonts w:ascii="方正书宋_GBK" w:eastAsia="方正书宋_GBK"/>
              </w:rPr>
              <w:t>/</w:t>
            </w:r>
            <w:r>
              <w:rPr>
                <w:rFonts w:hint="eastAsia" w:ascii="方正书宋_GBK" w:eastAsia="方正书宋_GBK"/>
              </w:rPr>
              <w:t>两馆一中心前期费用等已完成工程前期费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及时技术服务费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根据工作计划在规定时间内提交工作成果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2" w:name="_Toc66050638"/>
      <w:r>
        <w:rPr>
          <w:rFonts w:hint="eastAsia" w:ascii="方正仿宋_GBK" w:eastAsia="方正仿宋_GBK"/>
          <w:b/>
          <w:sz w:val="28"/>
        </w:rPr>
        <w:t>70.土地出让金/隆尧县张家庄乡成家庄村砖厂土地整治（占补平衡）项目绩效目标表</w:t>
      </w:r>
      <w:bookmarkEnd w:id="7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70、土地出让金/隆尧县张家庄乡成家庄村砖厂土地整治（占补平衡）项目绩效目标表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13052521ZY8XEAP86FL9S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隆尧县张家庄乡成家庄村砖厂土地整治（占补平衡）项目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4435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4435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隆尧县固城镇乡观村砖厂土地整治（占补平衡）项目工程款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center"/>
        <w:rPr>
          <w:rFonts w:ascii="Times New Roman" w:eastAsia="方正仿宋_GBK"/>
          <w:sz w:val="28"/>
        </w:r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ascii="Times New Roman" w:hAnsi="Times New Roman" w:eastAsia="方正仿宋_GBK"/>
          <w:sz w:val="32"/>
          <w:szCs w:val="24"/>
        </w:rPr>
      </w:pPr>
      <w:bookmarkStart w:id="73"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w:t>
      </w:r>
      <w:r>
        <w:rPr>
          <w:rFonts w:hint="eastAsia" w:ascii="Times New Roman" w:hAnsi="Times New Roman" w:eastAsia="方正仿宋_GBK"/>
          <w:sz w:val="32"/>
          <w:szCs w:val="24"/>
          <w:lang w:eastAsia="zh-CN"/>
        </w:rPr>
        <w:t>部门</w:t>
      </w:r>
      <w:r>
        <w:rPr>
          <w:rFonts w:hint="eastAsia" w:ascii="Times New Roman" w:hAnsi="Times New Roman" w:eastAsia="方正仿宋_GBK"/>
          <w:sz w:val="32"/>
          <w:szCs w:val="24"/>
        </w:rPr>
        <w:t>安排政府采购预算</w:t>
      </w:r>
      <w:r>
        <w:rPr>
          <w:rFonts w:ascii="Times New Roman" w:hAnsi="Times New Roman" w:eastAsia="方正仿宋_GBK"/>
          <w:sz w:val="32"/>
          <w:szCs w:val="24"/>
        </w:rPr>
        <w:t>8067</w:t>
      </w:r>
      <w:r>
        <w:rPr>
          <w:rFonts w:hint="eastAsia" w:ascii="Times New Roman" w:hAnsi="Times New Roman" w:eastAsia="方正仿宋_GBK"/>
          <w:sz w:val="32"/>
          <w:szCs w:val="24"/>
        </w:rPr>
        <w:t>.</w:t>
      </w:r>
      <w:r>
        <w:rPr>
          <w:rFonts w:ascii="Times New Roman" w:hAnsi="Times New Roman" w:eastAsia="方正仿宋_GBK"/>
          <w:sz w:val="32"/>
          <w:szCs w:val="24"/>
        </w:rPr>
        <w:t>4828</w:t>
      </w:r>
      <w:r>
        <w:rPr>
          <w:rFonts w:hint="eastAsia" w:ascii="Times New Roman" w:hAnsi="Times New Roman" w:eastAsia="方正仿宋_GBK"/>
          <w:sz w:val="32"/>
          <w:szCs w:val="24"/>
        </w:rPr>
        <w:t>万元。具体内容见下表。</w:t>
      </w:r>
      <w:bookmarkStart w:id="74" w:name="_Toc64379203"/>
    </w:p>
    <w:p>
      <w:pPr>
        <w:widowControl/>
        <w:jc w:val="center"/>
        <w:rPr>
          <w:rFonts w:ascii="宋体" w:cs="宋体"/>
          <w:b/>
          <w:bCs/>
          <w:kern w:val="0"/>
          <w:sz w:val="32"/>
          <w:szCs w:val="32"/>
        </w:rPr>
      </w:pPr>
      <w:r>
        <w:rPr>
          <w:rFonts w:hint="eastAsia" w:ascii="宋体" w:hAnsi="宋体" w:cs="宋体"/>
          <w:b/>
          <w:bCs/>
          <w:kern w:val="0"/>
          <w:sz w:val="32"/>
          <w:szCs w:val="32"/>
        </w:rPr>
        <w:t>部门政府采购预算</w:t>
      </w:r>
      <w:bookmarkEnd w:id="74"/>
    </w:p>
    <w:bookmarkEnd w:id="73"/>
    <w:tbl>
      <w:tblPr>
        <w:tblStyle w:val="11"/>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347"/>
        <w:gridCol w:w="1318"/>
        <w:gridCol w:w="1234"/>
        <w:gridCol w:w="540"/>
        <w:gridCol w:w="567"/>
        <w:gridCol w:w="1134"/>
        <w:gridCol w:w="1559"/>
        <w:gridCol w:w="1444"/>
        <w:gridCol w:w="1533"/>
        <w:gridCol w:w="708"/>
        <w:gridCol w:w="1005"/>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124"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隆尧县自然资源和规划局</w:t>
            </w:r>
          </w:p>
        </w:tc>
        <w:tc>
          <w:tcPr>
            <w:tcW w:w="7383"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33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31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2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54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56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7383"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34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318" w:type="dxa"/>
            <w:vMerge w:val="continue"/>
            <w:shd w:val="clear" w:color="auto" w:fill="auto"/>
            <w:vAlign w:val="center"/>
          </w:tcPr>
          <w:p>
            <w:pPr>
              <w:spacing w:line="300" w:lineRule="exact"/>
              <w:jc w:val="left"/>
              <w:outlineLvl w:val="1"/>
              <w:rPr>
                <w:rFonts w:ascii="Times New Roman" w:eastAsia="方正仿宋_GBK"/>
                <w:sz w:val="28"/>
              </w:rPr>
            </w:pPr>
          </w:p>
        </w:tc>
        <w:tc>
          <w:tcPr>
            <w:tcW w:w="1234" w:type="dxa"/>
            <w:vMerge w:val="continue"/>
            <w:shd w:val="clear" w:color="auto" w:fill="auto"/>
            <w:vAlign w:val="center"/>
          </w:tcPr>
          <w:p>
            <w:pPr>
              <w:spacing w:line="300" w:lineRule="exact"/>
              <w:jc w:val="left"/>
              <w:outlineLvl w:val="1"/>
              <w:rPr>
                <w:rFonts w:ascii="Times New Roman" w:eastAsia="方正仿宋_GBK"/>
                <w:sz w:val="28"/>
              </w:rPr>
            </w:pPr>
          </w:p>
        </w:tc>
        <w:tc>
          <w:tcPr>
            <w:tcW w:w="540" w:type="dxa"/>
            <w:vMerge w:val="continue"/>
            <w:shd w:val="clear" w:color="auto" w:fill="auto"/>
            <w:vAlign w:val="center"/>
          </w:tcPr>
          <w:p>
            <w:pPr>
              <w:spacing w:line="300" w:lineRule="exact"/>
              <w:jc w:val="left"/>
              <w:outlineLvl w:val="1"/>
              <w:rPr>
                <w:rFonts w:ascii="Times New Roman" w:eastAsia="方正仿宋_GBK"/>
                <w:sz w:val="28"/>
              </w:rPr>
            </w:pPr>
          </w:p>
        </w:tc>
        <w:tc>
          <w:tcPr>
            <w:tcW w:w="56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vMerge w:val="continue"/>
            <w:shd w:val="clear" w:color="auto" w:fill="auto"/>
            <w:vAlign w:val="center"/>
          </w:tcPr>
          <w:p>
            <w:pPr>
              <w:spacing w:line="300" w:lineRule="exact"/>
              <w:jc w:val="left"/>
              <w:outlineLvl w:val="1"/>
              <w:rPr>
                <w:rFonts w:ascii="Times New Roman" w:eastAsia="方正仿宋_GBK"/>
                <w:sz w:val="28"/>
              </w:rPr>
            </w:pPr>
          </w:p>
        </w:tc>
        <w:tc>
          <w:tcPr>
            <w:tcW w:w="15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4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53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0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00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347" w:type="dxa"/>
            <w:shd w:val="clear" w:color="auto" w:fill="auto"/>
            <w:vAlign w:val="center"/>
          </w:tcPr>
          <w:p>
            <w:pPr>
              <w:spacing w:line="300" w:lineRule="exact"/>
              <w:jc w:val="right"/>
              <w:rPr>
                <w:rFonts w:ascii="方正书宋_GBK" w:eastAsia="方正书宋_GBK"/>
                <w:b/>
              </w:rPr>
            </w:pPr>
          </w:p>
        </w:tc>
        <w:tc>
          <w:tcPr>
            <w:tcW w:w="1318" w:type="dxa"/>
            <w:shd w:val="clear" w:color="auto" w:fill="auto"/>
            <w:vAlign w:val="center"/>
          </w:tcPr>
          <w:p>
            <w:pPr>
              <w:spacing w:line="300" w:lineRule="exact"/>
              <w:jc w:val="left"/>
              <w:rPr>
                <w:rFonts w:ascii="方正书宋_GBK" w:eastAsia="方正书宋_GBK"/>
                <w:b/>
              </w:rPr>
            </w:pPr>
          </w:p>
        </w:tc>
        <w:tc>
          <w:tcPr>
            <w:tcW w:w="1234" w:type="dxa"/>
            <w:shd w:val="clear" w:color="auto" w:fill="auto"/>
            <w:vAlign w:val="center"/>
          </w:tcPr>
          <w:p>
            <w:pPr>
              <w:spacing w:line="300" w:lineRule="exact"/>
              <w:jc w:val="left"/>
              <w:rPr>
                <w:rFonts w:ascii="方正书宋_GBK" w:eastAsia="方正书宋_GBK"/>
                <w:b/>
              </w:rPr>
            </w:pPr>
          </w:p>
        </w:tc>
        <w:tc>
          <w:tcPr>
            <w:tcW w:w="540" w:type="dxa"/>
            <w:shd w:val="clear" w:color="auto" w:fill="auto"/>
            <w:vAlign w:val="center"/>
          </w:tcPr>
          <w:p>
            <w:pPr>
              <w:spacing w:line="300" w:lineRule="exact"/>
              <w:jc w:val="center"/>
              <w:rPr>
                <w:rFonts w:ascii="方正书宋_GBK" w:eastAsia="方正书宋_GBK"/>
                <w:b/>
              </w:rPr>
            </w:pPr>
          </w:p>
        </w:tc>
        <w:tc>
          <w:tcPr>
            <w:tcW w:w="56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559" w:type="dxa"/>
            <w:shd w:val="clear" w:color="auto" w:fill="auto"/>
            <w:vAlign w:val="center"/>
          </w:tcPr>
          <w:p>
            <w:pPr>
              <w:spacing w:line="300" w:lineRule="exact"/>
              <w:jc w:val="right"/>
              <w:rPr>
                <w:rFonts w:ascii="方正书宋_GBK" w:eastAsia="方正书宋_GBK"/>
                <w:b/>
              </w:rPr>
            </w:pPr>
            <w:r>
              <w:rPr>
                <w:rFonts w:ascii="方正书宋_GBK" w:eastAsia="方正书宋_GBK"/>
                <w:b/>
              </w:rPr>
              <w:t>8067</w:t>
            </w:r>
            <w:r>
              <w:rPr>
                <w:rFonts w:hint="eastAsia" w:ascii="方正书宋_GBK" w:eastAsia="方正书宋_GBK"/>
                <w:b/>
                <w:lang w:val="en-US" w:eastAsia="zh-CN"/>
              </w:rPr>
              <w:t>.</w:t>
            </w:r>
            <w:r>
              <w:rPr>
                <w:rFonts w:ascii="方正书宋_GBK" w:eastAsia="方正书宋_GBK"/>
                <w:b/>
              </w:rPr>
              <w:t>4828</w:t>
            </w:r>
          </w:p>
        </w:tc>
        <w:tc>
          <w:tcPr>
            <w:tcW w:w="1444" w:type="dxa"/>
            <w:shd w:val="clear" w:color="auto" w:fill="auto"/>
            <w:vAlign w:val="center"/>
          </w:tcPr>
          <w:p>
            <w:pPr>
              <w:spacing w:line="300" w:lineRule="exact"/>
              <w:jc w:val="right"/>
              <w:rPr>
                <w:rFonts w:ascii="方正书宋_GBK" w:eastAsia="方正书宋_GBK"/>
                <w:b/>
              </w:rPr>
            </w:pPr>
            <w:r>
              <w:rPr>
                <w:rFonts w:ascii="方正书宋_GBK" w:eastAsia="方正书宋_GBK"/>
                <w:b/>
              </w:rPr>
              <w:t>128</w:t>
            </w:r>
            <w:r>
              <w:rPr>
                <w:rFonts w:hint="eastAsia" w:ascii="方正书宋_GBK" w:eastAsia="方正书宋_GBK"/>
                <w:b/>
                <w:lang w:val="en-US" w:eastAsia="zh-CN"/>
              </w:rPr>
              <w:t>.</w:t>
            </w:r>
            <w:r>
              <w:rPr>
                <w:rFonts w:ascii="方正书宋_GBK" w:eastAsia="方正书宋_GBK"/>
                <w:b/>
              </w:rPr>
              <w:t>80</w:t>
            </w:r>
          </w:p>
        </w:tc>
        <w:tc>
          <w:tcPr>
            <w:tcW w:w="1533" w:type="dxa"/>
            <w:shd w:val="clear" w:color="auto" w:fill="auto"/>
            <w:vAlign w:val="center"/>
          </w:tcPr>
          <w:p>
            <w:pPr>
              <w:spacing w:line="300" w:lineRule="exact"/>
              <w:jc w:val="right"/>
              <w:rPr>
                <w:rFonts w:ascii="方正书宋_GBK" w:eastAsia="方正书宋_GBK"/>
                <w:b/>
              </w:rPr>
            </w:pPr>
            <w:r>
              <w:rPr>
                <w:rFonts w:ascii="方正书宋_GBK" w:eastAsia="方正书宋_GBK"/>
                <w:b/>
              </w:rPr>
              <w:t>7938</w:t>
            </w:r>
            <w:r>
              <w:rPr>
                <w:rFonts w:hint="eastAsia" w:ascii="方正书宋_GBK" w:eastAsia="方正书宋_GBK"/>
                <w:b/>
                <w:lang w:val="en-US" w:eastAsia="zh-CN"/>
              </w:rPr>
              <w:t>.</w:t>
            </w:r>
            <w:r>
              <w:rPr>
                <w:rFonts w:ascii="方正书宋_GBK" w:eastAsia="方正书宋_GBK"/>
                <w:b/>
              </w:rPr>
              <w:t>6828</w:t>
            </w:r>
          </w:p>
        </w:tc>
        <w:tc>
          <w:tcPr>
            <w:tcW w:w="708" w:type="dxa"/>
            <w:shd w:val="clear" w:color="auto" w:fill="auto"/>
            <w:vAlign w:val="center"/>
          </w:tcPr>
          <w:p>
            <w:pPr>
              <w:spacing w:line="300" w:lineRule="exact"/>
              <w:jc w:val="right"/>
              <w:rPr>
                <w:rFonts w:ascii="方正书宋_GBK" w:eastAsia="方正书宋_GBK"/>
                <w:b/>
              </w:rPr>
            </w:pPr>
          </w:p>
        </w:tc>
        <w:tc>
          <w:tcPr>
            <w:tcW w:w="1005"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隆尧县自然资源和规划局本级小计</w:t>
            </w:r>
          </w:p>
        </w:tc>
        <w:tc>
          <w:tcPr>
            <w:tcW w:w="1347" w:type="dxa"/>
            <w:shd w:val="clear" w:color="auto" w:fill="auto"/>
            <w:vAlign w:val="center"/>
          </w:tcPr>
          <w:p>
            <w:pPr>
              <w:spacing w:line="300" w:lineRule="exact"/>
              <w:jc w:val="right"/>
              <w:rPr>
                <w:rFonts w:ascii="方正书宋_GBK" w:eastAsia="方正书宋_GBK"/>
                <w:b/>
              </w:rPr>
            </w:pPr>
          </w:p>
        </w:tc>
        <w:tc>
          <w:tcPr>
            <w:tcW w:w="1318" w:type="dxa"/>
            <w:shd w:val="clear" w:color="auto" w:fill="auto"/>
            <w:vAlign w:val="center"/>
          </w:tcPr>
          <w:p>
            <w:pPr>
              <w:spacing w:line="300" w:lineRule="exact"/>
              <w:jc w:val="left"/>
              <w:rPr>
                <w:rFonts w:ascii="方正书宋_GBK" w:eastAsia="方正书宋_GBK"/>
                <w:b/>
              </w:rPr>
            </w:pPr>
          </w:p>
        </w:tc>
        <w:tc>
          <w:tcPr>
            <w:tcW w:w="1234" w:type="dxa"/>
            <w:shd w:val="clear" w:color="auto" w:fill="auto"/>
            <w:vAlign w:val="center"/>
          </w:tcPr>
          <w:p>
            <w:pPr>
              <w:spacing w:line="300" w:lineRule="exact"/>
              <w:jc w:val="left"/>
              <w:rPr>
                <w:rFonts w:ascii="方正书宋_GBK" w:eastAsia="方正书宋_GBK"/>
                <w:b/>
              </w:rPr>
            </w:pPr>
          </w:p>
        </w:tc>
        <w:tc>
          <w:tcPr>
            <w:tcW w:w="540" w:type="dxa"/>
            <w:shd w:val="clear" w:color="auto" w:fill="auto"/>
            <w:vAlign w:val="center"/>
          </w:tcPr>
          <w:p>
            <w:pPr>
              <w:spacing w:line="300" w:lineRule="exact"/>
              <w:jc w:val="center"/>
              <w:rPr>
                <w:rFonts w:ascii="方正书宋_GBK" w:eastAsia="方正书宋_GBK"/>
                <w:b/>
              </w:rPr>
            </w:pPr>
          </w:p>
        </w:tc>
        <w:tc>
          <w:tcPr>
            <w:tcW w:w="56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559" w:type="dxa"/>
            <w:shd w:val="clear" w:color="auto" w:fill="auto"/>
            <w:vAlign w:val="center"/>
          </w:tcPr>
          <w:p>
            <w:pPr>
              <w:spacing w:line="300" w:lineRule="exact"/>
              <w:jc w:val="right"/>
              <w:rPr>
                <w:rFonts w:ascii="方正书宋_GBK" w:eastAsia="方正书宋_GBK"/>
                <w:b/>
              </w:rPr>
            </w:pPr>
            <w:r>
              <w:rPr>
                <w:rFonts w:ascii="方正书宋_GBK" w:eastAsia="方正书宋_GBK"/>
                <w:b/>
              </w:rPr>
              <w:t>8067</w:t>
            </w:r>
            <w:r>
              <w:rPr>
                <w:rFonts w:hint="eastAsia" w:ascii="方正书宋_GBK" w:eastAsia="方正书宋_GBK"/>
                <w:b/>
                <w:lang w:val="en-US" w:eastAsia="zh-CN"/>
              </w:rPr>
              <w:t>.</w:t>
            </w:r>
            <w:r>
              <w:rPr>
                <w:rFonts w:ascii="方正书宋_GBK" w:eastAsia="方正书宋_GBK"/>
                <w:b/>
              </w:rPr>
              <w:t>4828</w:t>
            </w:r>
          </w:p>
        </w:tc>
        <w:tc>
          <w:tcPr>
            <w:tcW w:w="1444" w:type="dxa"/>
            <w:shd w:val="clear" w:color="auto" w:fill="auto"/>
            <w:vAlign w:val="center"/>
          </w:tcPr>
          <w:p>
            <w:pPr>
              <w:spacing w:line="300" w:lineRule="exact"/>
              <w:jc w:val="right"/>
              <w:rPr>
                <w:rFonts w:ascii="方正书宋_GBK" w:eastAsia="方正书宋_GBK"/>
                <w:b/>
              </w:rPr>
            </w:pPr>
            <w:r>
              <w:rPr>
                <w:rFonts w:ascii="方正书宋_GBK" w:eastAsia="方正书宋_GBK"/>
                <w:b/>
              </w:rPr>
              <w:t>128</w:t>
            </w:r>
            <w:r>
              <w:rPr>
                <w:rFonts w:hint="eastAsia" w:ascii="方正书宋_GBK" w:eastAsia="方正书宋_GBK"/>
                <w:b/>
                <w:lang w:val="en-US" w:eastAsia="zh-CN"/>
              </w:rPr>
              <w:t>.</w:t>
            </w:r>
            <w:r>
              <w:rPr>
                <w:rFonts w:ascii="方正书宋_GBK" w:eastAsia="方正书宋_GBK"/>
                <w:b/>
              </w:rPr>
              <w:t>80</w:t>
            </w:r>
          </w:p>
        </w:tc>
        <w:tc>
          <w:tcPr>
            <w:tcW w:w="1533" w:type="dxa"/>
            <w:shd w:val="clear" w:color="auto" w:fill="auto"/>
            <w:vAlign w:val="center"/>
          </w:tcPr>
          <w:p>
            <w:pPr>
              <w:spacing w:line="300" w:lineRule="exact"/>
              <w:jc w:val="right"/>
              <w:rPr>
                <w:rFonts w:ascii="方正书宋_GBK" w:eastAsia="方正书宋_GBK"/>
                <w:b/>
              </w:rPr>
            </w:pPr>
            <w:r>
              <w:rPr>
                <w:rFonts w:ascii="方正书宋_GBK" w:eastAsia="方正书宋_GBK"/>
                <w:b/>
              </w:rPr>
              <w:t>7938</w:t>
            </w:r>
            <w:r>
              <w:rPr>
                <w:rFonts w:hint="eastAsia" w:ascii="方正书宋_GBK" w:eastAsia="方正书宋_GBK"/>
                <w:b/>
                <w:lang w:val="en-US" w:eastAsia="zh-CN"/>
              </w:rPr>
              <w:t>.</w:t>
            </w:r>
            <w:r>
              <w:rPr>
                <w:rFonts w:ascii="方正书宋_GBK" w:eastAsia="方正书宋_GBK"/>
                <w:b/>
              </w:rPr>
              <w:t>6828</w:t>
            </w:r>
          </w:p>
        </w:tc>
        <w:tc>
          <w:tcPr>
            <w:tcW w:w="708" w:type="dxa"/>
            <w:shd w:val="clear" w:color="auto" w:fill="auto"/>
            <w:vAlign w:val="center"/>
          </w:tcPr>
          <w:p>
            <w:pPr>
              <w:spacing w:line="300" w:lineRule="exact"/>
              <w:jc w:val="right"/>
              <w:rPr>
                <w:rFonts w:ascii="方正书宋_GBK" w:eastAsia="方正书宋_GBK"/>
                <w:b/>
              </w:rPr>
            </w:pPr>
          </w:p>
        </w:tc>
        <w:tc>
          <w:tcPr>
            <w:tcW w:w="1005"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自然资源和规划局专项公用经费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便携式计算机</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A02010105</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7</w:t>
            </w:r>
            <w:r>
              <w:rPr>
                <w:rFonts w:hint="eastAsia" w:ascii="方正书宋_GBK" w:eastAsia="方正书宋_GBK"/>
                <w:lang w:val="en-US" w:eastAsia="zh-CN"/>
              </w:rPr>
              <w:t>.</w:t>
            </w:r>
            <w:r>
              <w:rPr>
                <w:rFonts w:ascii="方正书宋_GBK" w:eastAsia="方正书宋_GBK"/>
              </w:rPr>
              <w:t>50</w:t>
            </w:r>
          </w:p>
        </w:tc>
        <w:tc>
          <w:tcPr>
            <w:tcW w:w="1444" w:type="dxa"/>
            <w:shd w:val="clear" w:color="auto" w:fill="auto"/>
            <w:vAlign w:val="center"/>
          </w:tcPr>
          <w:p>
            <w:pPr>
              <w:spacing w:line="300" w:lineRule="exact"/>
              <w:jc w:val="right"/>
              <w:rPr>
                <w:rFonts w:ascii="方正书宋_GBK" w:eastAsia="方正书宋_GBK"/>
              </w:rPr>
            </w:pPr>
            <w:r>
              <w:rPr>
                <w:rFonts w:ascii="方正书宋_GBK" w:eastAsia="方正书宋_GBK"/>
              </w:rPr>
              <w:t>7</w:t>
            </w:r>
            <w:r>
              <w:rPr>
                <w:rFonts w:hint="eastAsia" w:ascii="方正书宋_GBK" w:eastAsia="方正书宋_GBK"/>
                <w:lang w:val="en-US" w:eastAsia="zh-CN"/>
              </w:rPr>
              <w:t>.</w:t>
            </w:r>
            <w:r>
              <w:rPr>
                <w:rFonts w:ascii="方正书宋_GBK" w:eastAsia="方正书宋_GBK"/>
              </w:rPr>
              <w:t>50</w:t>
            </w:r>
          </w:p>
        </w:tc>
        <w:tc>
          <w:tcPr>
            <w:tcW w:w="1533"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自然资源和规划局专项公用经费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激光打印机</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A0201060102</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0.2</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00</w:t>
            </w:r>
          </w:p>
        </w:tc>
        <w:tc>
          <w:tcPr>
            <w:tcW w:w="1533"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自然资源和规划局专项公用经费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40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20</w:t>
            </w:r>
          </w:p>
        </w:tc>
        <w:tc>
          <w:tcPr>
            <w:tcW w:w="1444" w:type="dxa"/>
            <w:shd w:val="clear" w:color="auto" w:fill="auto"/>
            <w:vAlign w:val="center"/>
          </w:tcPr>
          <w:p>
            <w:pPr>
              <w:spacing w:line="300" w:lineRule="exact"/>
              <w:jc w:val="righ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20</w:t>
            </w:r>
          </w:p>
        </w:tc>
        <w:tc>
          <w:tcPr>
            <w:tcW w:w="1533"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自然资源和规划局专项公用经费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木制台、桌类</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A060205</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个</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1320.00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198000.00</w:t>
            </w:r>
          </w:p>
        </w:tc>
        <w:tc>
          <w:tcPr>
            <w:tcW w:w="1444" w:type="dxa"/>
            <w:shd w:val="clear" w:color="auto" w:fill="auto"/>
            <w:vAlign w:val="center"/>
          </w:tcPr>
          <w:p>
            <w:pPr>
              <w:spacing w:line="300" w:lineRule="exact"/>
              <w:jc w:val="right"/>
              <w:rPr>
                <w:rFonts w:ascii="方正书宋_GBK" w:eastAsia="方正书宋_GBK"/>
              </w:rPr>
            </w:pPr>
            <w:r>
              <w:rPr>
                <w:rFonts w:ascii="方正书宋_GBK" w:eastAsia="方正书宋_GBK"/>
              </w:rPr>
              <w:t>198000.00</w:t>
            </w:r>
          </w:p>
        </w:tc>
        <w:tc>
          <w:tcPr>
            <w:tcW w:w="1533"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自然资源和规划局专项公用经费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施工和维修用房施工</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B011302</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900000.00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900000.00</w:t>
            </w:r>
          </w:p>
        </w:tc>
        <w:tc>
          <w:tcPr>
            <w:tcW w:w="1444" w:type="dxa"/>
            <w:shd w:val="clear" w:color="auto" w:fill="auto"/>
            <w:vAlign w:val="center"/>
          </w:tcPr>
          <w:p>
            <w:pPr>
              <w:spacing w:line="300" w:lineRule="exact"/>
              <w:jc w:val="right"/>
              <w:rPr>
                <w:rFonts w:ascii="方正书宋_GBK" w:eastAsia="方正书宋_GBK"/>
              </w:rPr>
            </w:pPr>
            <w:r>
              <w:rPr>
                <w:rFonts w:ascii="方正书宋_GBK" w:eastAsia="方正书宋_GBK"/>
              </w:rPr>
              <w:t>900000.00</w:t>
            </w:r>
          </w:p>
        </w:tc>
        <w:tc>
          <w:tcPr>
            <w:tcW w:w="1533"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飞机喷药防治美国白蛾等</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63000.00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63000.00</w:t>
            </w:r>
          </w:p>
        </w:tc>
        <w:tc>
          <w:tcPr>
            <w:tcW w:w="1444" w:type="dxa"/>
            <w:shd w:val="clear" w:color="auto" w:fill="auto"/>
            <w:vAlign w:val="center"/>
          </w:tcPr>
          <w:p>
            <w:pPr>
              <w:spacing w:line="300" w:lineRule="exact"/>
              <w:jc w:val="right"/>
              <w:rPr>
                <w:rFonts w:ascii="方正书宋_GBK" w:eastAsia="方正书宋_GBK"/>
              </w:rPr>
            </w:pPr>
            <w:r>
              <w:rPr>
                <w:rFonts w:ascii="方正书宋_GBK" w:eastAsia="方正书宋_GBK"/>
              </w:rPr>
              <w:t>63000.00</w:t>
            </w:r>
          </w:p>
        </w:tc>
        <w:tc>
          <w:tcPr>
            <w:tcW w:w="1533"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/2019</w:t>
            </w:r>
            <w:r>
              <w:rPr>
                <w:rFonts w:hint="eastAsia" w:ascii="方正书宋_GBK" w:eastAsia="方正书宋_GBK"/>
              </w:rPr>
              <w:t>年两馆一中心基建应急借款</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其他建筑工程</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B99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不动产登记工作数据整合建库项目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70</w:t>
            </w:r>
            <w:r>
              <w:rPr>
                <w:rFonts w:hint="eastAsia" w:ascii="方正书宋_GBK" w:eastAsia="方正书宋_GBK"/>
                <w:lang w:val="en-US" w:eastAsia="zh-CN"/>
              </w:rPr>
              <w:t>.</w:t>
            </w:r>
            <w:r>
              <w:rPr>
                <w:rFonts w:ascii="方正书宋_GBK" w:eastAsia="方正书宋_GBK"/>
              </w:rPr>
              <w:t>9528</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709528.00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70</w:t>
            </w:r>
            <w:r>
              <w:rPr>
                <w:rFonts w:hint="eastAsia" w:ascii="方正书宋_GBK" w:eastAsia="方正书宋_GBK"/>
                <w:lang w:val="en-US" w:eastAsia="zh-CN"/>
              </w:rPr>
              <w:t>.</w:t>
            </w:r>
            <w:r>
              <w:rPr>
                <w:rFonts w:ascii="方正书宋_GBK" w:eastAsia="方正书宋_GBK"/>
              </w:rPr>
              <w:t>9528</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70</w:t>
            </w:r>
            <w:r>
              <w:rPr>
                <w:rFonts w:hint="eastAsia" w:ascii="方正书宋_GBK" w:eastAsia="方正书宋_GBK"/>
                <w:lang w:val="en-US" w:eastAsia="zh-CN"/>
              </w:rPr>
              <w:t>.</w:t>
            </w:r>
            <w:r>
              <w:rPr>
                <w:rFonts w:ascii="方正书宋_GBK" w:eastAsia="方正书宋_GBK"/>
              </w:rPr>
              <w:t>95280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国土空间规划</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两馆一中心精装修工程</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其他安装</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B0699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室外工程</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其他构筑物工程施工</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B0299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w:t>
            </w:r>
            <w:r>
              <w:rPr>
                <w:rFonts w:ascii="方正书宋_GBK" w:eastAsia="方正书宋_GBK"/>
              </w:rPr>
              <w:t>(</w:t>
            </w:r>
            <w:r>
              <w:rPr>
                <w:rFonts w:hint="eastAsia" w:ascii="方正书宋_GBK" w:eastAsia="方正书宋_GBK"/>
              </w:rPr>
              <w:t>规划展览馆</w:t>
            </w:r>
            <w:r>
              <w:rPr>
                <w:rFonts w:ascii="方正书宋_GBK" w:eastAsia="方正书宋_GBK"/>
              </w:rPr>
              <w:t>)</w:t>
            </w:r>
            <w:r>
              <w:rPr>
                <w:rFonts w:hint="eastAsia" w:ascii="方正书宋_GBK" w:eastAsia="方正书宋_GBK"/>
              </w:rPr>
              <w:t>室内布展装饰工程</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博物馆服务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C200305</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2019</w:t>
            </w:r>
            <w:r>
              <w:rPr>
                <w:rFonts w:hint="eastAsia" w:ascii="方正书宋_GBK" w:eastAsia="方正书宋_GBK"/>
              </w:rPr>
              <w:t>年度自然资源评价评估项目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800.00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2020</w:t>
            </w:r>
            <w:r>
              <w:rPr>
                <w:rFonts w:hint="eastAsia" w:ascii="方正书宋_GBK" w:eastAsia="方正书宋_GBK"/>
              </w:rPr>
              <w:t>年第一批次城乡建设用地增减挂钩项目</w:t>
            </w:r>
            <w:r>
              <w:rPr>
                <w:rFonts w:ascii="方正书宋_GBK" w:eastAsia="方正书宋_GBK"/>
              </w:rPr>
              <w:t>(</w:t>
            </w:r>
            <w:r>
              <w:rPr>
                <w:rFonts w:hint="eastAsia" w:ascii="方正书宋_GBK" w:eastAsia="方正书宋_GBK"/>
              </w:rPr>
              <w:t>废弃砖瓦窑</w:t>
            </w:r>
            <w:r>
              <w:rPr>
                <w:rFonts w:ascii="方正书宋_GBK" w:eastAsia="方正书宋_GBK"/>
              </w:rPr>
              <w:t>)</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64.00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64.00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64.00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64.00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2020</w:t>
            </w:r>
            <w:r>
              <w:rPr>
                <w:rFonts w:hint="eastAsia" w:ascii="方正书宋_GBK" w:eastAsia="方正书宋_GBK"/>
              </w:rPr>
              <w:t>年度第</w:t>
            </w:r>
            <w:r>
              <w:rPr>
                <w:rFonts w:ascii="方正书宋_GBK" w:eastAsia="方正书宋_GBK"/>
              </w:rPr>
              <w:t>1-6</w:t>
            </w:r>
            <w:r>
              <w:rPr>
                <w:rFonts w:hint="eastAsia" w:ascii="方正书宋_GBK" w:eastAsia="方正书宋_GBK"/>
              </w:rPr>
              <w:t>批次增减挂钩项目建新区建设用地组卷服务费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2021</w:t>
            </w:r>
            <w:r>
              <w:rPr>
                <w:rFonts w:hint="eastAsia" w:ascii="方正书宋_GBK" w:eastAsia="方正书宋_GBK"/>
              </w:rPr>
              <w:t>年尧山绿化建设项目施工费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荒山绿化工程施工</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B021603</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hint="cs" w:ascii="方正书宋_GBK" w:eastAsia="方正书宋_GBK"/>
              </w:rPr>
              <w:t>“</w:t>
            </w:r>
            <w:r>
              <w:rPr>
                <w:rFonts w:hint="eastAsia" w:ascii="方正书宋_GBK" w:eastAsia="方正书宋_GBK"/>
              </w:rPr>
              <w:t>两馆一中心</w:t>
            </w:r>
            <w:r>
              <w:rPr>
                <w:rFonts w:hint="cs" w:ascii="方正书宋_GBK" w:eastAsia="方正书宋_GBK"/>
              </w:rPr>
              <w:t>”</w:t>
            </w:r>
            <w:r>
              <w:rPr>
                <w:rFonts w:hint="eastAsia" w:ascii="方正书宋_GBK" w:eastAsia="方正书宋_GBK"/>
              </w:rPr>
              <w:t>项目施工</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500.00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其他建筑工程</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B99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500.00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500.00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隆尧县村庄规划编制项目二标段</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46.00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46.00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46.00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46.00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隆尧县村庄规划编制项目三标段</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隆尧县村庄规划编制项目四标段</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600000.00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60.00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60.00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隆尧县村庄规划编制项目一标段</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隆尧县第三次全国国土调查</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隆尧县东良乡等二个乡镇周村村等七个村高标准农田建设项目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300.00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其他工程总承包服务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C100799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300.00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300.00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隆尧县东良镇唐庄村等四个村高标准农田建设项目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其他农业服务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C210199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隆尧县规划地形图测绘</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隆尧县国家森林城市建设总体规划编制项目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隆尧县自然资源和规划局地质灾害和矿产资源压覆区域评估经费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绿地系统专项规划</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农村集体土地使用和宅基地使用权登记发证</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700.00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700.00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700.00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土地出让业务费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1000.00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1000.00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项目前期费用</w:t>
            </w:r>
            <w:r>
              <w:rPr>
                <w:rFonts w:ascii="方正书宋_GBK" w:eastAsia="方正书宋_GBK"/>
              </w:rPr>
              <w:t>(</w:t>
            </w:r>
            <w:r>
              <w:rPr>
                <w:rFonts w:hint="eastAsia" w:ascii="方正书宋_GBK" w:eastAsia="方正书宋_GBK"/>
              </w:rPr>
              <w:t>土壤监测</w:t>
            </w:r>
            <w:r>
              <w:rPr>
                <w:rFonts w:ascii="方正书宋_GBK" w:eastAsia="方正书宋_GBK"/>
              </w:rPr>
              <w:t>,</w:t>
            </w:r>
            <w:r>
              <w:rPr>
                <w:rFonts w:hint="eastAsia" w:ascii="方正书宋_GBK" w:eastAsia="方正书宋_GBK"/>
              </w:rPr>
              <w:t>增减挂钩规划调整</w:t>
            </w:r>
            <w:r>
              <w:rPr>
                <w:rFonts w:ascii="方正书宋_GBK" w:eastAsia="方正书宋_GBK"/>
              </w:rPr>
              <w:t>,</w:t>
            </w:r>
            <w:r>
              <w:rPr>
                <w:rFonts w:hint="eastAsia" w:ascii="方正书宋_GBK" w:eastAsia="方正书宋_GBK"/>
              </w:rPr>
              <w:t>调整土地利用总体规划</w:t>
            </w:r>
            <w:r>
              <w:rPr>
                <w:rFonts w:ascii="方正书宋_GBK" w:eastAsia="方正书宋_GBK"/>
              </w:rPr>
              <w:t>,</w:t>
            </w:r>
            <w:r>
              <w:rPr>
                <w:rFonts w:hint="eastAsia" w:ascii="方正书宋_GBK" w:eastAsia="方正书宋_GBK"/>
              </w:rPr>
              <w:t>国土空间生态规划</w:t>
            </w:r>
            <w:r>
              <w:rPr>
                <w:rFonts w:ascii="方正书宋_GBK" w:eastAsia="方正书宋_GBK"/>
              </w:rPr>
              <w:t>,</w:t>
            </w:r>
            <w:r>
              <w:rPr>
                <w:rFonts w:hint="eastAsia" w:ascii="方正书宋_GBK" w:eastAsia="方正书宋_GBK"/>
              </w:rPr>
              <w:t>森林科普基地</w:t>
            </w:r>
            <w:r>
              <w:rPr>
                <w:rFonts w:ascii="方正书宋_GBK" w:eastAsia="方正书宋_GBK"/>
              </w:rPr>
              <w:t>,</w:t>
            </w:r>
            <w:r>
              <w:rPr>
                <w:rFonts w:hint="eastAsia" w:ascii="方正书宋_GBK" w:eastAsia="方正书宋_GBK"/>
              </w:rPr>
              <w:t>两馆亮化等</w:t>
            </w:r>
            <w:r>
              <w:rPr>
                <w:rFonts w:ascii="方正书宋_GBK" w:eastAsia="方正书宋_GBK"/>
              </w:rPr>
              <w:t>)</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r>
              <w:rPr>
                <w:rFonts w:hint="eastAsia" w:ascii="方正书宋_GBK" w:eastAsia="方正书宋_GBK"/>
                <w:lang w:val="en-US" w:eastAsia="zh-CN"/>
              </w:rPr>
              <w:t>.</w:t>
            </w:r>
            <w:r>
              <w:rPr>
                <w:rFonts w:ascii="方正书宋_GBK" w:eastAsia="方正书宋_GBK"/>
              </w:rPr>
              <w:t>40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r>
              <w:rPr>
                <w:rFonts w:hint="eastAsia" w:ascii="方正书宋_GBK" w:eastAsia="方正书宋_GBK"/>
                <w:lang w:val="en-US" w:eastAsia="zh-CN"/>
              </w:rPr>
              <w:t>.</w:t>
            </w:r>
            <w:r>
              <w:rPr>
                <w:rFonts w:ascii="方正书宋_GBK" w:eastAsia="方正书宋_GBK"/>
              </w:rPr>
              <w:t>40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r>
              <w:rPr>
                <w:rFonts w:hint="eastAsia" w:ascii="方正书宋_GBK" w:eastAsia="方正书宋_GBK"/>
                <w:lang w:val="en-US" w:eastAsia="zh-CN"/>
              </w:rPr>
              <w:t>.</w:t>
            </w:r>
            <w:r>
              <w:rPr>
                <w:rFonts w:ascii="方正书宋_GBK" w:eastAsia="方正书宋_GBK"/>
              </w:rPr>
              <w:t>40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项目前期费用</w:t>
            </w:r>
            <w:r>
              <w:rPr>
                <w:rFonts w:ascii="方正书宋_GBK" w:eastAsia="方正书宋_GBK"/>
              </w:rPr>
              <w:t>(</w:t>
            </w:r>
            <w:r>
              <w:rPr>
                <w:rFonts w:hint="eastAsia" w:ascii="方正书宋_GBK" w:eastAsia="方正书宋_GBK"/>
              </w:rPr>
              <w:t>土壤监测</w:t>
            </w:r>
            <w:r>
              <w:rPr>
                <w:rFonts w:ascii="方正书宋_GBK" w:eastAsia="方正书宋_GBK"/>
              </w:rPr>
              <w:t>,</w:t>
            </w:r>
            <w:r>
              <w:rPr>
                <w:rFonts w:hint="eastAsia" w:ascii="方正书宋_GBK" w:eastAsia="方正书宋_GBK"/>
              </w:rPr>
              <w:t>增减挂钩规划调整</w:t>
            </w:r>
            <w:r>
              <w:rPr>
                <w:rFonts w:ascii="方正书宋_GBK" w:eastAsia="方正书宋_GBK"/>
              </w:rPr>
              <w:t>,</w:t>
            </w:r>
            <w:r>
              <w:rPr>
                <w:rFonts w:hint="eastAsia" w:ascii="方正书宋_GBK" w:eastAsia="方正书宋_GBK"/>
              </w:rPr>
              <w:t>调整土地利用总体规划</w:t>
            </w:r>
            <w:r>
              <w:rPr>
                <w:rFonts w:ascii="方正书宋_GBK" w:eastAsia="方正书宋_GBK"/>
              </w:rPr>
              <w:t>,</w:t>
            </w:r>
            <w:r>
              <w:rPr>
                <w:rFonts w:hint="eastAsia" w:ascii="方正书宋_GBK" w:eastAsia="方正书宋_GBK"/>
              </w:rPr>
              <w:t>国土空间生态规划</w:t>
            </w:r>
            <w:r>
              <w:rPr>
                <w:rFonts w:ascii="方正书宋_GBK" w:eastAsia="方正书宋_GBK"/>
              </w:rPr>
              <w:t>,</w:t>
            </w:r>
            <w:r>
              <w:rPr>
                <w:rFonts w:hint="eastAsia" w:ascii="方正书宋_GBK" w:eastAsia="方正书宋_GBK"/>
              </w:rPr>
              <w:t>森林科普基地</w:t>
            </w:r>
            <w:r>
              <w:rPr>
                <w:rFonts w:ascii="方正书宋_GBK" w:eastAsia="方正书宋_GBK"/>
              </w:rPr>
              <w:t>,</w:t>
            </w:r>
            <w:r>
              <w:rPr>
                <w:rFonts w:hint="eastAsia" w:ascii="方正书宋_GBK" w:eastAsia="方正书宋_GBK"/>
              </w:rPr>
              <w:t>两馆亮化等</w:t>
            </w:r>
            <w:r>
              <w:rPr>
                <w:rFonts w:ascii="方正书宋_GBK" w:eastAsia="方正书宋_GBK"/>
              </w:rPr>
              <w:t>)</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60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600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60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增减挂钩项目</w:t>
            </w:r>
            <w:r>
              <w:rPr>
                <w:rFonts w:ascii="方正书宋_GBK" w:eastAsia="方正书宋_GBK"/>
              </w:rPr>
              <w:t>(</w:t>
            </w:r>
            <w:r>
              <w:rPr>
                <w:rFonts w:hint="eastAsia" w:ascii="方正书宋_GBK" w:eastAsia="方正书宋_GBK"/>
              </w:rPr>
              <w:t>东王村</w:t>
            </w:r>
            <w:r>
              <w:rPr>
                <w:rFonts w:ascii="方正书宋_GBK" w:eastAsia="方正书宋_GBK"/>
              </w:rPr>
              <w:t>\</w:t>
            </w:r>
            <w:r>
              <w:rPr>
                <w:rFonts w:hint="eastAsia" w:ascii="方正书宋_GBK" w:eastAsia="方正书宋_GBK"/>
              </w:rPr>
              <w:t>王村</w:t>
            </w:r>
            <w:r>
              <w:rPr>
                <w:rFonts w:ascii="方正书宋_GBK" w:eastAsia="方正书宋_GBK"/>
              </w:rPr>
              <w:t>\</w:t>
            </w:r>
            <w:r>
              <w:rPr>
                <w:rFonts w:hint="eastAsia" w:ascii="方正书宋_GBK" w:eastAsia="方正书宋_GBK"/>
              </w:rPr>
              <w:t>北潘庄</w:t>
            </w:r>
            <w:r>
              <w:rPr>
                <w:rFonts w:ascii="方正书宋_GBK" w:eastAsia="方正书宋_GBK"/>
              </w:rPr>
              <w:t>)</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其他工程总承包服务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C100799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1550</w:t>
            </w:r>
            <w:r>
              <w:rPr>
                <w:rFonts w:hint="eastAsia" w:ascii="方正书宋_GBK" w:eastAsia="方正书宋_GBK"/>
                <w:lang w:val="en-US" w:eastAsia="zh-CN"/>
              </w:rPr>
              <w:t>.</w:t>
            </w:r>
            <w:r>
              <w:rPr>
                <w:rFonts w:ascii="方正书宋_GBK" w:eastAsia="方正书宋_GBK"/>
              </w:rPr>
              <w:t>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1550</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1550</w:t>
            </w:r>
            <w:r>
              <w:rPr>
                <w:rFonts w:hint="eastAsia" w:ascii="方正书宋_GBK" w:eastAsia="方正书宋_GBK"/>
                <w:lang w:val="en-US" w:eastAsia="zh-CN"/>
              </w:rPr>
              <w:t>.</w:t>
            </w:r>
            <w:r>
              <w:rPr>
                <w:rFonts w:ascii="方正书宋_GBK" w:eastAsia="方正书宋_GBK"/>
              </w:rPr>
              <w:t>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增减挂钩项目</w:t>
            </w:r>
            <w:r>
              <w:rPr>
                <w:rFonts w:ascii="方正书宋_GBK" w:eastAsia="方正书宋_GBK"/>
              </w:rPr>
              <w:t>(</w:t>
            </w:r>
            <w:r>
              <w:rPr>
                <w:rFonts w:hint="eastAsia" w:ascii="方正书宋_GBK" w:eastAsia="方正书宋_GBK"/>
              </w:rPr>
              <w:t>东王村</w:t>
            </w:r>
            <w:r>
              <w:rPr>
                <w:rFonts w:ascii="方正书宋_GBK" w:eastAsia="方正书宋_GBK"/>
              </w:rPr>
              <w:t>\</w:t>
            </w:r>
            <w:r>
              <w:rPr>
                <w:rFonts w:hint="eastAsia" w:ascii="方正书宋_GBK" w:eastAsia="方正书宋_GBK"/>
              </w:rPr>
              <w:t>王村</w:t>
            </w:r>
            <w:r>
              <w:rPr>
                <w:rFonts w:ascii="方正书宋_GBK" w:eastAsia="方正书宋_GBK"/>
              </w:rPr>
              <w:t>\</w:t>
            </w:r>
            <w:r>
              <w:rPr>
                <w:rFonts w:hint="eastAsia" w:ascii="方正书宋_GBK" w:eastAsia="方正书宋_GBK"/>
              </w:rPr>
              <w:t>北潘庄</w:t>
            </w:r>
            <w:r>
              <w:rPr>
                <w:rFonts w:ascii="方正书宋_GBK" w:eastAsia="方正书宋_GBK"/>
              </w:rPr>
              <w:t>)</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w:t>
            </w:r>
            <w:r>
              <w:rPr>
                <w:rFonts w:hint="eastAsia" w:ascii="方正书宋_GBK" w:eastAsia="方正书宋_GBK"/>
                <w:lang w:val="en-US" w:eastAsia="zh-CN"/>
              </w:rPr>
              <w:t>.</w:t>
            </w:r>
            <w:r>
              <w:rPr>
                <w:rFonts w:ascii="方正书宋_GBK" w:eastAsia="方正书宋_GBK"/>
              </w:rPr>
              <w:t>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450.00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450.00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智能监管平台</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72</w:t>
            </w:r>
            <w:r>
              <w:rPr>
                <w:rFonts w:hint="eastAsia" w:ascii="方正书宋_GBK" w:eastAsia="方正书宋_GBK"/>
                <w:lang w:val="en-US" w:eastAsia="zh-CN"/>
              </w:rPr>
              <w:t>.</w:t>
            </w:r>
            <w:r>
              <w:rPr>
                <w:rFonts w:ascii="方正书宋_GBK" w:eastAsia="方正书宋_GBK"/>
              </w:rPr>
              <w:t>73</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72</w:t>
            </w:r>
            <w:r>
              <w:rPr>
                <w:rFonts w:hint="eastAsia" w:ascii="方正书宋_GBK" w:eastAsia="方正书宋_GBK"/>
                <w:lang w:val="en-US" w:eastAsia="zh-CN"/>
              </w:rPr>
              <w:t>.</w:t>
            </w:r>
            <w:r>
              <w:rPr>
                <w:rFonts w:ascii="方正书宋_GBK" w:eastAsia="方正书宋_GBK"/>
              </w:rPr>
              <w:t>73</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72</w:t>
            </w:r>
            <w:r>
              <w:rPr>
                <w:rFonts w:hint="eastAsia" w:ascii="方正书宋_GBK" w:eastAsia="方正书宋_GBK"/>
                <w:lang w:val="en-US" w:eastAsia="zh-CN"/>
              </w:rPr>
              <w:t>.</w:t>
            </w:r>
            <w:r>
              <w:rPr>
                <w:rFonts w:ascii="方正书宋_GBK" w:eastAsia="方正书宋_GBK"/>
              </w:rPr>
              <w:t>73</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72</w:t>
            </w:r>
            <w:r>
              <w:rPr>
                <w:rFonts w:hint="eastAsia" w:ascii="方正书宋_GBK" w:eastAsia="方正书宋_GBK"/>
                <w:lang w:val="en-US" w:eastAsia="zh-CN"/>
              </w:rPr>
              <w:t>.</w:t>
            </w:r>
            <w:r>
              <w:rPr>
                <w:rFonts w:ascii="方正书宋_GBK" w:eastAsia="方正书宋_GBK"/>
              </w:rPr>
              <w:t>73</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中心城区和镇</w:t>
            </w:r>
            <w:r>
              <w:rPr>
                <w:rFonts w:ascii="方正书宋_GBK" w:eastAsia="方正书宋_GBK"/>
              </w:rPr>
              <w:t>(</w:t>
            </w:r>
            <w:r>
              <w:rPr>
                <w:rFonts w:hint="eastAsia" w:ascii="方正书宋_GBK" w:eastAsia="方正书宋_GBK"/>
              </w:rPr>
              <w:t>城市设计</w:t>
            </w:r>
            <w:r>
              <w:rPr>
                <w:rFonts w:ascii="方正书宋_GBK" w:eastAsia="方正书宋_GBK"/>
              </w:rPr>
              <w:t>\</w:t>
            </w:r>
            <w:r>
              <w:rPr>
                <w:rFonts w:hint="eastAsia" w:ascii="方正书宋_GBK" w:eastAsia="方正书宋_GBK"/>
              </w:rPr>
              <w:t>控制性详细规划</w:t>
            </w:r>
            <w:r>
              <w:rPr>
                <w:rFonts w:ascii="方正书宋_GBK" w:eastAsia="方正书宋_GBK"/>
              </w:rPr>
              <w:t>)</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autoSpaceDE w:val="0"/>
        <w:autoSpaceDN w:val="0"/>
        <w:adjustRightInd w:val="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rPr>
          <w:rFonts w:ascii="仿宋" w:hAnsi="仿宋" w:eastAsia="仿宋"/>
          <w:color w:val="000000"/>
          <w:sz w:val="32"/>
          <w:szCs w:val="32"/>
        </w:rPr>
      </w:pPr>
      <w:r>
        <w:rPr>
          <w:rFonts w:hint="eastAsia" w:ascii="仿宋" w:hAnsi="仿宋" w:eastAsia="仿宋"/>
          <w:color w:val="000000"/>
          <w:sz w:val="32"/>
          <w:szCs w:val="32"/>
        </w:rPr>
        <w:t>隆尧县国土资源局2020</w:t>
      </w:r>
      <w:r>
        <w:rPr>
          <w:rFonts w:ascii="仿宋" w:hAnsi="仿宋" w:eastAsia="仿宋"/>
          <w:color w:val="000000"/>
          <w:sz w:val="32"/>
          <w:szCs w:val="32"/>
        </w:rPr>
        <w:t>年末固定资产金额为</w:t>
      </w:r>
      <w:r>
        <w:rPr>
          <w:rFonts w:hint="eastAsia" w:ascii="仿宋" w:hAnsi="仿宋" w:eastAsia="仿宋"/>
          <w:color w:val="000000"/>
          <w:sz w:val="32"/>
          <w:szCs w:val="32"/>
        </w:rPr>
        <w:t>961.70</w:t>
      </w:r>
      <w:r>
        <w:rPr>
          <w:rFonts w:ascii="仿宋" w:hAnsi="仿宋" w:eastAsia="仿宋"/>
          <w:color w:val="000000"/>
          <w:sz w:val="32"/>
          <w:szCs w:val="32"/>
        </w:rPr>
        <w:t>万元（详见下表），本年度各单位</w:t>
      </w:r>
      <w:r>
        <w:rPr>
          <w:rFonts w:hint="eastAsia" w:ascii="仿宋" w:hAnsi="仿宋" w:eastAsia="仿宋"/>
          <w:color w:val="000000"/>
          <w:sz w:val="32"/>
          <w:szCs w:val="32"/>
        </w:rPr>
        <w:t>（处室）</w:t>
      </w:r>
      <w:r>
        <w:rPr>
          <w:rFonts w:ascii="仿宋" w:hAnsi="仿宋" w:eastAsia="仿宋"/>
          <w:color w:val="000000"/>
          <w:sz w:val="32"/>
          <w:szCs w:val="32"/>
        </w:rPr>
        <w:t>拟购置固定资产</w:t>
      </w:r>
      <w:r>
        <w:rPr>
          <w:rFonts w:hint="eastAsia" w:ascii="仿宋" w:hAnsi="仿宋" w:eastAsia="仿宋"/>
          <w:color w:val="000000"/>
          <w:sz w:val="32"/>
          <w:szCs w:val="32"/>
        </w:rPr>
        <w:t>总额为50</w:t>
      </w:r>
      <w:r>
        <w:rPr>
          <w:rFonts w:ascii="仿宋" w:hAnsi="仿宋" w:eastAsia="仿宋"/>
          <w:color w:val="000000"/>
          <w:sz w:val="32"/>
          <w:szCs w:val="32"/>
        </w:rPr>
        <w:t>万元，主要为计算机、一体机、空调、打印机、</w:t>
      </w:r>
      <w:r>
        <w:rPr>
          <w:rFonts w:hint="eastAsia" w:ascii="仿宋" w:hAnsi="仿宋" w:eastAsia="仿宋"/>
          <w:color w:val="000000"/>
          <w:sz w:val="32"/>
          <w:szCs w:val="32"/>
        </w:rPr>
        <w:t>办公家具</w:t>
      </w:r>
      <w:r>
        <w:rPr>
          <w:rFonts w:ascii="仿宋" w:hAnsi="仿宋" w:eastAsia="仿宋"/>
          <w:color w:val="000000"/>
          <w:sz w:val="32"/>
          <w:szCs w:val="32"/>
        </w:rPr>
        <w:t>，已列入政府采购预算表</w:t>
      </w:r>
      <w:r>
        <w:rPr>
          <w:rFonts w:hint="eastAsia" w:ascii="仿宋" w:hAnsi="仿宋" w:eastAsia="仿宋"/>
          <w:color w:val="000000"/>
          <w:sz w:val="32"/>
          <w:szCs w:val="32"/>
        </w:rPr>
        <w:t>，详见政府采购预算表。</w:t>
      </w:r>
    </w:p>
    <w:tbl>
      <w:tblPr>
        <w:tblStyle w:val="11"/>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仿宋" w:hAnsi="仿宋" w:eastAsia="仿宋" w:cs="宋体"/>
                <w:b/>
                <w:bCs/>
                <w:kern w:val="0"/>
                <w:sz w:val="32"/>
                <w:szCs w:val="32"/>
              </w:rPr>
            </w:pPr>
          </w:p>
          <w:p>
            <w:pPr>
              <w:widowControl/>
              <w:jc w:val="center"/>
              <w:rPr>
                <w:rFonts w:ascii="仿宋" w:hAnsi="仿宋" w:eastAsia="仿宋" w:cs="宋体"/>
                <w:b/>
                <w:bCs/>
                <w:kern w:val="0"/>
                <w:sz w:val="32"/>
                <w:szCs w:val="32"/>
              </w:rPr>
            </w:pPr>
          </w:p>
          <w:p>
            <w:pPr>
              <w:widowControl/>
              <w:jc w:val="center"/>
              <w:rPr>
                <w:rFonts w:ascii="仿宋" w:hAnsi="仿宋" w:eastAsia="仿宋" w:cs="宋体"/>
                <w:b/>
                <w:bCs/>
                <w:kern w:val="0"/>
                <w:sz w:val="32"/>
                <w:szCs w:val="32"/>
              </w:rPr>
            </w:pPr>
          </w:p>
          <w:p>
            <w:pPr>
              <w:widowControl/>
              <w:jc w:val="center"/>
              <w:rPr>
                <w:rFonts w:ascii="仿宋" w:hAnsi="仿宋" w:eastAsia="仿宋" w:cs="宋体"/>
                <w:b/>
                <w:bCs/>
                <w:kern w:val="0"/>
                <w:sz w:val="32"/>
                <w:szCs w:val="32"/>
              </w:rPr>
            </w:pPr>
          </w:p>
          <w:p>
            <w:pPr>
              <w:widowControl/>
              <w:jc w:val="center"/>
              <w:rPr>
                <w:rFonts w:ascii="仿宋" w:hAnsi="仿宋" w:eastAsia="仿宋" w:cs="宋体"/>
                <w:b/>
                <w:bCs/>
                <w:kern w:val="0"/>
                <w:sz w:val="32"/>
                <w:szCs w:val="32"/>
              </w:rPr>
            </w:pPr>
            <w:r>
              <w:rPr>
                <w:rFonts w:hint="eastAsia" w:ascii="仿宋" w:hAnsi="仿宋" w:eastAsia="仿宋"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 w:hAnsi="仿宋" w:eastAsia="仿宋"/>
                <w:kern w:val="0"/>
                <w:szCs w:val="21"/>
              </w:rPr>
            </w:pPr>
            <w:r>
              <w:rPr>
                <w:rFonts w:ascii="仿宋" w:hAnsi="仿宋" w:eastAsia="仿宋"/>
                <w:kern w:val="0"/>
                <w:szCs w:val="21"/>
              </w:rPr>
              <w:t>编制部门：</w:t>
            </w:r>
            <w:r>
              <w:rPr>
                <w:rFonts w:hint="eastAsia" w:ascii="仿宋" w:hAnsi="仿宋" w:eastAsia="仿宋"/>
                <w:kern w:val="0"/>
                <w:szCs w:val="21"/>
              </w:rPr>
              <w:t>隆尧县</w:t>
            </w:r>
            <w:r>
              <w:rPr>
                <w:rFonts w:hint="eastAsia" w:ascii="仿宋" w:hAnsi="仿宋" w:eastAsia="仿宋"/>
                <w:kern w:val="0"/>
                <w:szCs w:val="21"/>
                <w:lang w:eastAsia="zh-CN"/>
              </w:rPr>
              <w:t>自然资源和规划</w:t>
            </w:r>
            <w:r>
              <w:rPr>
                <w:rFonts w:hint="eastAsia" w:ascii="仿宋" w:hAnsi="仿宋" w:eastAsia="仿宋"/>
                <w:kern w:val="0"/>
                <w:szCs w:val="21"/>
              </w:rPr>
              <w:t>局</w:t>
            </w:r>
          </w:p>
        </w:tc>
        <w:tc>
          <w:tcPr>
            <w:tcW w:w="5103" w:type="dxa"/>
            <w:tcBorders>
              <w:top w:val="nil"/>
              <w:left w:val="nil"/>
              <w:bottom w:val="nil"/>
              <w:right w:val="nil"/>
            </w:tcBorders>
            <w:vAlign w:val="center"/>
          </w:tcPr>
          <w:p>
            <w:pPr>
              <w:widowControl/>
              <w:jc w:val="left"/>
              <w:rPr>
                <w:rFonts w:ascii="仿宋" w:hAnsi="仿宋" w:eastAsia="仿宋"/>
                <w:kern w:val="0"/>
                <w:szCs w:val="21"/>
              </w:rPr>
            </w:pPr>
            <w:r>
              <w:rPr>
                <w:rFonts w:ascii="仿宋" w:hAnsi="仿宋" w:eastAsia="仿宋"/>
                <w:kern w:val="0"/>
                <w:szCs w:val="21"/>
              </w:rPr>
              <w:t>截止时间：</w:t>
            </w:r>
            <w:r>
              <w:rPr>
                <w:rFonts w:hint="eastAsia" w:ascii="仿宋" w:hAnsi="仿宋" w:eastAsia="仿宋"/>
                <w:kern w:val="0"/>
                <w:szCs w:val="21"/>
              </w:rPr>
              <w:t>2020</w:t>
            </w:r>
            <w:r>
              <w:rPr>
                <w:rFonts w:ascii="仿宋" w:hAnsi="仿宋" w:eastAsia="仿宋"/>
                <w:kern w:val="0"/>
                <w:szCs w:val="21"/>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Cs w:val="21"/>
              </w:rPr>
            </w:pPr>
            <w:r>
              <w:rPr>
                <w:rFonts w:hint="eastAsia" w:ascii="仿宋" w:hAnsi="仿宋" w:eastAsia="仿宋" w:cs="宋体"/>
                <w:b/>
                <w:bCs/>
                <w:kern w:val="0"/>
                <w:szCs w:val="21"/>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Cs w:val="21"/>
              </w:rPr>
            </w:pPr>
            <w:r>
              <w:rPr>
                <w:rFonts w:hint="eastAsia" w:ascii="仿宋" w:hAnsi="仿宋" w:eastAsia="仿宋" w:cs="宋体"/>
                <w:b/>
                <w:bCs/>
                <w:kern w:val="0"/>
                <w:szCs w:val="21"/>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Cs w:val="21"/>
              </w:rPr>
            </w:pPr>
            <w:r>
              <w:rPr>
                <w:rFonts w:hint="eastAsia" w:ascii="仿宋" w:hAnsi="仿宋" w:eastAsia="仿宋" w:cs="宋体"/>
                <w:b/>
                <w:bCs/>
                <w:kern w:val="0"/>
                <w:szCs w:val="21"/>
              </w:rPr>
              <w:t>价值（金额单位：万元）</w:t>
            </w:r>
          </w:p>
        </w:tc>
      </w:tr>
      <w:tr>
        <w:tblPrEx>
          <w:tblCellMar>
            <w:top w:w="0" w:type="dxa"/>
            <w:left w:w="108" w:type="dxa"/>
            <w:bottom w:w="0" w:type="dxa"/>
            <w:right w:w="108" w:type="dxa"/>
          </w:tblCellMar>
        </w:tblPrEx>
        <w:trPr>
          <w:trHeight w:val="514"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kern w:val="0"/>
                <w:szCs w:val="21"/>
              </w:rPr>
            </w:pPr>
            <w:r>
              <w:rPr>
                <w:rFonts w:ascii="仿宋" w:hAnsi="仿宋" w:eastAsia="仿宋"/>
                <w:kern w:val="0"/>
                <w:szCs w:val="21"/>
              </w:rPr>
              <w:t>资产总额</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ascii="仿宋" w:hAnsi="仿宋" w:eastAsia="仿宋"/>
                <w:kern w:val="0"/>
                <w:szCs w:val="21"/>
              </w:rPr>
              <w:t>——</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961.70</w:t>
            </w:r>
          </w:p>
        </w:tc>
      </w:tr>
      <w:tr>
        <w:tblPrEx>
          <w:tblCellMar>
            <w:top w:w="0" w:type="dxa"/>
            <w:left w:w="108" w:type="dxa"/>
            <w:bottom w:w="0" w:type="dxa"/>
            <w:right w:w="108" w:type="dxa"/>
          </w:tblCellMar>
        </w:tblPrEx>
        <w:trPr>
          <w:trHeight w:val="410"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Cs w:val="21"/>
              </w:rPr>
            </w:pPr>
            <w:r>
              <w:rPr>
                <w:rFonts w:ascii="仿宋" w:hAnsi="仿宋" w:eastAsia="仿宋"/>
                <w:kern w:val="0"/>
                <w:szCs w:val="21"/>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3479.15</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530.25</w:t>
            </w:r>
          </w:p>
        </w:tc>
      </w:tr>
      <w:tr>
        <w:tblPrEx>
          <w:tblCellMar>
            <w:top w:w="0" w:type="dxa"/>
            <w:left w:w="108" w:type="dxa"/>
            <w:bottom w:w="0" w:type="dxa"/>
            <w:right w:w="108" w:type="dxa"/>
          </w:tblCellMar>
        </w:tblPrEx>
        <w:trPr>
          <w:trHeight w:val="416"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Cs w:val="21"/>
              </w:rPr>
            </w:pPr>
            <w:r>
              <w:rPr>
                <w:rFonts w:ascii="仿宋" w:hAnsi="仿宋" w:eastAsia="仿宋"/>
                <w:kern w:val="0"/>
                <w:szCs w:val="21"/>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3479.15</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530.25</w:t>
            </w:r>
          </w:p>
        </w:tc>
      </w:tr>
      <w:tr>
        <w:tblPrEx>
          <w:tblCellMar>
            <w:top w:w="0" w:type="dxa"/>
            <w:left w:w="108" w:type="dxa"/>
            <w:bottom w:w="0" w:type="dxa"/>
            <w:right w:w="108" w:type="dxa"/>
          </w:tblCellMar>
        </w:tblPrEx>
        <w:trPr>
          <w:trHeight w:val="408"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Cs w:val="21"/>
              </w:rPr>
            </w:pPr>
            <w:r>
              <w:rPr>
                <w:rFonts w:ascii="仿宋" w:hAnsi="仿宋" w:eastAsia="仿宋"/>
                <w:kern w:val="0"/>
                <w:szCs w:val="21"/>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11</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105.73</w:t>
            </w:r>
          </w:p>
        </w:tc>
      </w:tr>
      <w:tr>
        <w:tblPrEx>
          <w:tblCellMar>
            <w:top w:w="0" w:type="dxa"/>
            <w:left w:w="108" w:type="dxa"/>
            <w:bottom w:w="0" w:type="dxa"/>
            <w:right w:w="108" w:type="dxa"/>
          </w:tblCellMar>
        </w:tblPrEx>
        <w:trPr>
          <w:trHeight w:val="428"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Cs w:val="21"/>
              </w:rPr>
            </w:pPr>
            <w:r>
              <w:rPr>
                <w:rFonts w:ascii="仿宋" w:hAnsi="仿宋" w:eastAsia="仿宋"/>
                <w:kern w:val="0"/>
                <w:szCs w:val="21"/>
              </w:rPr>
              <w:t>3、</w:t>
            </w:r>
            <w:r>
              <w:rPr>
                <w:rFonts w:hint="eastAsia" w:ascii="仿宋" w:hAnsi="仿宋" w:eastAsia="仿宋"/>
                <w:kern w:val="0"/>
                <w:szCs w:val="21"/>
              </w:rPr>
              <w:t>通用设备</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455</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291.69</w:t>
            </w:r>
          </w:p>
        </w:tc>
      </w:tr>
      <w:tr>
        <w:tblPrEx>
          <w:tblCellMar>
            <w:top w:w="0" w:type="dxa"/>
            <w:left w:w="108" w:type="dxa"/>
            <w:bottom w:w="0" w:type="dxa"/>
            <w:right w:w="108" w:type="dxa"/>
          </w:tblCellMar>
        </w:tblPrEx>
        <w:trPr>
          <w:trHeight w:val="406"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Cs w:val="21"/>
              </w:rPr>
            </w:pPr>
            <w:r>
              <w:rPr>
                <w:rFonts w:ascii="仿宋" w:hAnsi="仿宋" w:eastAsia="仿宋"/>
                <w:kern w:val="0"/>
                <w:szCs w:val="21"/>
              </w:rPr>
              <w:t>4、</w:t>
            </w:r>
            <w:r>
              <w:rPr>
                <w:rFonts w:hint="eastAsia" w:ascii="仿宋" w:hAnsi="仿宋" w:eastAsia="仿宋"/>
                <w:kern w:val="0"/>
                <w:szCs w:val="21"/>
              </w:rPr>
              <w:t>专用设备</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124</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34.03</w:t>
            </w:r>
          </w:p>
        </w:tc>
      </w:tr>
    </w:tbl>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八、名词解释</w:t>
      </w:r>
    </w:p>
    <w:p>
      <w:pPr>
        <w:ind w:firstLine="640" w:firstLineChars="200"/>
        <w:rPr>
          <w:rFonts w:ascii="仿宋" w:hAnsi="仿宋" w:eastAsia="仿宋"/>
          <w:sz w:val="32"/>
          <w:szCs w:val="32"/>
        </w:rPr>
      </w:pPr>
      <w:r>
        <w:rPr>
          <w:rFonts w:hint="eastAsia" w:ascii="仿宋" w:hAnsi="仿宋" w:eastAsia="仿宋"/>
          <w:sz w:val="32"/>
          <w:szCs w:val="32"/>
        </w:rPr>
        <w:t>1、一般公共预算拨款收入：指</w:t>
      </w:r>
      <w:r>
        <w:rPr>
          <w:rFonts w:hint="eastAsia" w:ascii="仿宋" w:hAnsi="仿宋" w:eastAsia="仿宋"/>
          <w:sz w:val="32"/>
          <w:szCs w:val="32"/>
          <w:lang w:eastAsia="zh-CN"/>
        </w:rPr>
        <w:t>县级</w:t>
      </w:r>
      <w:r>
        <w:rPr>
          <w:rFonts w:hint="eastAsia" w:ascii="仿宋" w:hAnsi="仿宋" w:eastAsia="仿宋"/>
          <w:sz w:val="32"/>
          <w:szCs w:val="32"/>
        </w:rPr>
        <w:t>财政当年拨付的资金。</w:t>
      </w:r>
    </w:p>
    <w:p>
      <w:pPr>
        <w:ind w:firstLine="640" w:firstLineChars="200"/>
        <w:rPr>
          <w:rFonts w:ascii="仿宋" w:hAnsi="仿宋" w:eastAsia="仿宋"/>
          <w:sz w:val="32"/>
          <w:szCs w:val="32"/>
        </w:rPr>
      </w:pPr>
      <w:r>
        <w:rPr>
          <w:rFonts w:hint="eastAsia" w:ascii="仿宋" w:hAnsi="仿宋" w:eastAsia="仿宋"/>
          <w:sz w:val="32"/>
          <w:szCs w:val="32"/>
        </w:rPr>
        <w:t>2、基本支出：指为保障机构正常运转、完成日常工作任务而发生的人员支出和公用支出。</w:t>
      </w:r>
    </w:p>
    <w:p>
      <w:pPr>
        <w:ind w:firstLine="640" w:firstLineChars="200"/>
        <w:rPr>
          <w:rFonts w:ascii="仿宋" w:hAnsi="仿宋" w:eastAsia="仿宋"/>
          <w:sz w:val="32"/>
          <w:szCs w:val="32"/>
        </w:rPr>
      </w:pPr>
      <w:r>
        <w:rPr>
          <w:rFonts w:hint="eastAsia" w:ascii="仿宋" w:hAnsi="仿宋" w:eastAsia="仿宋"/>
          <w:sz w:val="32"/>
          <w:szCs w:val="32"/>
        </w:rPr>
        <w:t>3、项目支出：指在基本支出之外为完成特定行政任务和事业发展目标所发生的支出。</w:t>
      </w:r>
    </w:p>
    <w:p>
      <w:pPr>
        <w:ind w:firstLine="640" w:firstLineChars="200"/>
        <w:rPr>
          <w:rFonts w:ascii="仿宋" w:hAnsi="仿宋" w:eastAsia="仿宋"/>
          <w:sz w:val="32"/>
          <w:szCs w:val="32"/>
        </w:rPr>
      </w:pPr>
      <w:r>
        <w:rPr>
          <w:rFonts w:hint="eastAsia" w:ascii="仿宋" w:hAnsi="仿宋" w:eastAsia="仿宋"/>
          <w:sz w:val="32"/>
          <w:szCs w:val="32"/>
        </w:rPr>
        <w:t>4、“三公”经费：纳入</w:t>
      </w:r>
      <w:r>
        <w:rPr>
          <w:rFonts w:hint="eastAsia" w:ascii="仿宋" w:hAnsi="仿宋" w:eastAsia="仿宋"/>
          <w:sz w:val="32"/>
          <w:szCs w:val="32"/>
          <w:lang w:eastAsia="zh-CN"/>
        </w:rPr>
        <w:t>县级</w:t>
      </w:r>
      <w:r>
        <w:rPr>
          <w:rFonts w:hint="eastAsia" w:ascii="仿宋" w:hAnsi="仿宋" w:eastAsia="仿宋"/>
          <w:sz w:val="32"/>
          <w:szCs w:val="32"/>
        </w:rPr>
        <w:t>财政预算管理的“三公”经费，是指</w:t>
      </w:r>
      <w:r>
        <w:rPr>
          <w:rFonts w:hint="eastAsia" w:ascii="仿宋" w:hAnsi="仿宋" w:eastAsia="仿宋"/>
          <w:sz w:val="32"/>
          <w:szCs w:val="32"/>
          <w:lang w:eastAsia="zh-CN"/>
        </w:rPr>
        <w:t>县级</w:t>
      </w:r>
      <w:r>
        <w:rPr>
          <w:rFonts w:hint="eastAsia" w:ascii="仿宋" w:hAnsi="仿宋" w:eastAsia="仿宋"/>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sz w:val="32"/>
          <w:szCs w:val="32"/>
        </w:rPr>
      </w:pPr>
      <w:r>
        <w:rPr>
          <w:rFonts w:hint="eastAsia" w:ascii="仿宋" w:hAnsi="仿宋" w:eastAsia="仿宋"/>
          <w:sz w:val="32"/>
          <w:szCs w:val="32"/>
        </w:rPr>
        <w:t>5、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sz w:val="32"/>
          <w:szCs w:val="32"/>
        </w:rPr>
      </w:pPr>
    </w:p>
    <w:p>
      <w:pPr>
        <w:ind w:firstLine="640" w:firstLineChars="200"/>
        <w:rPr>
          <w:rFonts w:ascii="仿宋" w:hAnsi="仿宋" w:eastAsia="仿宋" w:cs="宋体-方正超大字符集"/>
          <w:b/>
          <w:bCs/>
          <w:sz w:val="32"/>
          <w:szCs w:val="32"/>
        </w:rPr>
      </w:pPr>
      <w:r>
        <w:rPr>
          <w:rFonts w:hint="eastAsia" w:ascii="仿宋" w:hAnsi="仿宋" w:eastAsia="仿宋" w:cs="宋体-方正超大字符集"/>
          <w:b/>
          <w:bCs/>
          <w:sz w:val="32"/>
          <w:szCs w:val="32"/>
        </w:rPr>
        <w:t>九、其他需要说明的事项</w:t>
      </w:r>
    </w:p>
    <w:p>
      <w:pPr>
        <w:ind w:firstLine="640" w:firstLineChars="200"/>
        <w:rPr>
          <w:rFonts w:ascii="仿宋" w:hAnsi="仿宋" w:eastAsia="仿宋"/>
          <w:sz w:val="32"/>
          <w:szCs w:val="32"/>
        </w:rPr>
        <w:sectPr>
          <w:pgSz w:w="16839" w:h="11907" w:orient="landscape"/>
          <w:pgMar w:top="1304" w:right="1985" w:bottom="1304" w:left="1134" w:header="851" w:footer="992" w:gutter="0"/>
          <w:cols w:space="720" w:num="1"/>
          <w:docGrid w:type="linesAndChars" w:linePitch="312" w:charSpace="0"/>
        </w:sectPr>
      </w:pPr>
      <w:r>
        <w:rPr>
          <w:rFonts w:hint="eastAsia" w:ascii="仿宋" w:hAnsi="仿宋" w:eastAsia="仿宋"/>
          <w:sz w:val="32"/>
          <w:szCs w:val="32"/>
        </w:rPr>
        <w:t>我部门无其他需要说明的事项</w:t>
      </w:r>
    </w:p>
    <w:bookmarkEnd w:id="0"/>
    <w:p>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楷体">
    <w:panose1 w:val="02010609060101010101"/>
    <w:charset w:val="86"/>
    <w:family w:val="modern"/>
    <w:pitch w:val="default"/>
    <w:sig w:usb0="800002BF" w:usb1="38CF7CFA" w:usb2="00000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78765"/>
              <wp:effectExtent l="0" t="0" r="0" b="0"/>
              <wp:wrapNone/>
              <wp:docPr id="1" name="文本框 7"/>
              <wp:cNvGraphicFramePr/>
              <a:graphic xmlns:a="http://schemas.openxmlformats.org/drawingml/2006/main">
                <a:graphicData uri="http://schemas.microsoft.com/office/word/2010/wordprocessingShape">
                  <wps:wsp>
                    <wps:cNvSpPr txBox="1"/>
                    <wps:spPr>
                      <a:xfrm>
                        <a:off x="0" y="0"/>
                        <a:ext cx="58420" cy="278765"/>
                      </a:xfrm>
                      <a:prstGeom prst="rect">
                        <a:avLst/>
                      </a:prstGeom>
                      <a:noFill/>
                      <a:ln>
                        <a:noFill/>
                      </a:ln>
                    </wps:spPr>
                    <wps:txbx>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117</w:t>
                          </w:r>
                          <w:r>
                            <w:rPr>
                              <w:rStyle w:val="13"/>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21.95pt;width:4.6pt;mso-position-horizontal:center;mso-position-horizontal-relative:margin;mso-wrap-style:none;z-index:251659264;mso-width-relative:page;mso-height-relative:page;" filled="f" stroked="f" coordsize="21600,21600" o:gfxdata="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Jb4oDrRAAAAAgEAAA8AAAAAAAAAAQAgAAAAIgAAAGRycy9kb3du&#10;cmV2LnhtbFBLAQIUABQAAAAIAIdO4kDu1YL7zQEAAJYDAAAOAAAAAAAAAAEAIAAAACABAABkcnMv&#10;ZTJvRG9jLnhtbFBLBQYAAAAABgAGAFkBAABfBQAAAAA=&#10;">
              <v:fill on="f" focussize="0,0"/>
              <v:stroke on="f"/>
              <v:imagedata o:title=""/>
              <o:lock v:ext="edit" aspectratio="f"/>
              <v:textbox inset="0mm,0mm,0mm,0mm" style="mso-fit-shape-to-text:t;">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117</w:t>
                    </w:r>
                    <w:r>
                      <w:rPr>
                        <w:rStyle w:val="13"/>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bordersDoNotSurroundHeader w:val="1"/>
  <w:bordersDoNotSurroundFooter w:val="1"/>
  <w:hideSpellingErrors/>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3YjBjN2JlNjA0N2ZlMWFlZjIzNzY0ZWNmNDIyZDAifQ=="/>
  </w:docVars>
  <w:rsids>
    <w:rsidRoot w:val="00F66032"/>
    <w:rsid w:val="00001E74"/>
    <w:rsid w:val="00004436"/>
    <w:rsid w:val="0001601B"/>
    <w:rsid w:val="00020BC9"/>
    <w:rsid w:val="000277D3"/>
    <w:rsid w:val="00034786"/>
    <w:rsid w:val="00037AF6"/>
    <w:rsid w:val="000405D0"/>
    <w:rsid w:val="0004257D"/>
    <w:rsid w:val="00042F57"/>
    <w:rsid w:val="00054CDC"/>
    <w:rsid w:val="0006483E"/>
    <w:rsid w:val="000658A6"/>
    <w:rsid w:val="0006752F"/>
    <w:rsid w:val="000677CB"/>
    <w:rsid w:val="00074766"/>
    <w:rsid w:val="00075D5F"/>
    <w:rsid w:val="0008102F"/>
    <w:rsid w:val="00086527"/>
    <w:rsid w:val="00087AAF"/>
    <w:rsid w:val="000B529B"/>
    <w:rsid w:val="000C3A19"/>
    <w:rsid w:val="000D52E9"/>
    <w:rsid w:val="000E1E06"/>
    <w:rsid w:val="000E1F02"/>
    <w:rsid w:val="000E617A"/>
    <w:rsid w:val="000E7D3F"/>
    <w:rsid w:val="00104D5C"/>
    <w:rsid w:val="001245BB"/>
    <w:rsid w:val="001251A3"/>
    <w:rsid w:val="00133E19"/>
    <w:rsid w:val="001364F4"/>
    <w:rsid w:val="00145C78"/>
    <w:rsid w:val="00146AA7"/>
    <w:rsid w:val="00160D6E"/>
    <w:rsid w:val="00170CAA"/>
    <w:rsid w:val="00170D1F"/>
    <w:rsid w:val="00174493"/>
    <w:rsid w:val="0018714B"/>
    <w:rsid w:val="0019071F"/>
    <w:rsid w:val="00191B75"/>
    <w:rsid w:val="001A149B"/>
    <w:rsid w:val="001B4EF3"/>
    <w:rsid w:val="001B5B76"/>
    <w:rsid w:val="001D42D2"/>
    <w:rsid w:val="001E0757"/>
    <w:rsid w:val="001F40E8"/>
    <w:rsid w:val="001F5ED5"/>
    <w:rsid w:val="001F7873"/>
    <w:rsid w:val="001F7B5A"/>
    <w:rsid w:val="00201B2D"/>
    <w:rsid w:val="00212F23"/>
    <w:rsid w:val="002174E4"/>
    <w:rsid w:val="00221DDC"/>
    <w:rsid w:val="0022507C"/>
    <w:rsid w:val="00237E4E"/>
    <w:rsid w:val="00241FD4"/>
    <w:rsid w:val="00251B12"/>
    <w:rsid w:val="00254BF0"/>
    <w:rsid w:val="00283B6C"/>
    <w:rsid w:val="00296113"/>
    <w:rsid w:val="002A673A"/>
    <w:rsid w:val="002B4DAA"/>
    <w:rsid w:val="002C07BE"/>
    <w:rsid w:val="002C57EE"/>
    <w:rsid w:val="002C5E13"/>
    <w:rsid w:val="002C62BC"/>
    <w:rsid w:val="002C7DF9"/>
    <w:rsid w:val="002D3AEA"/>
    <w:rsid w:val="002D7683"/>
    <w:rsid w:val="002E0EB8"/>
    <w:rsid w:val="002E65C2"/>
    <w:rsid w:val="002F126F"/>
    <w:rsid w:val="002F1536"/>
    <w:rsid w:val="002F3E58"/>
    <w:rsid w:val="0030542C"/>
    <w:rsid w:val="00311B7A"/>
    <w:rsid w:val="00322EC1"/>
    <w:rsid w:val="00330C33"/>
    <w:rsid w:val="00343CD7"/>
    <w:rsid w:val="0035104D"/>
    <w:rsid w:val="00372FA3"/>
    <w:rsid w:val="003843B4"/>
    <w:rsid w:val="00394A20"/>
    <w:rsid w:val="003A6A7D"/>
    <w:rsid w:val="003A756F"/>
    <w:rsid w:val="003B2422"/>
    <w:rsid w:val="003B27CE"/>
    <w:rsid w:val="003B5241"/>
    <w:rsid w:val="003B67E0"/>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46CA8"/>
    <w:rsid w:val="00565588"/>
    <w:rsid w:val="00566225"/>
    <w:rsid w:val="00572067"/>
    <w:rsid w:val="00573562"/>
    <w:rsid w:val="005737E8"/>
    <w:rsid w:val="00590ECE"/>
    <w:rsid w:val="00591078"/>
    <w:rsid w:val="005911E4"/>
    <w:rsid w:val="005915C2"/>
    <w:rsid w:val="00592ADD"/>
    <w:rsid w:val="00595F07"/>
    <w:rsid w:val="005A2F44"/>
    <w:rsid w:val="005B2E24"/>
    <w:rsid w:val="005B793D"/>
    <w:rsid w:val="005C5CF5"/>
    <w:rsid w:val="00602878"/>
    <w:rsid w:val="00605A11"/>
    <w:rsid w:val="00612D3C"/>
    <w:rsid w:val="00614A29"/>
    <w:rsid w:val="0061668A"/>
    <w:rsid w:val="0062201D"/>
    <w:rsid w:val="006364A7"/>
    <w:rsid w:val="00637255"/>
    <w:rsid w:val="00643AA7"/>
    <w:rsid w:val="00644445"/>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2065"/>
    <w:rsid w:val="00717B1E"/>
    <w:rsid w:val="00734FDE"/>
    <w:rsid w:val="00746441"/>
    <w:rsid w:val="00753836"/>
    <w:rsid w:val="0075393C"/>
    <w:rsid w:val="00754592"/>
    <w:rsid w:val="00757DCE"/>
    <w:rsid w:val="007701B8"/>
    <w:rsid w:val="0077207E"/>
    <w:rsid w:val="00776C08"/>
    <w:rsid w:val="00786726"/>
    <w:rsid w:val="00792F3A"/>
    <w:rsid w:val="007A673A"/>
    <w:rsid w:val="007C180B"/>
    <w:rsid w:val="007C1A58"/>
    <w:rsid w:val="007C219A"/>
    <w:rsid w:val="007C4F9B"/>
    <w:rsid w:val="007D50B5"/>
    <w:rsid w:val="007E1DA8"/>
    <w:rsid w:val="007E4BA0"/>
    <w:rsid w:val="007E4D52"/>
    <w:rsid w:val="007F6C26"/>
    <w:rsid w:val="00806D0E"/>
    <w:rsid w:val="00813208"/>
    <w:rsid w:val="00822135"/>
    <w:rsid w:val="0083214F"/>
    <w:rsid w:val="008334AE"/>
    <w:rsid w:val="00836FED"/>
    <w:rsid w:val="0083724E"/>
    <w:rsid w:val="00845CD2"/>
    <w:rsid w:val="00852B0D"/>
    <w:rsid w:val="00863385"/>
    <w:rsid w:val="00881692"/>
    <w:rsid w:val="00883D1A"/>
    <w:rsid w:val="008934A3"/>
    <w:rsid w:val="00895613"/>
    <w:rsid w:val="008A25C2"/>
    <w:rsid w:val="008A6576"/>
    <w:rsid w:val="008B3CC5"/>
    <w:rsid w:val="008B52CD"/>
    <w:rsid w:val="008C00F4"/>
    <w:rsid w:val="008C104B"/>
    <w:rsid w:val="008C25AE"/>
    <w:rsid w:val="008D42CC"/>
    <w:rsid w:val="008E4261"/>
    <w:rsid w:val="008F4662"/>
    <w:rsid w:val="00900BF9"/>
    <w:rsid w:val="00904CDD"/>
    <w:rsid w:val="00905D08"/>
    <w:rsid w:val="0091146B"/>
    <w:rsid w:val="0092271B"/>
    <w:rsid w:val="00925753"/>
    <w:rsid w:val="00931831"/>
    <w:rsid w:val="009368CB"/>
    <w:rsid w:val="009425F4"/>
    <w:rsid w:val="009537C8"/>
    <w:rsid w:val="00965683"/>
    <w:rsid w:val="00966C5C"/>
    <w:rsid w:val="009705B6"/>
    <w:rsid w:val="0097130F"/>
    <w:rsid w:val="00972D31"/>
    <w:rsid w:val="00973104"/>
    <w:rsid w:val="009756AB"/>
    <w:rsid w:val="00987029"/>
    <w:rsid w:val="00987706"/>
    <w:rsid w:val="00995BF0"/>
    <w:rsid w:val="009A16D5"/>
    <w:rsid w:val="009A353D"/>
    <w:rsid w:val="009B0B77"/>
    <w:rsid w:val="009B511E"/>
    <w:rsid w:val="009D3DF1"/>
    <w:rsid w:val="009E0BB0"/>
    <w:rsid w:val="009E3C32"/>
    <w:rsid w:val="00A02FED"/>
    <w:rsid w:val="00A0345F"/>
    <w:rsid w:val="00A42BFB"/>
    <w:rsid w:val="00A44E3D"/>
    <w:rsid w:val="00A62942"/>
    <w:rsid w:val="00A72D2E"/>
    <w:rsid w:val="00A7347D"/>
    <w:rsid w:val="00A74447"/>
    <w:rsid w:val="00A74CE5"/>
    <w:rsid w:val="00A75DBE"/>
    <w:rsid w:val="00A910D2"/>
    <w:rsid w:val="00A911E7"/>
    <w:rsid w:val="00A939D9"/>
    <w:rsid w:val="00A94FFC"/>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5E7"/>
    <w:rsid w:val="00BA4785"/>
    <w:rsid w:val="00BA534E"/>
    <w:rsid w:val="00BA5E68"/>
    <w:rsid w:val="00BB1A2F"/>
    <w:rsid w:val="00BD09F8"/>
    <w:rsid w:val="00BD4B2D"/>
    <w:rsid w:val="00BE0E8E"/>
    <w:rsid w:val="00BE7351"/>
    <w:rsid w:val="00C0360F"/>
    <w:rsid w:val="00C06277"/>
    <w:rsid w:val="00C16800"/>
    <w:rsid w:val="00C35176"/>
    <w:rsid w:val="00C46530"/>
    <w:rsid w:val="00C46EC4"/>
    <w:rsid w:val="00C570A2"/>
    <w:rsid w:val="00C667DC"/>
    <w:rsid w:val="00C67658"/>
    <w:rsid w:val="00C67C66"/>
    <w:rsid w:val="00C7719B"/>
    <w:rsid w:val="00CA59B0"/>
    <w:rsid w:val="00CA7176"/>
    <w:rsid w:val="00CB3D48"/>
    <w:rsid w:val="00CB4665"/>
    <w:rsid w:val="00CC744F"/>
    <w:rsid w:val="00CC75B0"/>
    <w:rsid w:val="00CD0BF2"/>
    <w:rsid w:val="00CD1AE7"/>
    <w:rsid w:val="00CD23E7"/>
    <w:rsid w:val="00CD2773"/>
    <w:rsid w:val="00CD31CC"/>
    <w:rsid w:val="00CE143B"/>
    <w:rsid w:val="00CE3D34"/>
    <w:rsid w:val="00CF3455"/>
    <w:rsid w:val="00CF6673"/>
    <w:rsid w:val="00D0024A"/>
    <w:rsid w:val="00D01660"/>
    <w:rsid w:val="00D136E7"/>
    <w:rsid w:val="00D17ABB"/>
    <w:rsid w:val="00D27003"/>
    <w:rsid w:val="00D31459"/>
    <w:rsid w:val="00D4166E"/>
    <w:rsid w:val="00D440D6"/>
    <w:rsid w:val="00D72C5D"/>
    <w:rsid w:val="00D97D00"/>
    <w:rsid w:val="00DA7FF9"/>
    <w:rsid w:val="00DB4A9B"/>
    <w:rsid w:val="00DC6982"/>
    <w:rsid w:val="00DC6F06"/>
    <w:rsid w:val="00DD38EC"/>
    <w:rsid w:val="00DE0873"/>
    <w:rsid w:val="00DE666F"/>
    <w:rsid w:val="00E167C7"/>
    <w:rsid w:val="00E2313F"/>
    <w:rsid w:val="00E2482E"/>
    <w:rsid w:val="00E273A5"/>
    <w:rsid w:val="00E34E80"/>
    <w:rsid w:val="00E41AAA"/>
    <w:rsid w:val="00E61DF2"/>
    <w:rsid w:val="00E70C0A"/>
    <w:rsid w:val="00E73D47"/>
    <w:rsid w:val="00E76E4E"/>
    <w:rsid w:val="00E82C63"/>
    <w:rsid w:val="00E91254"/>
    <w:rsid w:val="00E92E9C"/>
    <w:rsid w:val="00EA3186"/>
    <w:rsid w:val="00EA6505"/>
    <w:rsid w:val="00EA7492"/>
    <w:rsid w:val="00EB1BEC"/>
    <w:rsid w:val="00EC2F6B"/>
    <w:rsid w:val="00EC4247"/>
    <w:rsid w:val="00EC47F6"/>
    <w:rsid w:val="00ED2F22"/>
    <w:rsid w:val="00ED7CF6"/>
    <w:rsid w:val="00EE62A0"/>
    <w:rsid w:val="00EE65B8"/>
    <w:rsid w:val="00EF06C7"/>
    <w:rsid w:val="00EF16B5"/>
    <w:rsid w:val="00F05293"/>
    <w:rsid w:val="00F10008"/>
    <w:rsid w:val="00F149E2"/>
    <w:rsid w:val="00F159B6"/>
    <w:rsid w:val="00F15E1F"/>
    <w:rsid w:val="00F36C6A"/>
    <w:rsid w:val="00F40CD8"/>
    <w:rsid w:val="00F449F1"/>
    <w:rsid w:val="00F46C2E"/>
    <w:rsid w:val="00F66032"/>
    <w:rsid w:val="00F71B78"/>
    <w:rsid w:val="00F728BF"/>
    <w:rsid w:val="00F72D63"/>
    <w:rsid w:val="00F87A16"/>
    <w:rsid w:val="00F87C1E"/>
    <w:rsid w:val="00F93AD4"/>
    <w:rsid w:val="00F958C2"/>
    <w:rsid w:val="00F97C0C"/>
    <w:rsid w:val="00FA3D33"/>
    <w:rsid w:val="00FA66A5"/>
    <w:rsid w:val="00FB5FCB"/>
    <w:rsid w:val="00FC6F96"/>
    <w:rsid w:val="00FD351A"/>
    <w:rsid w:val="00FE75D7"/>
    <w:rsid w:val="00FF6131"/>
    <w:rsid w:val="05EB7137"/>
    <w:rsid w:val="09C07708"/>
    <w:rsid w:val="0C8A702E"/>
    <w:rsid w:val="19E82AD3"/>
    <w:rsid w:val="1D68496A"/>
    <w:rsid w:val="27F37612"/>
    <w:rsid w:val="2C8353BC"/>
    <w:rsid w:val="2D215EAE"/>
    <w:rsid w:val="31BE3045"/>
    <w:rsid w:val="37997DB0"/>
    <w:rsid w:val="39F50E2C"/>
    <w:rsid w:val="40AC75ED"/>
    <w:rsid w:val="43C30666"/>
    <w:rsid w:val="447073D9"/>
    <w:rsid w:val="49085A1A"/>
    <w:rsid w:val="4ACC1DAC"/>
    <w:rsid w:val="57763D5B"/>
    <w:rsid w:val="5B6B140E"/>
    <w:rsid w:val="62594343"/>
    <w:rsid w:val="69CB5582"/>
    <w:rsid w:val="70D666E7"/>
    <w:rsid w:val="745A2CAE"/>
    <w:rsid w:val="77216D7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39" w:semiHidden="0" w:name="toc 2"/>
    <w:lsdException w:unhideWhenUsed="0" w:uiPriority="0" w:semiHidden="0" w:name="toc 3" w:locked="1"/>
    <w:lsdException w:qFormat="1" w:uiPriority="39"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8"/>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9"/>
    <w:qFormat/>
    <w:locked/>
    <w:uiPriority w:val="99"/>
    <w:pPr>
      <w:keepNext/>
      <w:keepLines/>
      <w:spacing w:before="260" w:after="260" w:line="416" w:lineRule="auto"/>
      <w:outlineLvl w:val="1"/>
    </w:pPr>
    <w:rPr>
      <w:rFonts w:ascii="Cambria" w:hAnsi="Cambria"/>
      <w:b/>
      <w:sz w:val="32"/>
      <w:szCs w:val="20"/>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2"/>
    <w:semiHidden/>
    <w:qFormat/>
    <w:uiPriority w:val="99"/>
    <w:rPr>
      <w:kern w:val="0"/>
      <w:sz w:val="18"/>
      <w:szCs w:val="20"/>
    </w:rPr>
  </w:style>
  <w:style w:type="paragraph" w:styleId="5">
    <w:name w:val="footer"/>
    <w:basedOn w:val="1"/>
    <w:link w:val="21"/>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20"/>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toc 4"/>
    <w:basedOn w:val="1"/>
    <w:next w:val="1"/>
    <w:unhideWhenUsed/>
    <w:qFormat/>
    <w:locked/>
    <w:uiPriority w:val="39"/>
    <w:pPr>
      <w:ind w:left="1260" w:leftChars="600"/>
    </w:pPr>
  </w:style>
  <w:style w:type="paragraph" w:styleId="9">
    <w:name w:val="footnote text"/>
    <w:basedOn w:val="1"/>
    <w:link w:val="24"/>
    <w:semiHidden/>
    <w:qFormat/>
    <w:uiPriority w:val="99"/>
    <w:pPr>
      <w:snapToGrid w:val="0"/>
      <w:jc w:val="left"/>
    </w:pPr>
    <w:rPr>
      <w:kern w:val="0"/>
      <w:sz w:val="18"/>
      <w:szCs w:val="20"/>
    </w:rPr>
  </w:style>
  <w:style w:type="paragraph" w:styleId="10">
    <w:name w:val="toc 2"/>
    <w:basedOn w:val="1"/>
    <w:next w:val="1"/>
    <w:qFormat/>
    <w:uiPriority w:val="39"/>
    <w:pPr>
      <w:ind w:left="420" w:leftChars="200"/>
    </w:pPr>
    <w:rPr>
      <w:rFonts w:ascii="Times New Roman" w:hAnsi="Times New Roman"/>
      <w:szCs w:val="24"/>
    </w:rPr>
  </w:style>
  <w:style w:type="character" w:styleId="13">
    <w:name w:val="page number"/>
    <w:semiHidden/>
    <w:qFormat/>
    <w:uiPriority w:val="99"/>
    <w:rPr>
      <w:rFonts w:cs="Times New Roman"/>
    </w:rPr>
  </w:style>
  <w:style w:type="character" w:styleId="14">
    <w:name w:val="Hyperlink"/>
    <w:qFormat/>
    <w:uiPriority w:val="99"/>
    <w:rPr>
      <w:rFonts w:cs="Times New Roman"/>
      <w:color w:val="0000FF"/>
      <w:u w:val="single"/>
    </w:rPr>
  </w:style>
  <w:style w:type="character" w:styleId="15">
    <w:name w:val="footnote reference"/>
    <w:semiHidden/>
    <w:qFormat/>
    <w:uiPriority w:val="99"/>
    <w:rPr>
      <w:rFonts w:cs="Times New Roman"/>
      <w:vertAlign w:val="superscript"/>
    </w:rPr>
  </w:style>
  <w:style w:type="character" w:customStyle="1" w:styleId="16">
    <w:name w:val="Heading 1 Char"/>
    <w:qFormat/>
    <w:locked/>
    <w:uiPriority w:val="99"/>
    <w:rPr>
      <w:rFonts w:cs="Times New Roman"/>
      <w:b/>
      <w:kern w:val="44"/>
      <w:sz w:val="44"/>
    </w:rPr>
  </w:style>
  <w:style w:type="character" w:customStyle="1" w:styleId="17">
    <w:name w:val="Heading 2 Char"/>
    <w:semiHidden/>
    <w:qFormat/>
    <w:locked/>
    <w:uiPriority w:val="99"/>
    <w:rPr>
      <w:rFonts w:ascii="Cambria" w:hAnsi="Cambria" w:eastAsia="宋体" w:cs="Times New Roman"/>
      <w:b/>
      <w:sz w:val="32"/>
    </w:rPr>
  </w:style>
  <w:style w:type="character" w:customStyle="1" w:styleId="18">
    <w:name w:val="标题 1 Char"/>
    <w:link w:val="2"/>
    <w:qFormat/>
    <w:locked/>
    <w:uiPriority w:val="99"/>
    <w:rPr>
      <w:rFonts w:ascii="Calibri" w:hAnsi="Calibri" w:eastAsia="宋体"/>
      <w:b/>
      <w:kern w:val="44"/>
      <w:sz w:val="44"/>
      <w:lang w:val="en-US" w:eastAsia="zh-CN"/>
    </w:rPr>
  </w:style>
  <w:style w:type="character" w:customStyle="1" w:styleId="19">
    <w:name w:val="标题 2 Char"/>
    <w:link w:val="3"/>
    <w:qFormat/>
    <w:locked/>
    <w:uiPriority w:val="99"/>
    <w:rPr>
      <w:rFonts w:ascii="Cambria" w:hAnsi="Cambria" w:eastAsia="宋体"/>
      <w:b/>
      <w:kern w:val="2"/>
      <w:sz w:val="32"/>
      <w:lang w:val="en-US" w:eastAsia="zh-CN"/>
    </w:rPr>
  </w:style>
  <w:style w:type="character" w:customStyle="1" w:styleId="20">
    <w:name w:val="页眉 Char"/>
    <w:link w:val="6"/>
    <w:qFormat/>
    <w:locked/>
    <w:uiPriority w:val="99"/>
    <w:rPr>
      <w:rFonts w:ascii="Times New Roman" w:hAnsi="Times New Roman" w:eastAsia="宋体" w:cs="Times New Roman"/>
      <w:sz w:val="18"/>
    </w:rPr>
  </w:style>
  <w:style w:type="character" w:customStyle="1" w:styleId="21">
    <w:name w:val="页脚 Char"/>
    <w:link w:val="5"/>
    <w:qFormat/>
    <w:locked/>
    <w:uiPriority w:val="99"/>
    <w:rPr>
      <w:rFonts w:ascii="Times New Roman" w:hAnsi="Times New Roman" w:eastAsia="宋体" w:cs="Times New Roman"/>
      <w:sz w:val="18"/>
    </w:rPr>
  </w:style>
  <w:style w:type="character" w:customStyle="1" w:styleId="22">
    <w:name w:val="批注框文本 Char"/>
    <w:link w:val="4"/>
    <w:semiHidden/>
    <w:qFormat/>
    <w:locked/>
    <w:uiPriority w:val="99"/>
    <w:rPr>
      <w:rFonts w:cs="Times New Roman"/>
      <w:sz w:val="18"/>
    </w:rPr>
  </w:style>
  <w:style w:type="paragraph" w:customStyle="1" w:styleId="23">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4">
    <w:name w:val="脚注文本 Char"/>
    <w:link w:val="9"/>
    <w:semiHidden/>
    <w:qFormat/>
    <w:locked/>
    <w:uiPriority w:val="99"/>
    <w:rPr>
      <w:rFonts w:ascii="Calibri" w:hAnsi="Calibri" w:eastAsia="宋体" w:cs="Times New Roman"/>
      <w:sz w:val="18"/>
    </w:rPr>
  </w:style>
  <w:style w:type="character" w:customStyle="1" w:styleId="25">
    <w:name w:val="Char Char1"/>
    <w:qFormat/>
    <w:uiPriority w:val="99"/>
    <w:rPr>
      <w:kern w:val="2"/>
      <w:sz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118</Pages>
  <Words>57329</Words>
  <Characters>64967</Characters>
  <Lines>179</Lines>
  <Paragraphs>157</Paragraphs>
  <TotalTime>0</TotalTime>
  <ScaleCrop>false</ScaleCrop>
  <LinksUpToDate>false</LinksUpToDate>
  <CharactersWithSpaces>65138</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2021-02-19T03:58:00Z</dcterms:created>
  <dc:creator>guest</dc:creator>
  <cp:lastModifiedBy>Administrator</cp:lastModifiedBy>
  <cp:lastPrinted>2021-02-23T10:01:00Z</cp:lastPrinted>
  <dcterms:modified xsi:type="dcterms:W3CDTF">2025-01-03T02:54:40Z</dcterms:modified>
  <dc:title>河北省委办公厅2021年部门预算信息公开情况说明</dc:title>
  <cp:revision>93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847C249A4410474FB14CFFE3F020DE9B</vt:lpwstr>
  </property>
</Properties>
</file>