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0B6AF19">
      <w:pPr>
        <w:adjustRightInd w:val="0"/>
        <w:snapToGrid w:val="0"/>
        <w:jc w:val="center"/>
        <w:rPr>
          <w:rFonts w:ascii="方正小标宋_GBK" w:hAnsi="Times New Roman" w:eastAsia="方正小标宋_GBK" w:cs="Times New Roman"/>
          <w:sz w:val="44"/>
          <w:szCs w:val="44"/>
        </w:rPr>
      </w:pPr>
      <w:r>
        <w:rPr>
          <w:rFonts w:hint="eastAsia" w:ascii="方正小标宋_GBK" w:hAnsi="Times New Roman" w:eastAsia="方正小标宋_GBK" w:cs="方正小标宋_GBK"/>
          <w:sz w:val="44"/>
          <w:szCs w:val="44"/>
        </w:rPr>
        <w:t>中共隆尧县委宣传部</w:t>
      </w:r>
    </w:p>
    <w:p w14:paraId="45A99AF3">
      <w:pPr>
        <w:adjustRightInd w:val="0"/>
        <w:snapToGrid w:val="0"/>
        <w:jc w:val="center"/>
        <w:rPr>
          <w:rFonts w:ascii="方正小标宋_GBK" w:hAnsi="Times New Roman" w:eastAsia="方正小标宋_GBK" w:cs="Times New Roman"/>
          <w:sz w:val="44"/>
          <w:szCs w:val="44"/>
        </w:rPr>
      </w:pPr>
      <w:r>
        <w:rPr>
          <w:rFonts w:ascii="方正小标宋_GBK" w:hAnsi="Times New Roman" w:eastAsia="方正小标宋_GBK" w:cs="方正小标宋_GBK"/>
          <w:sz w:val="44"/>
          <w:szCs w:val="44"/>
        </w:rPr>
        <w:t>202</w:t>
      </w:r>
      <w:r>
        <w:rPr>
          <w:rFonts w:hint="eastAsia" w:ascii="方正小标宋_GBK" w:hAnsi="Times New Roman" w:eastAsia="方正小标宋_GBK" w:cs="方正小标宋_GBK"/>
          <w:sz w:val="44"/>
          <w:szCs w:val="44"/>
          <w:lang w:val="en-US" w:eastAsia="zh-CN"/>
        </w:rPr>
        <w:t>1</w:t>
      </w:r>
      <w:r>
        <w:rPr>
          <w:rFonts w:hint="eastAsia" w:ascii="方正小标宋_GBK" w:hAnsi="Times New Roman" w:eastAsia="方正小标宋_GBK" w:cs="方正小标宋_GBK"/>
          <w:sz w:val="44"/>
          <w:szCs w:val="44"/>
        </w:rPr>
        <w:t>年部门预算信息公开情况说明</w:t>
      </w:r>
    </w:p>
    <w:p w14:paraId="274F154F">
      <w:pPr>
        <w:ind w:firstLine="640"/>
        <w:rPr>
          <w:rFonts w:ascii="Times New Roman" w:hAnsi="Times New Roman" w:eastAsia="仿宋" w:cs="Times New Roman"/>
          <w:sz w:val="32"/>
          <w:szCs w:val="32"/>
        </w:rPr>
      </w:pPr>
    </w:p>
    <w:p w14:paraId="45758FF3">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按照《预算法》、《地方预决算公开操作规程》和《河北省省级预算公开办法》规定，现将</w:t>
      </w:r>
      <w:r>
        <w:rPr>
          <w:rFonts w:hint="eastAsia" w:ascii="Times New Roman" w:hAnsi="Times New Roman" w:eastAsia="仿宋" w:cs="仿宋"/>
          <w:sz w:val="32"/>
          <w:szCs w:val="32"/>
          <w:lang w:eastAsia="zh-CN"/>
        </w:rPr>
        <w:t>中共隆尧县委宣传部</w:t>
      </w:r>
      <w:r>
        <w:rPr>
          <w:rFonts w:ascii="Times New Roman" w:hAnsi="Times New Roman" w:eastAsia="仿宋" w:cs="Times New Roman"/>
          <w:sz w:val="32"/>
          <w:szCs w:val="32"/>
        </w:rPr>
        <w:t>202</w:t>
      </w:r>
      <w:r>
        <w:rPr>
          <w:rFonts w:hint="eastAsia" w:ascii="Times New Roman" w:hAnsi="Times New Roman" w:eastAsia="仿宋" w:cs="Times New Roman"/>
          <w:sz w:val="32"/>
          <w:szCs w:val="32"/>
          <w:lang w:val="en-US" w:eastAsia="zh-CN"/>
        </w:rPr>
        <w:t>1</w:t>
      </w:r>
      <w:r>
        <w:rPr>
          <w:rFonts w:hint="eastAsia" w:ascii="Times New Roman" w:hAnsi="Times New Roman" w:eastAsia="仿宋" w:cs="仿宋"/>
          <w:sz w:val="32"/>
          <w:szCs w:val="32"/>
        </w:rPr>
        <w:t>年部门预算公开如下：</w:t>
      </w:r>
    </w:p>
    <w:p w14:paraId="18C2194F">
      <w:pPr>
        <w:ind w:firstLine="640"/>
        <w:rPr>
          <w:rFonts w:ascii="黑体" w:hAnsi="黑体" w:eastAsia="黑体" w:cs="Times New Roman"/>
          <w:sz w:val="32"/>
          <w:szCs w:val="32"/>
        </w:rPr>
      </w:pPr>
      <w:r>
        <w:rPr>
          <w:rFonts w:hint="eastAsia" w:ascii="黑体" w:hAnsi="黑体" w:eastAsia="黑体" w:cs="黑体"/>
          <w:sz w:val="32"/>
          <w:szCs w:val="32"/>
        </w:rPr>
        <w:t>一、部门职责及机构设置情况</w:t>
      </w:r>
    </w:p>
    <w:p w14:paraId="22155CC9">
      <w:pPr>
        <w:spacing w:line="500" w:lineRule="exact"/>
        <w:ind w:firstLine="643" w:firstLineChars="200"/>
        <w:jc w:val="left"/>
        <w:rPr>
          <w:rFonts w:ascii="Times New Roman" w:hAnsi="宋体" w:eastAsia="仿宋" w:cs="Times New Roman"/>
          <w:b/>
          <w:bCs/>
          <w:sz w:val="32"/>
          <w:szCs w:val="32"/>
        </w:rPr>
      </w:pPr>
      <w:r>
        <w:rPr>
          <w:rFonts w:hint="eastAsia" w:ascii="Times New Roman" w:hAnsi="方正仿宋_GBK" w:eastAsia="仿宋" w:cs="仿宋"/>
          <w:b/>
          <w:bCs/>
          <w:sz w:val="32"/>
          <w:szCs w:val="32"/>
        </w:rPr>
        <w:t>根据《隆尧县委宣传部职能配置、内设机构和人员编制规定》，</w:t>
      </w:r>
      <w:r>
        <w:rPr>
          <w:rFonts w:ascii="Times New Roman" w:hAnsi="方正仿宋_GBK" w:eastAsia="仿宋" w:cs="Times New Roman"/>
          <w:b/>
          <w:bCs/>
          <w:sz w:val="32"/>
          <w:szCs w:val="32"/>
        </w:rPr>
        <w:t xml:space="preserve"> </w:t>
      </w:r>
      <w:r>
        <w:rPr>
          <w:rFonts w:hint="eastAsia" w:ascii="Times New Roman" w:hAnsi="方正仿宋_GBK" w:eastAsia="仿宋" w:cs="仿宋"/>
          <w:b/>
          <w:bCs/>
          <w:sz w:val="32"/>
          <w:szCs w:val="32"/>
        </w:rPr>
        <w:t>隆尧县委宣传部的主要职责是：</w:t>
      </w:r>
    </w:p>
    <w:p w14:paraId="7873BF61">
      <w:pPr>
        <w:spacing w:line="500" w:lineRule="exact"/>
        <w:ind w:firstLine="640" w:firstLineChars="200"/>
        <w:jc w:val="left"/>
        <w:rPr>
          <w:rFonts w:ascii="Times New Roman" w:hAnsi="方正仿宋_GBK" w:eastAsia="仿宋" w:cs="Times New Roman"/>
          <w:sz w:val="32"/>
          <w:szCs w:val="32"/>
        </w:rPr>
      </w:pPr>
      <w:r>
        <w:rPr>
          <w:rFonts w:hint="eastAsia" w:ascii="Times New Roman" w:hAnsi="方正仿宋_GBK" w:eastAsia="仿宋" w:cs="仿宋"/>
          <w:sz w:val="32"/>
          <w:szCs w:val="32"/>
        </w:rPr>
        <w:t>县委宣传部的主要职责是：</w:t>
      </w:r>
    </w:p>
    <w:p w14:paraId="71B7A488">
      <w:pPr>
        <w:spacing w:line="500" w:lineRule="exact"/>
        <w:ind w:firstLine="640" w:firstLineChars="200"/>
        <w:jc w:val="left"/>
        <w:rPr>
          <w:rFonts w:ascii="Times New Roman" w:hAnsi="方正仿宋_GBK" w:eastAsia="仿宋" w:cs="Times New Roman"/>
          <w:sz w:val="32"/>
          <w:szCs w:val="32"/>
        </w:rPr>
      </w:pPr>
      <w:r>
        <w:rPr>
          <w:rFonts w:hint="eastAsia" w:ascii="Times New Roman" w:hAnsi="方正仿宋_GBK" w:eastAsia="仿宋" w:cs="仿宋"/>
          <w:sz w:val="32"/>
          <w:szCs w:val="32"/>
        </w:rPr>
        <w:t>（一）拟订全县宣传思想文化工作重大方针政策和事业发展总体规划，统筹协调推进宣传思想文化领域法治建设，按照县委统一部署，协调宣传思想文化系统各部门之间的工作。</w:t>
      </w:r>
    </w:p>
    <w:p w14:paraId="12049331">
      <w:pPr>
        <w:spacing w:line="500" w:lineRule="exact"/>
        <w:ind w:firstLine="640" w:firstLineChars="200"/>
        <w:jc w:val="left"/>
        <w:rPr>
          <w:rFonts w:ascii="Times New Roman" w:hAnsi="方正仿宋_GBK" w:eastAsia="仿宋" w:cs="Times New Roman"/>
          <w:sz w:val="32"/>
          <w:szCs w:val="32"/>
        </w:rPr>
      </w:pPr>
      <w:r>
        <w:rPr>
          <w:rFonts w:hint="eastAsia" w:ascii="Times New Roman" w:hAnsi="方正仿宋_GBK" w:eastAsia="仿宋" w:cs="仿宋"/>
          <w:sz w:val="32"/>
          <w:szCs w:val="32"/>
        </w:rPr>
        <w:t>（二）统筹协调全县党的意识形态工作，贯彻落实县委关于意识形态工作决策部署，组织协调意识形态工作责任制落实和日常监督检查，结合巡视巡察工作开展专项检查。</w:t>
      </w:r>
    </w:p>
    <w:p w14:paraId="44F003A1">
      <w:pPr>
        <w:spacing w:line="500" w:lineRule="exact"/>
        <w:ind w:firstLine="640" w:firstLineChars="200"/>
        <w:jc w:val="left"/>
        <w:rPr>
          <w:rFonts w:ascii="Times New Roman" w:hAnsi="方正仿宋_GBK" w:eastAsia="仿宋" w:cs="Times New Roman"/>
          <w:sz w:val="32"/>
          <w:szCs w:val="32"/>
        </w:rPr>
      </w:pPr>
      <w:r>
        <w:rPr>
          <w:rFonts w:hint="eastAsia" w:ascii="Times New Roman" w:hAnsi="方正仿宋_GBK" w:eastAsia="仿宋" w:cs="仿宋"/>
          <w:sz w:val="32"/>
          <w:szCs w:val="32"/>
        </w:rPr>
        <w:t>（三）统筹指导协调全县理论研究、理论学习、理论宣传工作，组织推动理论武装工作，推动落实马克思主义理论研究和建设工程任务，负责县委理论学习中心组理论学习的有关工作。</w:t>
      </w:r>
    </w:p>
    <w:p w14:paraId="67490FBF">
      <w:pPr>
        <w:spacing w:line="500" w:lineRule="exact"/>
        <w:ind w:firstLine="640" w:firstLineChars="200"/>
        <w:jc w:val="left"/>
        <w:rPr>
          <w:rFonts w:ascii="Times New Roman" w:hAnsi="方正仿宋_GBK" w:eastAsia="仿宋" w:cs="Times New Roman"/>
          <w:sz w:val="32"/>
          <w:szCs w:val="32"/>
        </w:rPr>
      </w:pPr>
      <w:r>
        <w:rPr>
          <w:rFonts w:hint="eastAsia" w:ascii="Times New Roman" w:hAnsi="方正仿宋_GBK" w:eastAsia="仿宋" w:cs="仿宋"/>
          <w:sz w:val="32"/>
          <w:szCs w:val="32"/>
        </w:rPr>
        <w:t>（四）负责规划组织全县全局性思想政治工作任务，组织对全县先进典型的选树学习宣传推广。配合县委组织部做好基层党员教育工作，指导协调编写党员教育教材，会同有关部门研究和改进群众思想教育工作。负责全县爱国主义教育基地的建设、管理、使用。负责全县国防教育工作。</w:t>
      </w:r>
    </w:p>
    <w:p w14:paraId="08F01911">
      <w:pPr>
        <w:spacing w:line="500" w:lineRule="exact"/>
        <w:ind w:firstLine="640" w:firstLineChars="200"/>
        <w:jc w:val="left"/>
        <w:rPr>
          <w:rFonts w:ascii="Times New Roman" w:hAnsi="方正仿宋_GBK" w:eastAsia="仿宋" w:cs="Times New Roman"/>
          <w:sz w:val="32"/>
          <w:szCs w:val="32"/>
        </w:rPr>
      </w:pPr>
      <w:r>
        <w:rPr>
          <w:rFonts w:hint="eastAsia" w:ascii="Times New Roman" w:hAnsi="方正仿宋_GBK" w:eastAsia="仿宋" w:cs="仿宋"/>
          <w:sz w:val="32"/>
          <w:szCs w:val="32"/>
        </w:rPr>
        <w:t>（五）统筹分析研判和引导全县社会舆论，指导协调全县各新闻单位的工作，组织全县突发公共事件应急新闻工作。</w:t>
      </w:r>
    </w:p>
    <w:p w14:paraId="6188558C">
      <w:pPr>
        <w:spacing w:line="500" w:lineRule="exact"/>
        <w:ind w:firstLine="640" w:firstLineChars="200"/>
        <w:jc w:val="left"/>
        <w:rPr>
          <w:rFonts w:ascii="Times New Roman" w:hAnsi="方正仿宋_GBK" w:eastAsia="仿宋" w:cs="Times New Roman"/>
          <w:sz w:val="32"/>
          <w:szCs w:val="32"/>
        </w:rPr>
      </w:pPr>
      <w:r>
        <w:rPr>
          <w:rFonts w:hint="eastAsia" w:ascii="Times New Roman" w:hAnsi="方正仿宋_GBK" w:eastAsia="仿宋" w:cs="仿宋"/>
          <w:sz w:val="32"/>
          <w:szCs w:val="32"/>
        </w:rPr>
        <w:t>（六）拟订全县新闻出版业的管理政策并督促落实，管理新闻出版行政事务，统筹规划和指导协调新闻出版事业、产业发展，监督管理出版物内容和质量，监督管理印刷业，管理著作权，管理出版物进出口等。组织指导协调全县“扫黄打非”工作。负责全县新闻记者证的监管工作。</w:t>
      </w:r>
    </w:p>
    <w:p w14:paraId="260AD944">
      <w:pPr>
        <w:spacing w:line="500" w:lineRule="exact"/>
        <w:ind w:firstLine="640" w:firstLineChars="200"/>
        <w:jc w:val="left"/>
        <w:rPr>
          <w:rFonts w:ascii="Times New Roman" w:hAnsi="方正仿宋_GBK" w:eastAsia="仿宋" w:cs="Times New Roman"/>
          <w:sz w:val="32"/>
          <w:szCs w:val="32"/>
        </w:rPr>
      </w:pPr>
      <w:r>
        <w:rPr>
          <w:rFonts w:hint="eastAsia" w:ascii="Times New Roman" w:hAnsi="方正仿宋_GBK" w:eastAsia="仿宋" w:cs="仿宋"/>
          <w:sz w:val="32"/>
          <w:szCs w:val="32"/>
        </w:rPr>
        <w:t>（七）从宏观上统筹指导协调全县互联网宣传和信息内容管理工作。统筹数字新媒体的建设和管理。</w:t>
      </w:r>
    </w:p>
    <w:p w14:paraId="62558D26">
      <w:pPr>
        <w:spacing w:line="500" w:lineRule="exact"/>
        <w:ind w:firstLine="640" w:firstLineChars="200"/>
        <w:jc w:val="left"/>
        <w:rPr>
          <w:rFonts w:ascii="Times New Roman" w:hAnsi="方正仿宋_GBK" w:eastAsia="仿宋" w:cs="Times New Roman"/>
          <w:sz w:val="32"/>
          <w:szCs w:val="32"/>
        </w:rPr>
      </w:pPr>
      <w:r>
        <w:rPr>
          <w:rFonts w:hint="eastAsia" w:ascii="Times New Roman" w:hAnsi="方正仿宋_GBK" w:eastAsia="仿宋" w:cs="仿宋"/>
          <w:sz w:val="32"/>
          <w:szCs w:val="32"/>
        </w:rPr>
        <w:t>（八）从宏观上统筹指导协调推动全县精神文化产品的创作和生产，协调组织中华优秀传统文化传承发展有关工作，指导协调推动群众文化建设。</w:t>
      </w:r>
    </w:p>
    <w:p w14:paraId="001EF2C2">
      <w:pPr>
        <w:spacing w:line="500" w:lineRule="exact"/>
        <w:ind w:firstLine="640" w:firstLineChars="200"/>
        <w:jc w:val="left"/>
        <w:rPr>
          <w:rFonts w:ascii="Times New Roman" w:hAnsi="方正仿宋_GBK" w:eastAsia="仿宋" w:cs="Times New Roman"/>
          <w:sz w:val="32"/>
          <w:szCs w:val="32"/>
        </w:rPr>
      </w:pPr>
      <w:r>
        <w:rPr>
          <w:rFonts w:hint="eastAsia" w:ascii="Times New Roman" w:hAnsi="方正仿宋_GBK" w:eastAsia="仿宋" w:cs="仿宋"/>
          <w:sz w:val="32"/>
          <w:szCs w:val="32"/>
        </w:rPr>
        <w:t>（九）负责管理全县电影行政事务，指导监管电影制片、发行、放映工作，组织对电影内容进行审查，指导协调全县性重大电影活动。</w:t>
      </w:r>
    </w:p>
    <w:p w14:paraId="0F66DCB7">
      <w:pPr>
        <w:spacing w:line="500" w:lineRule="exact"/>
        <w:ind w:firstLine="640" w:firstLineChars="200"/>
        <w:jc w:val="left"/>
        <w:rPr>
          <w:rFonts w:ascii="Times New Roman" w:hAnsi="方正仿宋_GBK" w:eastAsia="仿宋" w:cs="Times New Roman"/>
          <w:sz w:val="32"/>
          <w:szCs w:val="32"/>
        </w:rPr>
      </w:pPr>
      <w:r>
        <w:rPr>
          <w:rFonts w:hint="eastAsia" w:ascii="Times New Roman" w:hAnsi="方正仿宋_GBK" w:eastAsia="仿宋" w:cs="仿宋"/>
          <w:sz w:val="32"/>
          <w:szCs w:val="32"/>
        </w:rPr>
        <w:t>（十）对全县新闻出版、广播影视、文化艺术业改革发展研究提出政策性建议，统筹指导协调文化体制改革和文化事业、文化产业及旅游业发展，负责全县文化企业国有资产监督管理。</w:t>
      </w:r>
    </w:p>
    <w:p w14:paraId="33AB2C74">
      <w:pPr>
        <w:spacing w:line="500" w:lineRule="exact"/>
        <w:ind w:firstLine="640" w:firstLineChars="200"/>
        <w:jc w:val="left"/>
        <w:rPr>
          <w:rFonts w:ascii="Times New Roman" w:hAnsi="方正仿宋_GBK" w:eastAsia="仿宋" w:cs="Times New Roman"/>
          <w:sz w:val="32"/>
          <w:szCs w:val="32"/>
        </w:rPr>
      </w:pPr>
      <w:r>
        <w:rPr>
          <w:rFonts w:hint="eastAsia" w:ascii="Times New Roman" w:hAnsi="方正仿宋_GBK" w:eastAsia="仿宋" w:cs="仿宋"/>
          <w:sz w:val="32"/>
          <w:szCs w:val="32"/>
        </w:rPr>
        <w:t>（十一）统筹指导全县舆情信息工作，组织协调开展县内外舆情信息收集分析研判工作，跟踪了解、研究掌握宣传舆情动态。</w:t>
      </w:r>
    </w:p>
    <w:p w14:paraId="662E4B19">
      <w:pPr>
        <w:spacing w:line="500" w:lineRule="exact"/>
        <w:ind w:firstLine="640" w:firstLineChars="200"/>
        <w:jc w:val="left"/>
        <w:rPr>
          <w:rFonts w:ascii="Times New Roman" w:hAnsi="方正仿宋_GBK" w:eastAsia="仿宋" w:cs="Times New Roman"/>
          <w:sz w:val="32"/>
          <w:szCs w:val="32"/>
        </w:rPr>
      </w:pPr>
      <w:r>
        <w:rPr>
          <w:rFonts w:hint="eastAsia" w:ascii="Times New Roman" w:hAnsi="方正仿宋_GBK" w:eastAsia="仿宋" w:cs="仿宋"/>
          <w:sz w:val="32"/>
          <w:szCs w:val="32"/>
        </w:rPr>
        <w:t>（十二）统筹研究拟订有关全县精神文明建设的相关政策。规划部署全县精神文明建设工作，组织开展文明城市创建工作，指导全县群众性精神文明创建活动。</w:t>
      </w:r>
    </w:p>
    <w:p w14:paraId="46CEB8EF">
      <w:pPr>
        <w:spacing w:line="500" w:lineRule="exact"/>
        <w:ind w:firstLine="640" w:firstLineChars="200"/>
        <w:jc w:val="left"/>
        <w:rPr>
          <w:rFonts w:ascii="Times New Roman" w:hAnsi="方正仿宋_GBK" w:eastAsia="仿宋" w:cs="Times New Roman"/>
          <w:sz w:val="32"/>
          <w:szCs w:val="32"/>
        </w:rPr>
      </w:pPr>
      <w:r>
        <w:rPr>
          <w:rFonts w:hint="eastAsia" w:ascii="Times New Roman" w:hAnsi="方正仿宋_GBK" w:eastAsia="仿宋" w:cs="仿宋"/>
          <w:sz w:val="32"/>
          <w:szCs w:val="32"/>
        </w:rPr>
        <w:t>（十三）统筹协调全县对外宣传工作。指导协调有关部门研究拟订全县对外宣传事业发展规划，组织协调我县对外宣传文化交流工作，会同有关部门做好境外记者采访事务方面工作。</w:t>
      </w:r>
    </w:p>
    <w:p w14:paraId="3F5570EF">
      <w:pPr>
        <w:spacing w:line="500" w:lineRule="exact"/>
        <w:ind w:firstLine="640" w:firstLineChars="200"/>
        <w:jc w:val="left"/>
        <w:rPr>
          <w:rFonts w:ascii="Times New Roman" w:hAnsi="方正仿宋_GBK" w:eastAsia="仿宋" w:cs="Times New Roman"/>
          <w:sz w:val="32"/>
          <w:szCs w:val="32"/>
        </w:rPr>
      </w:pPr>
      <w:r>
        <w:rPr>
          <w:rFonts w:hint="eastAsia" w:ascii="Times New Roman" w:hAnsi="方正仿宋_GBK" w:eastAsia="仿宋" w:cs="仿宋"/>
          <w:sz w:val="32"/>
          <w:szCs w:val="32"/>
        </w:rPr>
        <w:t>（十四）统筹协调组织开展新闻发布工作。承担县委新闻发布有关组织协调工作，负责县政府新闻发布组织实施工作，指导协调县政府各部门和各乡镇的新闻发布工作，推动新闻发言人制度落实。拟订我县重大问题对外宣传口径。</w:t>
      </w:r>
    </w:p>
    <w:p w14:paraId="65675261">
      <w:pPr>
        <w:spacing w:line="500" w:lineRule="exact"/>
        <w:ind w:firstLine="640" w:firstLineChars="200"/>
        <w:jc w:val="left"/>
        <w:rPr>
          <w:rFonts w:ascii="Times New Roman" w:hAnsi="方正仿宋_GBK" w:eastAsia="仿宋" w:cs="Times New Roman"/>
          <w:sz w:val="32"/>
          <w:szCs w:val="32"/>
        </w:rPr>
      </w:pPr>
      <w:r>
        <w:rPr>
          <w:rFonts w:hint="eastAsia" w:ascii="Times New Roman" w:hAnsi="方正仿宋_GBK" w:eastAsia="仿宋" w:cs="仿宋"/>
          <w:sz w:val="32"/>
          <w:szCs w:val="32"/>
        </w:rPr>
        <w:t>（十五）受县委委托，会同县委组织部管理新闻、文化、出版和互联网信息等方面县直宣传文化单位的领导干部。对县直宣传思想文化部门主要负责人和各乡镇党委宣传委员的任免提出意见。负责有关重要宣传舆论阵地和重要岗位领导干部管理工作。负责组织开展宣传思想文化系统干部教育培训和人才工作。负责政工师的评审、推荐、管理相关工作。</w:t>
      </w:r>
    </w:p>
    <w:p w14:paraId="56171123">
      <w:pPr>
        <w:spacing w:line="500" w:lineRule="exact"/>
        <w:ind w:firstLine="640" w:firstLineChars="200"/>
        <w:jc w:val="left"/>
        <w:rPr>
          <w:rFonts w:ascii="Times New Roman" w:hAnsi="方正仿宋_GBK" w:eastAsia="仿宋" w:cs="Times New Roman"/>
          <w:sz w:val="32"/>
          <w:szCs w:val="32"/>
        </w:rPr>
      </w:pPr>
      <w:r>
        <w:rPr>
          <w:rFonts w:hint="eastAsia" w:ascii="Times New Roman" w:hAnsi="方正仿宋_GBK" w:eastAsia="仿宋" w:cs="仿宋"/>
          <w:sz w:val="32"/>
          <w:szCs w:val="32"/>
        </w:rPr>
        <w:t>（十六）对县互联网信息办公室互联网宣传和信息内容管理方面的工作实施方针、政策的指导。归口领县文化广电和旅游局、县广播电视台、县融媒体中心。受县委委托，代管县文联。</w:t>
      </w:r>
    </w:p>
    <w:p w14:paraId="004527E3">
      <w:pPr>
        <w:spacing w:line="500" w:lineRule="exact"/>
        <w:ind w:firstLine="640" w:firstLineChars="200"/>
        <w:jc w:val="left"/>
        <w:rPr>
          <w:rFonts w:ascii="Times New Roman" w:hAnsi="方正仿宋_GBK" w:eastAsia="仿宋" w:cs="Times New Roman"/>
          <w:sz w:val="32"/>
          <w:szCs w:val="32"/>
        </w:rPr>
      </w:pPr>
      <w:r>
        <w:rPr>
          <w:rFonts w:hint="eastAsia" w:ascii="Times New Roman" w:hAnsi="方正仿宋_GBK" w:eastAsia="仿宋" w:cs="仿宋"/>
          <w:sz w:val="32"/>
          <w:szCs w:val="32"/>
        </w:rPr>
        <w:t>（十七）完成县委交办的其他任务。</w:t>
      </w:r>
    </w:p>
    <w:p w14:paraId="41174860">
      <w:pPr>
        <w:spacing w:line="500" w:lineRule="exact"/>
        <w:ind w:firstLine="640" w:firstLineChars="200"/>
        <w:jc w:val="left"/>
        <w:rPr>
          <w:rFonts w:ascii="Times New Roman" w:hAnsi="方正仿宋_GBK" w:eastAsia="方正仿宋_GBK" w:cs="Times New Roman"/>
          <w:sz w:val="32"/>
          <w:szCs w:val="32"/>
        </w:rPr>
      </w:pPr>
    </w:p>
    <w:p w14:paraId="4958BEF6">
      <w:pPr>
        <w:ind w:firstLine="643" w:firstLineChars="200"/>
        <w:rPr>
          <w:rFonts w:ascii="仿宋" w:hAnsi="仿宋" w:eastAsia="仿宋" w:cs="Times New Roman"/>
          <w:b/>
          <w:bCs/>
          <w:sz w:val="32"/>
          <w:szCs w:val="32"/>
        </w:rPr>
      </w:pPr>
      <w:r>
        <w:rPr>
          <w:rFonts w:hint="eastAsia" w:ascii="仿宋" w:hAnsi="仿宋" w:eastAsia="仿宋" w:cs="仿宋"/>
          <w:b/>
          <w:bCs/>
          <w:sz w:val="32"/>
          <w:szCs w:val="32"/>
        </w:rPr>
        <w:t>机构设置：</w:t>
      </w:r>
    </w:p>
    <w:p w14:paraId="771972C5">
      <w:pPr>
        <w:jc w:val="center"/>
        <w:outlineLvl w:val="0"/>
        <w:rPr>
          <w:rFonts w:ascii="Times New Roman" w:hAnsi="Times New Roman" w:eastAsia="方正小标宋_GBK" w:cs="Times New Roman"/>
          <w:sz w:val="32"/>
          <w:szCs w:val="32"/>
        </w:rPr>
      </w:pPr>
      <w:r>
        <w:rPr>
          <w:rFonts w:hint="eastAsia" w:ascii="Times New Roman" w:hAnsi="Times New Roman" w:eastAsia="方正小标宋_GBK" w:cs="方正小标宋_GBK"/>
          <w:sz w:val="32"/>
          <w:szCs w:val="32"/>
        </w:rPr>
        <w:t>部门机构设置情况</w:t>
      </w:r>
    </w:p>
    <w:tbl>
      <w:tblPr>
        <w:tblStyle w:val="7"/>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14:paraId="4F569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14:paraId="0B08AACE">
            <w:pPr>
              <w:spacing w:line="300" w:lineRule="exact"/>
              <w:jc w:val="center"/>
              <w:rPr>
                <w:rFonts w:ascii="Times New Roman" w:hAnsi="Times New Roman" w:eastAsia="方正书宋_GBK" w:cs="Times New Roman"/>
                <w:b/>
                <w:bCs/>
                <w:sz w:val="24"/>
                <w:szCs w:val="24"/>
              </w:rPr>
            </w:pPr>
            <w:r>
              <w:rPr>
                <w:rFonts w:hint="eastAsia" w:ascii="Times New Roman" w:hAnsi="Times New Roman" w:eastAsia="方正书宋_GBK" w:cs="方正书宋_GBK"/>
                <w:b/>
                <w:bCs/>
                <w:sz w:val="24"/>
                <w:szCs w:val="24"/>
              </w:rPr>
              <w:t>单位名称</w:t>
            </w:r>
          </w:p>
        </w:tc>
        <w:tc>
          <w:tcPr>
            <w:tcW w:w="1134" w:type="dxa"/>
            <w:vMerge w:val="restart"/>
            <w:vAlign w:val="center"/>
          </w:tcPr>
          <w:p w14:paraId="3C2E77A6">
            <w:pPr>
              <w:spacing w:line="300" w:lineRule="exact"/>
              <w:jc w:val="center"/>
              <w:rPr>
                <w:rFonts w:ascii="Times New Roman" w:hAnsi="Times New Roman" w:eastAsia="方正书宋_GBK" w:cs="Times New Roman"/>
                <w:b/>
                <w:bCs/>
                <w:sz w:val="24"/>
                <w:szCs w:val="24"/>
              </w:rPr>
            </w:pPr>
            <w:r>
              <w:rPr>
                <w:rFonts w:hint="eastAsia" w:ascii="Times New Roman" w:hAnsi="Times New Roman" w:eastAsia="方正书宋_GBK" w:cs="方正书宋_GBK"/>
                <w:b/>
                <w:bCs/>
                <w:sz w:val="24"/>
                <w:szCs w:val="24"/>
              </w:rPr>
              <w:t>单位性质</w:t>
            </w:r>
          </w:p>
        </w:tc>
        <w:tc>
          <w:tcPr>
            <w:tcW w:w="1276" w:type="dxa"/>
            <w:vMerge w:val="restart"/>
            <w:vAlign w:val="center"/>
          </w:tcPr>
          <w:p w14:paraId="3AD4350E">
            <w:pPr>
              <w:spacing w:line="300" w:lineRule="exact"/>
              <w:jc w:val="center"/>
              <w:rPr>
                <w:rFonts w:ascii="Times New Roman" w:hAnsi="Times New Roman" w:eastAsia="方正书宋_GBK" w:cs="Times New Roman"/>
                <w:b/>
                <w:bCs/>
                <w:sz w:val="24"/>
                <w:szCs w:val="24"/>
              </w:rPr>
            </w:pPr>
            <w:r>
              <w:rPr>
                <w:rFonts w:hint="eastAsia" w:ascii="Times New Roman" w:hAnsi="Times New Roman" w:eastAsia="方正书宋_GBK" w:cs="方正书宋_GBK"/>
                <w:b/>
                <w:bCs/>
                <w:sz w:val="24"/>
                <w:szCs w:val="24"/>
              </w:rPr>
              <w:t>单位规格</w:t>
            </w:r>
          </w:p>
        </w:tc>
        <w:tc>
          <w:tcPr>
            <w:tcW w:w="2902" w:type="dxa"/>
            <w:vMerge w:val="restart"/>
            <w:vAlign w:val="center"/>
          </w:tcPr>
          <w:p w14:paraId="6B1BA89A">
            <w:pPr>
              <w:spacing w:line="300" w:lineRule="exact"/>
              <w:jc w:val="center"/>
              <w:rPr>
                <w:rFonts w:ascii="Times New Roman" w:hAnsi="Times New Roman" w:eastAsia="方正书宋_GBK" w:cs="Times New Roman"/>
                <w:b/>
                <w:bCs/>
                <w:sz w:val="24"/>
                <w:szCs w:val="24"/>
              </w:rPr>
            </w:pPr>
            <w:r>
              <w:rPr>
                <w:rFonts w:hint="eastAsia" w:ascii="Times New Roman" w:hAnsi="Times New Roman" w:eastAsia="方正书宋_GBK" w:cs="方正书宋_GBK"/>
                <w:b/>
                <w:bCs/>
                <w:sz w:val="24"/>
                <w:szCs w:val="24"/>
              </w:rPr>
              <w:t>经费保障形式</w:t>
            </w:r>
          </w:p>
        </w:tc>
      </w:tr>
      <w:tr w14:paraId="59402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14:paraId="3DFD402D">
            <w:pPr>
              <w:spacing w:line="300" w:lineRule="exact"/>
              <w:jc w:val="left"/>
              <w:outlineLvl w:val="0"/>
              <w:rPr>
                <w:rFonts w:ascii="Times New Roman" w:hAnsi="Times New Roman" w:cs="Times New Roman"/>
                <w:sz w:val="24"/>
                <w:szCs w:val="24"/>
              </w:rPr>
            </w:pPr>
          </w:p>
        </w:tc>
        <w:tc>
          <w:tcPr>
            <w:tcW w:w="1134" w:type="dxa"/>
            <w:vMerge w:val="continue"/>
            <w:vAlign w:val="center"/>
          </w:tcPr>
          <w:p w14:paraId="7ABB756A">
            <w:pPr>
              <w:spacing w:line="300" w:lineRule="exact"/>
              <w:jc w:val="left"/>
              <w:outlineLvl w:val="0"/>
              <w:rPr>
                <w:rFonts w:ascii="Times New Roman" w:hAnsi="Times New Roman" w:cs="Times New Roman"/>
                <w:sz w:val="24"/>
                <w:szCs w:val="24"/>
              </w:rPr>
            </w:pPr>
          </w:p>
        </w:tc>
        <w:tc>
          <w:tcPr>
            <w:tcW w:w="1276" w:type="dxa"/>
            <w:vMerge w:val="continue"/>
            <w:vAlign w:val="center"/>
          </w:tcPr>
          <w:p w14:paraId="63C2105B">
            <w:pPr>
              <w:spacing w:line="300" w:lineRule="exact"/>
              <w:jc w:val="left"/>
              <w:outlineLvl w:val="0"/>
              <w:rPr>
                <w:rFonts w:ascii="Times New Roman" w:hAnsi="Times New Roman" w:cs="Times New Roman"/>
                <w:sz w:val="24"/>
                <w:szCs w:val="24"/>
              </w:rPr>
            </w:pPr>
          </w:p>
        </w:tc>
        <w:tc>
          <w:tcPr>
            <w:tcW w:w="2902" w:type="dxa"/>
            <w:vMerge w:val="continue"/>
            <w:vAlign w:val="center"/>
          </w:tcPr>
          <w:p w14:paraId="6EF6AF9B">
            <w:pPr>
              <w:spacing w:line="300" w:lineRule="exact"/>
              <w:jc w:val="left"/>
              <w:outlineLvl w:val="0"/>
              <w:rPr>
                <w:rFonts w:ascii="Times New Roman" w:hAnsi="Times New Roman" w:cs="Times New Roman"/>
                <w:sz w:val="24"/>
                <w:szCs w:val="24"/>
              </w:rPr>
            </w:pPr>
          </w:p>
        </w:tc>
      </w:tr>
      <w:tr w14:paraId="0AAD5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14:paraId="7F2F2CCE">
            <w:pPr>
              <w:spacing w:line="300" w:lineRule="exact"/>
              <w:jc w:val="left"/>
              <w:rPr>
                <w:rFonts w:ascii="Times New Roman" w:hAnsi="Times New Roman" w:eastAsia="方正书宋_GBK" w:cs="Times New Roman"/>
                <w:sz w:val="24"/>
                <w:szCs w:val="24"/>
              </w:rPr>
            </w:pPr>
            <w:r>
              <w:rPr>
                <w:rFonts w:hint="eastAsia" w:ascii="方正书宋_GBK" w:eastAsia="方正书宋_GBK" w:cs="方正书宋_GBK"/>
                <w:sz w:val="24"/>
                <w:szCs w:val="24"/>
              </w:rPr>
              <w:t>中共隆尧县委宣传部</w:t>
            </w:r>
          </w:p>
        </w:tc>
        <w:tc>
          <w:tcPr>
            <w:tcW w:w="1134" w:type="dxa"/>
            <w:vAlign w:val="center"/>
          </w:tcPr>
          <w:p w14:paraId="650117BC">
            <w:pPr>
              <w:spacing w:line="300" w:lineRule="exact"/>
              <w:jc w:val="center"/>
              <w:rPr>
                <w:rFonts w:ascii="Times New Roman" w:hAnsi="Times New Roman" w:eastAsia="方正书宋_GBK" w:cs="Times New Roman"/>
                <w:sz w:val="24"/>
                <w:szCs w:val="24"/>
              </w:rPr>
            </w:pPr>
            <w:r>
              <w:rPr>
                <w:rFonts w:hint="eastAsia" w:ascii="方正书宋_GBK" w:eastAsia="方正书宋_GBK" w:cs="方正书宋_GBK"/>
                <w:sz w:val="24"/>
                <w:szCs w:val="24"/>
              </w:rPr>
              <w:t>行政</w:t>
            </w:r>
          </w:p>
        </w:tc>
        <w:tc>
          <w:tcPr>
            <w:tcW w:w="1276" w:type="dxa"/>
            <w:vAlign w:val="center"/>
          </w:tcPr>
          <w:p w14:paraId="1E33ED99">
            <w:pPr>
              <w:spacing w:line="300" w:lineRule="exact"/>
              <w:jc w:val="center"/>
              <w:rPr>
                <w:rFonts w:ascii="Times New Roman" w:hAnsi="Times New Roman" w:eastAsia="方正书宋_GBK" w:cs="Times New Roman"/>
                <w:sz w:val="24"/>
                <w:szCs w:val="24"/>
              </w:rPr>
            </w:pPr>
            <w:r>
              <w:rPr>
                <w:rFonts w:hint="eastAsia" w:ascii="方正书宋_GBK" w:eastAsia="方正书宋_GBK" w:cs="方正书宋_GBK"/>
                <w:sz w:val="24"/>
                <w:szCs w:val="24"/>
              </w:rPr>
              <w:t>正科级</w:t>
            </w:r>
          </w:p>
        </w:tc>
        <w:tc>
          <w:tcPr>
            <w:tcW w:w="2902" w:type="dxa"/>
            <w:vAlign w:val="center"/>
          </w:tcPr>
          <w:p w14:paraId="1D8C5EA4">
            <w:pPr>
              <w:spacing w:line="300" w:lineRule="exact"/>
              <w:jc w:val="center"/>
              <w:rPr>
                <w:rFonts w:ascii="Times New Roman" w:hAnsi="Times New Roman" w:eastAsia="方正书宋_GBK" w:cs="Times New Roman"/>
                <w:sz w:val="24"/>
                <w:szCs w:val="24"/>
              </w:rPr>
            </w:pPr>
            <w:r>
              <w:rPr>
                <w:rFonts w:hint="eastAsia" w:ascii="方正书宋_GBK" w:eastAsia="方正书宋_GBK" w:cs="方正书宋_GBK"/>
                <w:sz w:val="24"/>
                <w:szCs w:val="24"/>
              </w:rPr>
              <w:t>财政拨款</w:t>
            </w:r>
          </w:p>
        </w:tc>
      </w:tr>
      <w:tr w14:paraId="0941D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14:paraId="4C74E0DF">
            <w:pPr>
              <w:spacing w:line="300" w:lineRule="exact"/>
              <w:jc w:val="left"/>
              <w:rPr>
                <w:rFonts w:ascii="Times New Roman" w:hAnsi="Times New Roman" w:eastAsia="方正书宋_GBK" w:cs="Times New Roman"/>
                <w:sz w:val="32"/>
                <w:szCs w:val="32"/>
              </w:rPr>
            </w:pPr>
          </w:p>
        </w:tc>
        <w:tc>
          <w:tcPr>
            <w:tcW w:w="1134" w:type="dxa"/>
            <w:vAlign w:val="center"/>
          </w:tcPr>
          <w:p w14:paraId="4D0F12EF">
            <w:pPr>
              <w:spacing w:line="300" w:lineRule="exact"/>
              <w:jc w:val="center"/>
              <w:rPr>
                <w:rFonts w:ascii="Times New Roman" w:hAnsi="Times New Roman" w:eastAsia="方正书宋_GBK" w:cs="Times New Roman"/>
                <w:sz w:val="32"/>
                <w:szCs w:val="32"/>
              </w:rPr>
            </w:pPr>
          </w:p>
        </w:tc>
        <w:tc>
          <w:tcPr>
            <w:tcW w:w="1276" w:type="dxa"/>
            <w:vAlign w:val="center"/>
          </w:tcPr>
          <w:p w14:paraId="78D12A28">
            <w:pPr>
              <w:spacing w:line="300" w:lineRule="exact"/>
              <w:jc w:val="center"/>
              <w:rPr>
                <w:rFonts w:ascii="Times New Roman" w:hAnsi="Times New Roman" w:eastAsia="方正书宋_GBK" w:cs="Times New Roman"/>
                <w:sz w:val="32"/>
                <w:szCs w:val="32"/>
              </w:rPr>
            </w:pPr>
          </w:p>
        </w:tc>
        <w:tc>
          <w:tcPr>
            <w:tcW w:w="2902" w:type="dxa"/>
            <w:vAlign w:val="center"/>
          </w:tcPr>
          <w:p w14:paraId="62ED9AA4">
            <w:pPr>
              <w:spacing w:line="300" w:lineRule="exact"/>
              <w:jc w:val="center"/>
              <w:rPr>
                <w:rFonts w:ascii="Times New Roman" w:hAnsi="Times New Roman" w:eastAsia="方正书宋_GBK" w:cs="Times New Roman"/>
                <w:sz w:val="32"/>
                <w:szCs w:val="32"/>
              </w:rPr>
            </w:pPr>
          </w:p>
        </w:tc>
      </w:tr>
    </w:tbl>
    <w:p w14:paraId="0DA1B929">
      <w:pPr>
        <w:rPr>
          <w:rFonts w:cs="Times New Roman"/>
          <w:sz w:val="32"/>
          <w:szCs w:val="32"/>
        </w:rPr>
      </w:pPr>
    </w:p>
    <w:p w14:paraId="75C011EF">
      <w:pPr>
        <w:ind w:firstLine="640"/>
        <w:rPr>
          <w:rFonts w:ascii="黑体" w:hAnsi="黑体" w:eastAsia="黑体" w:cs="Times New Roman"/>
          <w:sz w:val="32"/>
          <w:szCs w:val="32"/>
        </w:rPr>
      </w:pPr>
      <w:r>
        <w:rPr>
          <w:rFonts w:hint="eastAsia" w:ascii="黑体" w:hAnsi="黑体" w:eastAsia="黑体" w:cs="黑体"/>
          <w:sz w:val="32"/>
          <w:szCs w:val="32"/>
        </w:rPr>
        <w:t>二、部门预算安排的总体情况</w:t>
      </w:r>
    </w:p>
    <w:p w14:paraId="7DF16D18">
      <w:pPr>
        <w:ind w:firstLine="640"/>
        <w:rPr>
          <w:rFonts w:hint="eastAsia" w:ascii="Times New Roman" w:hAnsi="Times New Roman" w:eastAsia="仿宋" w:cs="仿宋"/>
          <w:sz w:val="32"/>
          <w:szCs w:val="32"/>
        </w:rPr>
      </w:pPr>
      <w:r>
        <w:rPr>
          <w:rFonts w:hint="eastAsia" w:ascii="Times New Roman" w:hAnsi="Times New Roman" w:eastAsia="仿宋" w:cs="仿宋"/>
          <w:sz w:val="32"/>
          <w:szCs w:val="32"/>
        </w:rPr>
        <w:t>按照预算管理有关规定，目前我县部门预算的编制实行综合预算管理，即全部收入和支出都反映的预算中。</w:t>
      </w:r>
    </w:p>
    <w:p w14:paraId="08A9001F">
      <w:pPr>
        <w:ind w:firstLine="64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仿宋"/>
          <w:sz w:val="32"/>
          <w:szCs w:val="32"/>
        </w:rPr>
        <w:t>、收入说明</w:t>
      </w:r>
    </w:p>
    <w:p w14:paraId="6AEEB03C">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反映本部门当年全部收入。</w:t>
      </w:r>
      <w:r>
        <w:rPr>
          <w:rFonts w:ascii="Times New Roman" w:hAnsi="Times New Roman" w:eastAsia="仿宋" w:cs="Times New Roman"/>
          <w:sz w:val="32"/>
          <w:szCs w:val="32"/>
        </w:rPr>
        <w:t>202</w:t>
      </w:r>
      <w:r>
        <w:rPr>
          <w:rFonts w:hint="eastAsia" w:ascii="Times New Roman" w:hAnsi="Times New Roman" w:eastAsia="仿宋" w:cs="Times New Roman"/>
          <w:sz w:val="32"/>
          <w:szCs w:val="32"/>
          <w:lang w:val="en-US" w:eastAsia="zh-CN"/>
        </w:rPr>
        <w:t>1</w:t>
      </w:r>
      <w:r>
        <w:rPr>
          <w:rFonts w:hint="eastAsia" w:ascii="Times New Roman" w:hAnsi="Times New Roman" w:eastAsia="仿宋" w:cs="仿宋"/>
          <w:sz w:val="32"/>
          <w:szCs w:val="32"/>
        </w:rPr>
        <w:t>年预算收入</w:t>
      </w:r>
      <w:r>
        <w:rPr>
          <w:rFonts w:hint="eastAsia" w:ascii="Times New Roman" w:hAnsi="Times New Roman" w:eastAsia="仿宋" w:cs="Times New Roman"/>
          <w:sz w:val="32"/>
          <w:szCs w:val="32"/>
          <w:lang w:val="en-US" w:eastAsia="zh-CN"/>
        </w:rPr>
        <w:t>982.69</w:t>
      </w:r>
      <w:r>
        <w:rPr>
          <w:rFonts w:hint="eastAsia" w:ascii="Times New Roman" w:hAnsi="Times New Roman" w:eastAsia="仿宋" w:cs="仿宋"/>
          <w:sz w:val="32"/>
          <w:szCs w:val="32"/>
        </w:rPr>
        <w:t>万元，其中：一般公共预算收入</w:t>
      </w:r>
      <w:r>
        <w:rPr>
          <w:rFonts w:hint="eastAsia" w:ascii="Times New Roman" w:hAnsi="Times New Roman" w:eastAsia="仿宋" w:cs="Times New Roman"/>
          <w:sz w:val="32"/>
          <w:szCs w:val="32"/>
          <w:lang w:val="en-US" w:eastAsia="zh-CN"/>
        </w:rPr>
        <w:t>980.69</w:t>
      </w:r>
      <w:r>
        <w:rPr>
          <w:rFonts w:hint="eastAsia" w:ascii="Times New Roman" w:hAnsi="Times New Roman" w:eastAsia="仿宋" w:cs="仿宋"/>
          <w:sz w:val="32"/>
          <w:szCs w:val="32"/>
        </w:rPr>
        <w:t>万元，基金预算收入</w:t>
      </w:r>
      <w:r>
        <w:rPr>
          <w:rFonts w:hint="eastAsia" w:ascii="Times New Roman" w:hAnsi="Times New Roman" w:eastAsia="仿宋" w:cs="Times New Roman"/>
          <w:sz w:val="32"/>
          <w:szCs w:val="32"/>
          <w:lang w:val="en-US" w:eastAsia="zh-CN"/>
        </w:rPr>
        <w:t>2</w:t>
      </w:r>
      <w:r>
        <w:rPr>
          <w:rFonts w:hint="eastAsia" w:ascii="Times New Roman" w:hAnsi="Times New Roman" w:eastAsia="仿宋" w:cs="仿宋"/>
          <w:sz w:val="32"/>
          <w:szCs w:val="32"/>
        </w:rPr>
        <w:t>万元。</w:t>
      </w:r>
    </w:p>
    <w:p w14:paraId="07158EA0">
      <w:pPr>
        <w:ind w:firstLine="64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仿宋"/>
          <w:sz w:val="32"/>
          <w:szCs w:val="32"/>
        </w:rPr>
        <w:t>、支出说明</w:t>
      </w:r>
    </w:p>
    <w:p w14:paraId="676D9675">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收支预算总表支出栏、基本支出表、项目支出表按经济分类和支出功能分类科目编制，反映</w:t>
      </w:r>
      <w:r>
        <w:rPr>
          <w:rFonts w:hint="eastAsia" w:ascii="Times New Roman" w:hAnsi="Times New Roman" w:eastAsia="仿宋" w:cs="仿宋"/>
          <w:sz w:val="32"/>
          <w:szCs w:val="32"/>
          <w:lang w:eastAsia="zh-CN"/>
        </w:rPr>
        <w:t>中共隆尧县委宣传部</w:t>
      </w:r>
      <w:r>
        <w:rPr>
          <w:rFonts w:hint="eastAsia" w:ascii="Times New Roman" w:hAnsi="Times New Roman" w:eastAsia="仿宋" w:cs="仿宋"/>
          <w:sz w:val="32"/>
          <w:szCs w:val="32"/>
        </w:rPr>
        <w:t>年度部门预算中支出预算的总体情况。</w:t>
      </w:r>
      <w:r>
        <w:rPr>
          <w:rFonts w:ascii="Times New Roman" w:hAnsi="Times New Roman" w:eastAsia="仿宋" w:cs="Times New Roman"/>
          <w:sz w:val="32"/>
          <w:szCs w:val="32"/>
        </w:rPr>
        <w:t>202</w:t>
      </w:r>
      <w:r>
        <w:rPr>
          <w:rFonts w:hint="eastAsia" w:ascii="Times New Roman" w:hAnsi="Times New Roman" w:eastAsia="仿宋" w:cs="Times New Roman"/>
          <w:sz w:val="32"/>
          <w:szCs w:val="32"/>
          <w:lang w:val="en-US" w:eastAsia="zh-CN"/>
        </w:rPr>
        <w:t>1</w:t>
      </w:r>
      <w:r>
        <w:rPr>
          <w:rFonts w:hint="eastAsia" w:ascii="Times New Roman" w:hAnsi="Times New Roman" w:eastAsia="仿宋" w:cs="仿宋"/>
          <w:sz w:val="32"/>
          <w:szCs w:val="32"/>
        </w:rPr>
        <w:t>年部门支出预算为</w:t>
      </w:r>
      <w:r>
        <w:rPr>
          <w:rFonts w:hint="eastAsia" w:ascii="Times New Roman" w:hAnsi="Times New Roman" w:eastAsia="仿宋" w:cs="Times New Roman"/>
          <w:sz w:val="32"/>
          <w:szCs w:val="32"/>
          <w:lang w:val="en-US" w:eastAsia="zh-CN"/>
        </w:rPr>
        <w:t>982.69</w:t>
      </w:r>
      <w:r>
        <w:rPr>
          <w:rFonts w:hint="eastAsia" w:ascii="Times New Roman" w:hAnsi="Times New Roman" w:eastAsia="仿宋" w:cs="仿宋"/>
          <w:sz w:val="32"/>
          <w:szCs w:val="32"/>
        </w:rPr>
        <w:t>万元，其中基本支出</w:t>
      </w:r>
      <w:r>
        <w:rPr>
          <w:rFonts w:hint="eastAsia" w:ascii="Times New Roman" w:hAnsi="Times New Roman" w:eastAsia="仿宋" w:cs="Times New Roman"/>
          <w:sz w:val="32"/>
          <w:szCs w:val="32"/>
          <w:lang w:val="en-US" w:eastAsia="zh-CN"/>
        </w:rPr>
        <w:t>154.3</w:t>
      </w:r>
      <w:r>
        <w:rPr>
          <w:rFonts w:hint="eastAsia" w:ascii="Times New Roman" w:hAnsi="Times New Roman" w:eastAsia="仿宋" w:cs="仿宋"/>
          <w:sz w:val="32"/>
          <w:szCs w:val="32"/>
        </w:rPr>
        <w:t>万元，包括人员经费</w:t>
      </w:r>
      <w:r>
        <w:rPr>
          <w:rFonts w:hint="eastAsia" w:ascii="Times New Roman" w:hAnsi="Times New Roman" w:eastAsia="仿宋" w:cs="Times New Roman"/>
          <w:sz w:val="32"/>
          <w:szCs w:val="32"/>
          <w:lang w:val="en-US" w:eastAsia="zh-CN"/>
        </w:rPr>
        <w:t>138.5</w:t>
      </w:r>
      <w:r>
        <w:rPr>
          <w:rFonts w:hint="eastAsia" w:ascii="Times New Roman" w:hAnsi="Times New Roman" w:eastAsia="仿宋" w:cs="仿宋"/>
          <w:sz w:val="32"/>
          <w:szCs w:val="32"/>
        </w:rPr>
        <w:t>万元和日常公用经费</w:t>
      </w:r>
      <w:r>
        <w:rPr>
          <w:rFonts w:hint="eastAsia" w:ascii="Times New Roman" w:hAnsi="Times New Roman" w:eastAsia="仿宋" w:cs="Times New Roman"/>
          <w:sz w:val="32"/>
          <w:szCs w:val="32"/>
          <w:lang w:val="en-US" w:eastAsia="zh-CN"/>
        </w:rPr>
        <w:t>15.8</w:t>
      </w:r>
      <w:r>
        <w:rPr>
          <w:rFonts w:hint="eastAsia" w:ascii="Times New Roman" w:hAnsi="Times New Roman" w:eastAsia="仿宋" w:cs="仿宋"/>
          <w:sz w:val="32"/>
          <w:szCs w:val="32"/>
        </w:rPr>
        <w:t>万元；项目支出</w:t>
      </w:r>
      <w:r>
        <w:rPr>
          <w:rFonts w:hint="eastAsia" w:ascii="Times New Roman" w:hAnsi="Times New Roman" w:eastAsia="仿宋" w:cs="Times New Roman"/>
          <w:sz w:val="32"/>
          <w:szCs w:val="32"/>
          <w:lang w:val="en-US" w:eastAsia="zh-CN"/>
        </w:rPr>
        <w:t>828.39</w:t>
      </w:r>
      <w:r>
        <w:rPr>
          <w:rFonts w:hint="eastAsia" w:ascii="Times New Roman" w:hAnsi="Times New Roman" w:eastAsia="仿宋" w:cs="仿宋"/>
          <w:sz w:val="32"/>
          <w:szCs w:val="32"/>
        </w:rPr>
        <w:t>万元，主要为</w:t>
      </w:r>
      <w:r>
        <w:rPr>
          <w:rFonts w:hint="eastAsia" w:ascii="Times New Roman" w:hAnsi="Times New Roman" w:eastAsia="仿宋" w:cs="仿宋"/>
          <w:sz w:val="32"/>
          <w:szCs w:val="32"/>
          <w:lang w:eastAsia="zh-CN"/>
        </w:rPr>
        <w:t>宣传部文化产业引导资金支出</w:t>
      </w:r>
      <w:r>
        <w:rPr>
          <w:rFonts w:hint="eastAsia" w:ascii="Times New Roman" w:hAnsi="Times New Roman" w:eastAsia="仿宋" w:cs="仿宋"/>
          <w:sz w:val="32"/>
          <w:szCs w:val="32"/>
          <w:lang w:val="en-US" w:eastAsia="zh-CN"/>
        </w:rPr>
        <w:t>600</w:t>
      </w:r>
      <w:r>
        <w:rPr>
          <w:rFonts w:hint="eastAsia" w:ascii="Times New Roman" w:hAnsi="Times New Roman" w:eastAsia="仿宋" w:cs="仿宋"/>
          <w:sz w:val="32"/>
          <w:szCs w:val="32"/>
        </w:rPr>
        <w:t>万元，</w:t>
      </w:r>
      <w:r>
        <w:rPr>
          <w:rFonts w:hint="eastAsia" w:ascii="Times New Roman" w:hAnsi="Times New Roman" w:eastAsia="仿宋" w:cs="仿宋"/>
          <w:sz w:val="32"/>
          <w:szCs w:val="32"/>
          <w:lang w:eastAsia="zh-CN"/>
        </w:rPr>
        <w:t>宣传部农村公益电影</w:t>
      </w:r>
      <w:r>
        <w:rPr>
          <w:rFonts w:hint="eastAsia" w:ascii="Times New Roman" w:hAnsi="Times New Roman" w:eastAsia="仿宋" w:cs="仿宋"/>
          <w:sz w:val="32"/>
          <w:szCs w:val="32"/>
        </w:rPr>
        <w:t>支出</w:t>
      </w:r>
      <w:r>
        <w:rPr>
          <w:rFonts w:hint="eastAsia" w:ascii="Times New Roman" w:hAnsi="Times New Roman" w:eastAsia="仿宋" w:cs="Times New Roman"/>
          <w:sz w:val="32"/>
          <w:szCs w:val="32"/>
          <w:lang w:val="en-US" w:eastAsia="zh-CN"/>
        </w:rPr>
        <w:t>66.24</w:t>
      </w:r>
      <w:r>
        <w:rPr>
          <w:rFonts w:hint="eastAsia" w:ascii="Times New Roman" w:hAnsi="Times New Roman" w:eastAsia="仿宋" w:cs="仿宋"/>
          <w:sz w:val="32"/>
          <w:szCs w:val="32"/>
        </w:rPr>
        <w:t>万元，</w:t>
      </w:r>
      <w:r>
        <w:rPr>
          <w:rFonts w:hint="eastAsia" w:ascii="Times New Roman" w:hAnsi="Times New Roman" w:eastAsia="仿宋" w:cs="仿宋"/>
          <w:sz w:val="32"/>
          <w:szCs w:val="32"/>
          <w:lang w:eastAsia="zh-CN"/>
        </w:rPr>
        <w:t>老放映员生活补助</w:t>
      </w:r>
      <w:r>
        <w:rPr>
          <w:rFonts w:hint="eastAsia" w:ascii="Times New Roman" w:hAnsi="Times New Roman" w:eastAsia="仿宋" w:cs="仿宋"/>
          <w:sz w:val="32"/>
          <w:szCs w:val="32"/>
        </w:rPr>
        <w:t>支出</w:t>
      </w:r>
      <w:r>
        <w:rPr>
          <w:rFonts w:hint="eastAsia" w:ascii="Times New Roman" w:hAnsi="Times New Roman" w:eastAsia="仿宋" w:cs="Times New Roman"/>
          <w:sz w:val="32"/>
          <w:szCs w:val="32"/>
          <w:lang w:val="en-US" w:eastAsia="zh-CN"/>
        </w:rPr>
        <w:t>17.06</w:t>
      </w:r>
      <w:r>
        <w:rPr>
          <w:rFonts w:hint="eastAsia" w:ascii="Times New Roman" w:hAnsi="Times New Roman" w:eastAsia="仿宋" w:cs="仿宋"/>
          <w:sz w:val="32"/>
          <w:szCs w:val="32"/>
        </w:rPr>
        <w:t>万元，</w:t>
      </w:r>
      <w:r>
        <w:rPr>
          <w:rFonts w:hint="eastAsia" w:ascii="Times New Roman" w:hAnsi="Times New Roman" w:eastAsia="仿宋" w:cs="仿宋"/>
          <w:sz w:val="32"/>
          <w:szCs w:val="32"/>
          <w:lang w:eastAsia="zh-CN"/>
        </w:rPr>
        <w:t>农家书屋</w:t>
      </w:r>
      <w:r>
        <w:rPr>
          <w:rFonts w:hint="eastAsia" w:ascii="Times New Roman" w:hAnsi="Times New Roman" w:eastAsia="仿宋" w:cs="仿宋"/>
          <w:sz w:val="32"/>
          <w:szCs w:val="32"/>
        </w:rPr>
        <w:t>支出</w:t>
      </w:r>
      <w:r>
        <w:rPr>
          <w:rFonts w:hint="eastAsia" w:ascii="Times New Roman" w:hAnsi="Times New Roman" w:eastAsia="仿宋" w:cs="Times New Roman"/>
          <w:sz w:val="32"/>
          <w:szCs w:val="32"/>
          <w:lang w:val="en-US" w:eastAsia="zh-CN"/>
        </w:rPr>
        <w:t>27.6</w:t>
      </w:r>
      <w:r>
        <w:rPr>
          <w:rFonts w:hint="eastAsia" w:ascii="Times New Roman" w:hAnsi="Times New Roman" w:eastAsia="仿宋" w:cs="仿宋"/>
          <w:sz w:val="32"/>
          <w:szCs w:val="32"/>
        </w:rPr>
        <w:t>万元，</w:t>
      </w:r>
      <w:r>
        <w:rPr>
          <w:rFonts w:hint="eastAsia" w:ascii="Times New Roman" w:hAnsi="Times New Roman" w:eastAsia="仿宋" w:cs="仿宋"/>
          <w:sz w:val="32"/>
          <w:szCs w:val="32"/>
          <w:lang w:eastAsia="zh-CN"/>
        </w:rPr>
        <w:t>宣传部</w:t>
      </w:r>
      <w:r>
        <w:rPr>
          <w:rFonts w:hint="eastAsia" w:ascii="Times New Roman" w:hAnsi="Times New Roman" w:eastAsia="仿宋" w:cs="仿宋"/>
          <w:sz w:val="32"/>
          <w:szCs w:val="32"/>
        </w:rPr>
        <w:t>事务管理</w:t>
      </w:r>
      <w:r>
        <w:rPr>
          <w:rFonts w:hint="eastAsia" w:ascii="Times New Roman" w:hAnsi="Times New Roman" w:eastAsia="仿宋" w:cs="Times New Roman"/>
          <w:sz w:val="32"/>
          <w:szCs w:val="32"/>
          <w:lang w:val="en-US" w:eastAsia="zh-CN"/>
        </w:rPr>
        <w:t>66.8</w:t>
      </w:r>
      <w:r>
        <w:rPr>
          <w:rFonts w:hint="eastAsia" w:ascii="Times New Roman" w:hAnsi="Times New Roman" w:eastAsia="仿宋" w:cs="仿宋"/>
          <w:sz w:val="32"/>
          <w:szCs w:val="32"/>
        </w:rPr>
        <w:t>万元；</w:t>
      </w:r>
      <w:r>
        <w:rPr>
          <w:rFonts w:hint="eastAsia" w:ascii="Times New Roman" w:hAnsi="Times New Roman" w:eastAsia="仿宋" w:cs="仿宋"/>
          <w:sz w:val="32"/>
          <w:szCs w:val="32"/>
          <w:lang w:eastAsia="zh-CN"/>
        </w:rPr>
        <w:t>宣传部创建省级文明县城支出</w:t>
      </w:r>
      <w:r>
        <w:rPr>
          <w:rFonts w:hint="eastAsia" w:ascii="Times New Roman" w:hAnsi="Times New Roman" w:eastAsia="仿宋" w:cs="仿宋"/>
          <w:sz w:val="32"/>
          <w:szCs w:val="32"/>
          <w:lang w:val="en-US" w:eastAsia="zh-CN"/>
        </w:rPr>
        <w:t>45万，</w:t>
      </w:r>
      <w:r>
        <w:rPr>
          <w:rFonts w:hint="eastAsia" w:ascii="Times New Roman" w:hAnsi="Times New Roman" w:eastAsia="仿宋" w:cs="仿宋"/>
          <w:sz w:val="32"/>
          <w:szCs w:val="32"/>
        </w:rPr>
        <w:t>其他支出</w:t>
      </w:r>
      <w:r>
        <w:rPr>
          <w:rFonts w:hint="eastAsia" w:ascii="Times New Roman" w:hAnsi="Times New Roman" w:eastAsia="仿宋" w:cs="Times New Roman"/>
          <w:sz w:val="32"/>
          <w:szCs w:val="32"/>
          <w:lang w:val="en-US" w:eastAsia="zh-CN"/>
        </w:rPr>
        <w:t>5.69</w:t>
      </w:r>
      <w:r>
        <w:rPr>
          <w:rFonts w:hint="eastAsia" w:ascii="Times New Roman" w:hAnsi="Times New Roman" w:eastAsia="仿宋" w:cs="仿宋"/>
          <w:sz w:val="32"/>
          <w:szCs w:val="32"/>
        </w:rPr>
        <w:t>万元。</w:t>
      </w:r>
    </w:p>
    <w:p w14:paraId="240FAC59">
      <w:pPr>
        <w:ind w:firstLine="64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仿宋"/>
          <w:sz w:val="32"/>
          <w:szCs w:val="32"/>
        </w:rPr>
        <w:t>、比上年增减情况</w:t>
      </w:r>
    </w:p>
    <w:p w14:paraId="071B33CA">
      <w:pPr>
        <w:ind w:firstLine="640"/>
        <w:rPr>
          <w:rFonts w:ascii="Times New Roman" w:hAnsi="Times New Roman" w:eastAsia="仿宋" w:cs="Times New Roman"/>
          <w:sz w:val="32"/>
          <w:szCs w:val="32"/>
        </w:rPr>
      </w:pPr>
      <w:r>
        <w:rPr>
          <w:rFonts w:ascii="Times New Roman" w:hAnsi="Times New Roman" w:eastAsia="仿宋" w:cs="Times New Roman"/>
          <w:color w:val="000000"/>
          <w:sz w:val="32"/>
          <w:szCs w:val="32"/>
        </w:rPr>
        <w:t>202</w:t>
      </w:r>
      <w:r>
        <w:rPr>
          <w:rFonts w:hint="eastAsia" w:ascii="Times New Roman" w:hAnsi="Times New Roman" w:eastAsia="仿宋" w:cs="Times New Roman"/>
          <w:color w:val="000000"/>
          <w:sz w:val="32"/>
          <w:szCs w:val="32"/>
          <w:lang w:val="en-US" w:eastAsia="zh-CN"/>
        </w:rPr>
        <w:t>1</w:t>
      </w:r>
      <w:r>
        <w:rPr>
          <w:rFonts w:hint="eastAsia" w:ascii="Times New Roman" w:hAnsi="Times New Roman" w:eastAsia="仿宋" w:cs="仿宋"/>
          <w:color w:val="000000"/>
          <w:sz w:val="32"/>
          <w:szCs w:val="32"/>
        </w:rPr>
        <w:t>年部门预算收支安排</w:t>
      </w:r>
      <w:r>
        <w:rPr>
          <w:rFonts w:hint="eastAsia" w:ascii="Times New Roman" w:hAnsi="Times New Roman" w:eastAsia="仿宋" w:cs="Times New Roman"/>
          <w:sz w:val="32"/>
          <w:szCs w:val="32"/>
          <w:lang w:val="en-US" w:eastAsia="zh-CN"/>
        </w:rPr>
        <w:t>982.69</w:t>
      </w:r>
      <w:r>
        <w:rPr>
          <w:rFonts w:hint="eastAsia" w:ascii="Times New Roman" w:hAnsi="Times New Roman" w:eastAsia="仿宋" w:cs="仿宋"/>
          <w:color w:val="000000"/>
          <w:sz w:val="32"/>
          <w:szCs w:val="32"/>
        </w:rPr>
        <w:t>万元，</w:t>
      </w:r>
      <w:r>
        <w:rPr>
          <w:rFonts w:hint="eastAsia" w:ascii="Times New Roman" w:hAnsi="Times New Roman" w:eastAsia="仿宋" w:cs="仿宋"/>
          <w:sz w:val="32"/>
          <w:szCs w:val="32"/>
        </w:rPr>
        <w:t>较</w:t>
      </w:r>
      <w:r>
        <w:rPr>
          <w:rFonts w:ascii="Times New Roman" w:hAnsi="Times New Roman" w:eastAsia="仿宋" w:cs="Times New Roman"/>
          <w:sz w:val="32"/>
          <w:szCs w:val="32"/>
        </w:rPr>
        <w:t>20</w:t>
      </w:r>
      <w:r>
        <w:rPr>
          <w:rFonts w:hint="eastAsia" w:ascii="Times New Roman" w:hAnsi="Times New Roman" w:eastAsia="仿宋" w:cs="Times New Roman"/>
          <w:sz w:val="32"/>
          <w:szCs w:val="32"/>
          <w:lang w:val="en-US" w:eastAsia="zh-CN"/>
        </w:rPr>
        <w:t>20</w:t>
      </w:r>
      <w:r>
        <w:rPr>
          <w:rFonts w:hint="eastAsia" w:ascii="Times New Roman" w:hAnsi="Times New Roman" w:eastAsia="仿宋" w:cs="仿宋"/>
          <w:sz w:val="32"/>
          <w:szCs w:val="32"/>
        </w:rPr>
        <w:t>年增加</w:t>
      </w:r>
      <w:r>
        <w:rPr>
          <w:rFonts w:hint="eastAsia" w:ascii="Times New Roman" w:hAnsi="Times New Roman" w:eastAsia="仿宋" w:cs="Times New Roman"/>
          <w:sz w:val="32"/>
          <w:szCs w:val="32"/>
          <w:lang w:val="en-US" w:eastAsia="zh-CN"/>
        </w:rPr>
        <w:t>652.59</w:t>
      </w:r>
      <w:r>
        <w:rPr>
          <w:rFonts w:hint="eastAsia" w:ascii="Times New Roman" w:hAnsi="Times New Roman" w:eastAsia="仿宋" w:cs="仿宋"/>
          <w:sz w:val="32"/>
          <w:szCs w:val="32"/>
        </w:rPr>
        <w:t>万元，其中：基本支出</w:t>
      </w:r>
      <w:r>
        <w:rPr>
          <w:rFonts w:hint="eastAsia" w:ascii="Times New Roman" w:hAnsi="Times New Roman" w:eastAsia="仿宋" w:cs="仿宋"/>
          <w:sz w:val="32"/>
          <w:szCs w:val="32"/>
          <w:lang w:eastAsia="zh-CN"/>
        </w:rPr>
        <w:t>增加</w:t>
      </w:r>
      <w:r>
        <w:rPr>
          <w:rFonts w:hint="eastAsia" w:ascii="Times New Roman" w:hAnsi="Times New Roman" w:eastAsia="仿宋" w:cs="仿宋"/>
          <w:sz w:val="32"/>
          <w:szCs w:val="32"/>
          <w:lang w:val="en-US" w:eastAsia="zh-CN"/>
        </w:rPr>
        <w:t>49.89</w:t>
      </w:r>
      <w:r>
        <w:rPr>
          <w:rFonts w:hint="eastAsia" w:ascii="Times New Roman" w:hAnsi="Times New Roman" w:eastAsia="仿宋" w:cs="仿宋"/>
          <w:sz w:val="32"/>
          <w:szCs w:val="32"/>
        </w:rPr>
        <w:t>万元，主要是人员</w:t>
      </w:r>
      <w:r>
        <w:rPr>
          <w:rFonts w:hint="eastAsia" w:ascii="Times New Roman" w:hAnsi="Times New Roman" w:eastAsia="仿宋" w:cs="Times New Roman"/>
          <w:sz w:val="32"/>
          <w:szCs w:val="32"/>
        </w:rPr>
        <w:t>增加</w:t>
      </w:r>
      <w:r>
        <w:rPr>
          <w:rFonts w:hint="eastAsia" w:ascii="Times New Roman" w:hAnsi="Times New Roman" w:eastAsia="仿宋" w:cs="仿宋"/>
          <w:sz w:val="32"/>
          <w:szCs w:val="32"/>
        </w:rPr>
        <w:t>；项目支出增加</w:t>
      </w:r>
      <w:r>
        <w:rPr>
          <w:rFonts w:hint="eastAsia" w:ascii="Times New Roman" w:hAnsi="Times New Roman" w:eastAsia="仿宋" w:cs="仿宋"/>
          <w:sz w:val="32"/>
          <w:szCs w:val="32"/>
          <w:lang w:val="en-US" w:eastAsia="zh-CN"/>
        </w:rPr>
        <w:t>602.7</w:t>
      </w:r>
      <w:r>
        <w:rPr>
          <w:rFonts w:hint="eastAsia" w:ascii="Times New Roman" w:hAnsi="Times New Roman" w:eastAsia="仿宋" w:cs="仿宋"/>
          <w:sz w:val="32"/>
          <w:szCs w:val="32"/>
        </w:rPr>
        <w:t>万元，主要是</w:t>
      </w:r>
      <w:r>
        <w:rPr>
          <w:rFonts w:hint="eastAsia" w:ascii="Times New Roman" w:hAnsi="Times New Roman" w:eastAsia="仿宋" w:cs="仿宋"/>
          <w:sz w:val="32"/>
          <w:szCs w:val="32"/>
          <w:lang w:eastAsia="zh-CN"/>
        </w:rPr>
        <w:t>增加文化产业引导资金项目</w:t>
      </w:r>
      <w:r>
        <w:rPr>
          <w:rFonts w:hint="eastAsia" w:ascii="Times New Roman" w:hAnsi="Times New Roman" w:eastAsia="仿宋" w:cs="仿宋"/>
          <w:sz w:val="32"/>
          <w:szCs w:val="32"/>
        </w:rPr>
        <w:t>。</w:t>
      </w:r>
    </w:p>
    <w:p w14:paraId="4FDAE1A9">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黑体"/>
          <w:sz w:val="32"/>
          <w:szCs w:val="32"/>
        </w:rPr>
        <w:t>三、机关运行经费安排情况</w:t>
      </w:r>
    </w:p>
    <w:p w14:paraId="526948D2">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202</w:t>
      </w:r>
      <w:r>
        <w:rPr>
          <w:rFonts w:hint="eastAsia" w:ascii="Times New Roman" w:hAnsi="Times New Roman" w:eastAsia="仿宋" w:cs="Times New Roman"/>
          <w:sz w:val="32"/>
          <w:szCs w:val="32"/>
          <w:lang w:val="en-US" w:eastAsia="zh-CN"/>
        </w:rPr>
        <w:t>1</w:t>
      </w:r>
      <w:r>
        <w:rPr>
          <w:rFonts w:hint="eastAsia" w:ascii="Times New Roman" w:hAnsi="Times New Roman" w:eastAsia="仿宋" w:cs="仿宋"/>
          <w:sz w:val="32"/>
          <w:szCs w:val="32"/>
        </w:rPr>
        <w:t>年，我部门机关运行经费共计安排</w:t>
      </w:r>
      <w:r>
        <w:rPr>
          <w:rFonts w:hint="eastAsia" w:ascii="Times New Roman" w:hAnsi="Times New Roman" w:eastAsia="仿宋" w:cs="Times New Roman"/>
          <w:sz w:val="32"/>
          <w:szCs w:val="32"/>
          <w:lang w:val="en-US" w:eastAsia="zh-CN"/>
        </w:rPr>
        <w:t>7.5</w:t>
      </w:r>
      <w:r>
        <w:rPr>
          <w:rFonts w:hint="eastAsia" w:ascii="Times New Roman" w:hAnsi="Times New Roman" w:eastAsia="仿宋" w:cs="仿宋"/>
          <w:sz w:val="32"/>
          <w:szCs w:val="32"/>
        </w:rPr>
        <w:t>万元，主要用于保证机关正常运转的办公费、邮电费、福利费、</w:t>
      </w:r>
      <w:r>
        <w:rPr>
          <w:rFonts w:hint="eastAsia" w:ascii="Times New Roman" w:hAnsi="Times New Roman" w:eastAsia="仿宋" w:cs="仿宋"/>
          <w:sz w:val="32"/>
          <w:szCs w:val="32"/>
          <w:lang w:eastAsia="zh-CN"/>
        </w:rPr>
        <w:t>工会经费、办公</w:t>
      </w:r>
      <w:r>
        <w:rPr>
          <w:rFonts w:hint="eastAsia" w:ascii="Times New Roman" w:hAnsi="Times New Roman" w:eastAsia="仿宋" w:cs="仿宋"/>
          <w:sz w:val="32"/>
          <w:szCs w:val="32"/>
        </w:rPr>
        <w:t>设备购置费等支出。</w:t>
      </w:r>
    </w:p>
    <w:p w14:paraId="73E51E41">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黑体"/>
          <w:sz w:val="32"/>
          <w:szCs w:val="32"/>
        </w:rPr>
        <w:t>四、财政拨款“三公”经费预算情况及增减变化原因</w:t>
      </w:r>
    </w:p>
    <w:p w14:paraId="18DD0B40">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202</w:t>
      </w:r>
      <w:r>
        <w:rPr>
          <w:rFonts w:hint="eastAsia" w:ascii="Times New Roman" w:hAnsi="Times New Roman" w:eastAsia="仿宋" w:cs="Times New Roman"/>
          <w:sz w:val="32"/>
          <w:szCs w:val="32"/>
          <w:lang w:val="en-US" w:eastAsia="zh-CN"/>
        </w:rPr>
        <w:t>1</w:t>
      </w:r>
      <w:r>
        <w:rPr>
          <w:rFonts w:hint="eastAsia" w:ascii="Times New Roman" w:hAnsi="Times New Roman" w:eastAsia="仿宋" w:cs="仿宋"/>
          <w:sz w:val="32"/>
          <w:szCs w:val="32"/>
        </w:rPr>
        <w:t>年，我部门财政拨款“三公”经费预算安排</w:t>
      </w:r>
      <w:r>
        <w:rPr>
          <w:rFonts w:hint="eastAsia" w:ascii="Times New Roman" w:hAnsi="Times New Roman" w:eastAsia="仿宋" w:cs="仿宋"/>
          <w:sz w:val="32"/>
          <w:szCs w:val="32"/>
          <w:lang w:val="en-US" w:eastAsia="zh-CN"/>
        </w:rPr>
        <w:t>3.7</w:t>
      </w:r>
      <w:r>
        <w:rPr>
          <w:rFonts w:hint="eastAsia" w:ascii="Times New Roman" w:hAnsi="Times New Roman" w:eastAsia="仿宋" w:cs="仿宋"/>
          <w:sz w:val="32"/>
          <w:szCs w:val="32"/>
        </w:rPr>
        <w:t>万元，其中：因公出国（境）费</w:t>
      </w:r>
      <w:r>
        <w:rPr>
          <w:rFonts w:hint="eastAsia" w:ascii="Times New Roman" w:hAnsi="Times New Roman" w:eastAsia="仿宋" w:cs="Times New Roman"/>
          <w:sz w:val="32"/>
          <w:szCs w:val="32"/>
          <w:lang w:val="en-US" w:eastAsia="zh-CN"/>
        </w:rPr>
        <w:t>0</w:t>
      </w:r>
      <w:r>
        <w:rPr>
          <w:rFonts w:hint="eastAsia" w:ascii="Times New Roman" w:hAnsi="Times New Roman" w:eastAsia="仿宋" w:cs="仿宋"/>
          <w:sz w:val="32"/>
          <w:szCs w:val="32"/>
        </w:rPr>
        <w:t>万元；公务用车购置及运维费</w:t>
      </w:r>
      <w:r>
        <w:rPr>
          <w:rFonts w:hint="eastAsia" w:ascii="Times New Roman" w:hAnsi="Times New Roman" w:eastAsia="仿宋" w:cs="Times New Roman"/>
          <w:sz w:val="32"/>
          <w:szCs w:val="32"/>
          <w:lang w:val="en-US" w:eastAsia="zh-CN"/>
        </w:rPr>
        <w:t>0</w:t>
      </w:r>
      <w:r>
        <w:rPr>
          <w:rFonts w:hint="eastAsia" w:ascii="Times New Roman" w:hAnsi="Times New Roman" w:eastAsia="仿宋" w:cs="仿宋"/>
          <w:sz w:val="32"/>
          <w:szCs w:val="32"/>
        </w:rPr>
        <w:t>万元（其中：公务用车购置费</w:t>
      </w:r>
      <w:r>
        <w:rPr>
          <w:rFonts w:ascii="Times New Roman" w:hAnsi="Times New Roman" w:eastAsia="仿宋" w:cs="Times New Roman"/>
          <w:sz w:val="32"/>
          <w:szCs w:val="32"/>
        </w:rPr>
        <w:t>0</w:t>
      </w:r>
      <w:r>
        <w:rPr>
          <w:rFonts w:hint="eastAsia" w:ascii="Times New Roman" w:hAnsi="Times New Roman" w:eastAsia="仿宋" w:cs="仿宋"/>
          <w:sz w:val="32"/>
          <w:szCs w:val="32"/>
        </w:rPr>
        <w:t>万元，公务用车运行维护费</w:t>
      </w:r>
      <w:r>
        <w:rPr>
          <w:rFonts w:hint="eastAsia" w:ascii="Times New Roman" w:hAnsi="Times New Roman" w:eastAsia="仿宋" w:cs="Times New Roman"/>
          <w:sz w:val="32"/>
          <w:szCs w:val="32"/>
          <w:lang w:val="en-US" w:eastAsia="zh-CN"/>
        </w:rPr>
        <w:t>0</w:t>
      </w:r>
      <w:r>
        <w:rPr>
          <w:rFonts w:hint="eastAsia" w:ascii="Times New Roman" w:hAnsi="Times New Roman" w:eastAsia="仿宋" w:cs="仿宋"/>
          <w:sz w:val="32"/>
          <w:szCs w:val="32"/>
        </w:rPr>
        <w:t>万元</w:t>
      </w:r>
      <w:r>
        <w:rPr>
          <w:rFonts w:ascii="Times New Roman" w:hAnsi="Times New Roman" w:eastAsia="仿宋" w:cs="Times New Roman"/>
          <w:sz w:val="32"/>
          <w:szCs w:val="32"/>
        </w:rPr>
        <w:t>)</w:t>
      </w:r>
      <w:r>
        <w:rPr>
          <w:rFonts w:hint="eastAsia" w:ascii="Times New Roman" w:hAnsi="Times New Roman" w:eastAsia="仿宋" w:cs="Times New Roman"/>
          <w:sz w:val="32"/>
          <w:szCs w:val="32"/>
          <w:lang w:eastAsia="zh-CN"/>
        </w:rPr>
        <w:t>与上年持平，无增减变化</w:t>
      </w:r>
      <w:r>
        <w:rPr>
          <w:rFonts w:hint="eastAsia" w:ascii="Times New Roman" w:hAnsi="Times New Roman" w:eastAsia="仿宋" w:cs="仿宋"/>
          <w:sz w:val="32"/>
          <w:szCs w:val="32"/>
        </w:rPr>
        <w:t>；公务接待费</w:t>
      </w:r>
      <w:r>
        <w:rPr>
          <w:rFonts w:hint="eastAsia" w:ascii="Times New Roman" w:hAnsi="Times New Roman" w:eastAsia="仿宋" w:cs="Times New Roman"/>
          <w:sz w:val="32"/>
          <w:szCs w:val="32"/>
          <w:lang w:val="en-US" w:eastAsia="zh-CN"/>
        </w:rPr>
        <w:t>3.7</w:t>
      </w:r>
      <w:r>
        <w:rPr>
          <w:rFonts w:hint="eastAsia" w:ascii="Times New Roman" w:hAnsi="Times New Roman" w:eastAsia="仿宋" w:cs="仿宋"/>
          <w:sz w:val="32"/>
          <w:szCs w:val="32"/>
        </w:rPr>
        <w:t>万元</w:t>
      </w:r>
      <w:r>
        <w:rPr>
          <w:rFonts w:hint="eastAsia" w:ascii="Times New Roman" w:hAnsi="Times New Roman" w:eastAsia="仿宋" w:cs="仿宋"/>
          <w:sz w:val="32"/>
          <w:szCs w:val="32"/>
          <w:lang w:eastAsia="zh-CN"/>
        </w:rPr>
        <w:t>，较上年年增加</w:t>
      </w:r>
      <w:r>
        <w:rPr>
          <w:rFonts w:hint="eastAsia" w:ascii="Times New Roman" w:hAnsi="Times New Roman" w:eastAsia="仿宋" w:cs="仿宋"/>
          <w:sz w:val="32"/>
          <w:szCs w:val="32"/>
          <w:lang w:val="en-US" w:eastAsia="zh-CN"/>
        </w:rPr>
        <w:t>1.3万元，主要是二级单位文明办合并至宣传部内，不再单独另设财务。</w:t>
      </w:r>
    </w:p>
    <w:p w14:paraId="32F411C4">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黑体"/>
          <w:sz w:val="32"/>
          <w:szCs w:val="32"/>
        </w:rPr>
        <w:t>五、预算绩效信息</w:t>
      </w:r>
    </w:p>
    <w:p w14:paraId="0F876866">
      <w:pPr>
        <w:autoSpaceDE w:val="0"/>
        <w:autoSpaceDN w:val="0"/>
        <w:adjustRightInd w:val="0"/>
        <w:ind w:left="198" w:firstLine="643" w:firstLineChars="200"/>
        <w:jc w:val="left"/>
        <w:rPr>
          <w:rFonts w:hint="eastAsia" w:ascii="Times New Roman" w:hAnsi="Times New Roman" w:eastAsia="方正仿宋_GBK" w:cs="方正仿宋_GBK"/>
          <w:b/>
          <w:bCs/>
          <w:sz w:val="32"/>
          <w:szCs w:val="32"/>
        </w:rPr>
      </w:pPr>
      <w:bookmarkStart w:id="0" w:name="_Toc471398463"/>
      <w:r>
        <w:rPr>
          <w:rFonts w:hint="eastAsia" w:ascii="Times New Roman" w:hAnsi="Times New Roman" w:eastAsia="方正仿宋_GBK" w:cs="方正仿宋_GBK"/>
          <w:b/>
          <w:bCs/>
          <w:sz w:val="32"/>
          <w:szCs w:val="32"/>
        </w:rPr>
        <w:t>第二部分</w:t>
      </w:r>
      <w:r>
        <w:rPr>
          <w:rFonts w:ascii="Times New Roman" w:hAnsi="Times New Roman" w:eastAsia="方正仿宋_GBK" w:cs="Times New Roman"/>
          <w:b/>
          <w:bCs/>
          <w:sz w:val="32"/>
          <w:szCs w:val="32"/>
        </w:rPr>
        <w:t xml:space="preserve">  </w:t>
      </w:r>
      <w:r>
        <w:rPr>
          <w:rFonts w:hint="eastAsia" w:ascii="Times New Roman" w:hAnsi="Times New Roman" w:eastAsia="方正仿宋_GBK" w:cs="方正仿宋_GBK"/>
          <w:b/>
          <w:bCs/>
          <w:sz w:val="32"/>
          <w:szCs w:val="32"/>
        </w:rPr>
        <w:t>预算项目绩效目标</w:t>
      </w:r>
    </w:p>
    <w:p w14:paraId="642C82ED">
      <w:pPr>
        <w:spacing w:line="580" w:lineRule="exact"/>
        <w:ind w:firstLine="640" w:firstLineChars="200"/>
        <w:rPr>
          <w:rFonts w:hint="eastAsia" w:ascii="仿宋_GB2312" w:hAnsi="仿宋_GB2312" w:eastAsia="仿宋_GB2312"/>
          <w:bCs/>
          <w:sz w:val="32"/>
          <w:szCs w:val="32"/>
        </w:rPr>
      </w:pPr>
      <w:r>
        <w:rPr>
          <w:rFonts w:hint="eastAsia" w:ascii="仿宋_GB2312" w:hAnsi="仿宋_GB2312" w:eastAsia="仿宋_GB2312"/>
          <w:bCs/>
          <w:sz w:val="32"/>
          <w:szCs w:val="32"/>
        </w:rPr>
        <w:t>职责分类绩效目标：</w:t>
      </w:r>
    </w:p>
    <w:p w14:paraId="7FC9324B">
      <w:pPr>
        <w:spacing w:line="640" w:lineRule="exact"/>
        <w:ind w:firstLine="640" w:firstLineChars="200"/>
        <w:rPr>
          <w:rFonts w:hint="eastAsia" w:ascii="仿宋_GB2312" w:eastAsia="仿宋_GB2312"/>
          <w:sz w:val="32"/>
          <w:szCs w:val="32"/>
        </w:rPr>
      </w:pPr>
      <w:r>
        <w:rPr>
          <w:rFonts w:hint="eastAsia" w:ascii="仿宋_GB2312" w:eastAsia="仿宋_GB2312"/>
          <w:sz w:val="32"/>
          <w:szCs w:val="32"/>
        </w:rPr>
        <w:t>202</w:t>
      </w:r>
      <w:r>
        <w:rPr>
          <w:rFonts w:hint="eastAsia" w:ascii="仿宋_GB2312" w:eastAsia="仿宋_GB2312"/>
          <w:sz w:val="32"/>
          <w:szCs w:val="32"/>
          <w:lang w:val="en-US" w:eastAsia="zh-CN"/>
        </w:rPr>
        <w:t>1</w:t>
      </w:r>
      <w:r>
        <w:rPr>
          <w:rFonts w:hint="eastAsia" w:ascii="仿宋_GB2312" w:eastAsia="仿宋_GB2312"/>
          <w:sz w:val="32"/>
          <w:szCs w:val="32"/>
        </w:rPr>
        <w:t>年着力抓好七项重点工作：</w:t>
      </w:r>
    </w:p>
    <w:p w14:paraId="22956A40">
      <w:pPr>
        <w:spacing w:line="640" w:lineRule="exact"/>
        <w:ind w:firstLine="640" w:firstLineChars="200"/>
        <w:rPr>
          <w:rFonts w:eastAsia="仿宋_GB2312" w:cs="仿宋_GB2312"/>
          <w:sz w:val="32"/>
          <w:szCs w:val="32"/>
        </w:rPr>
      </w:pPr>
      <w:r>
        <w:rPr>
          <w:rFonts w:hint="eastAsia" w:ascii="黑体" w:hAnsi="黑体" w:eastAsia="黑体" w:cs="黑体"/>
          <w:color w:val="000000"/>
          <w:kern w:val="0"/>
          <w:sz w:val="32"/>
          <w:szCs w:val="32"/>
        </w:rPr>
        <w:t>一、围绕高举思想旗帜，持续推动习近平新时代中国特色社会主义思想深入人心。着力抓好两项工作：一是</w:t>
      </w:r>
      <w:r>
        <w:rPr>
          <w:rFonts w:hint="eastAsia" w:ascii="楷体_GB2312" w:hAnsi="楷体_GB2312" w:eastAsia="楷体_GB2312" w:cs="楷体_GB2312"/>
          <w:bCs/>
          <w:sz w:val="32"/>
          <w:szCs w:val="32"/>
        </w:rPr>
        <w:t>抓好各级党委（党组）中心组学习。</w:t>
      </w:r>
      <w:r>
        <w:rPr>
          <w:rFonts w:hint="eastAsia" w:eastAsia="仿宋_GB2312" w:cs="仿宋_GB2312"/>
          <w:sz w:val="32"/>
          <w:szCs w:val="32"/>
        </w:rPr>
        <w:t>紧紧围绕学习习近平新时代中国特色社会主义思想和党的十九大精神这一主线，抓住领导干部这一“关键少数”，健全完善学习计划、学习档案和情况通报等制度，推动各级党委（党组）中心组学习制度化、规范化。大力弘扬理论联系实际作风，每季度至少组织一次集中学习，加强深层次研讨交流，邀请专家进行专题辅导，切实增强学习时效。办好《理论与学习》内刊，运用理论文章、评论言论、心得体会等形式，全方位、多层次宣传阐释习近平新时代中国特色社会主义思想，提高学习效率。二是</w:t>
      </w:r>
      <w:r>
        <w:rPr>
          <w:rFonts w:hint="eastAsia" w:ascii="楷体_GB2312" w:hAnsi="楷体_GB2312" w:eastAsia="楷体_GB2312" w:cs="楷体_GB2312"/>
          <w:bCs/>
          <w:sz w:val="32"/>
          <w:szCs w:val="32"/>
        </w:rPr>
        <w:t>扎实推进理论“六进”工作。</w:t>
      </w:r>
      <w:r>
        <w:rPr>
          <w:rFonts w:hint="eastAsia" w:eastAsia="仿宋_GB2312" w:cs="仿宋_GB2312"/>
          <w:sz w:val="32"/>
          <w:szCs w:val="32"/>
        </w:rPr>
        <w:t>充分利用各种宣传教育载体，采用多种宣传方式，精准开展习近平新时代中国特色社会主义思想进企业、进农村、进机关、进校园、进社区、进网络工作。以“学习宣传习近平新时代中国特色社会主义思想”为主题，组织各级领导干部深入机关、社区、农村、企业、学校开展宣讲活动。持续打造“小马扎”宣讲品牌，规范队伍管理，强化培训指导，推动“小马扎”宣讲在基层常态化开展。依托“隆尧发布”等网上宣传平台以及农村大喇叭、黑板报、文化墙等载体，提升学习宣传实效。</w:t>
      </w:r>
    </w:p>
    <w:p w14:paraId="7A50BCED">
      <w:pPr>
        <w:spacing w:line="640" w:lineRule="exact"/>
        <w:ind w:firstLine="640" w:firstLineChars="200"/>
        <w:rPr>
          <w:rFonts w:cs="Arial"/>
          <w:color w:val="000000"/>
          <w:kern w:val="0"/>
          <w:sz w:val="32"/>
          <w:szCs w:val="32"/>
        </w:rPr>
      </w:pPr>
      <w:r>
        <w:rPr>
          <w:rFonts w:hint="eastAsia" w:ascii="黑体" w:hAnsi="黑体" w:eastAsia="黑体" w:cs="黑体"/>
          <w:color w:val="000000"/>
          <w:kern w:val="0"/>
          <w:sz w:val="32"/>
          <w:szCs w:val="32"/>
        </w:rPr>
        <w:t>二、围绕强化责任落实，牢牢把握意识形态工作领导权，着力抓好三项工作：一是</w:t>
      </w:r>
      <w:r>
        <w:rPr>
          <w:rFonts w:hint="eastAsia" w:ascii="楷体_GB2312" w:hAnsi="楷体_GB2312" w:eastAsia="楷体_GB2312" w:cs="楷体_GB2312"/>
          <w:bCs/>
          <w:sz w:val="32"/>
          <w:szCs w:val="32"/>
        </w:rPr>
        <w:t>做好巡视整改后续工作。</w:t>
      </w:r>
      <w:r>
        <w:rPr>
          <w:rFonts w:hint="eastAsia" w:eastAsia="仿宋_GB2312"/>
          <w:color w:val="000000"/>
          <w:sz w:val="32"/>
          <w:szCs w:val="32"/>
          <w:shd w:val="clear" w:color="auto" w:fill="FFFFFF"/>
        </w:rPr>
        <w:t>持续推进中央和省委巡视反馈意识形态方面问题专项整治工作，适时开展“回头看”，对可以按期整改完成的问题，及时验收，定期复查，防止反弹；对需要长期推进的问题，建立台账，定期督导，确保实效。二是</w:t>
      </w:r>
      <w:r>
        <w:rPr>
          <w:rFonts w:hint="eastAsia" w:ascii="楷体_GB2312" w:hAnsi="楷体_GB2312" w:eastAsia="楷体_GB2312" w:cs="楷体_GB2312"/>
          <w:bCs/>
          <w:sz w:val="32"/>
          <w:szCs w:val="32"/>
        </w:rPr>
        <w:t>压紧压实意识形态工作责任制。</w:t>
      </w:r>
      <w:r>
        <w:rPr>
          <w:rFonts w:hint="eastAsia" w:eastAsia="仿宋_GB2312"/>
          <w:color w:val="000000"/>
          <w:sz w:val="32"/>
          <w:szCs w:val="32"/>
          <w:shd w:val="clear" w:color="auto" w:fill="FFFFFF"/>
        </w:rPr>
        <w:t>推进县委《关于进一步加强和改进意识形态工作的实施意见》贯彻落实，进一步健全完善任务分解、分析研判、常态监督、应急管控、考核评价、纪律约束等制度机制，完善意识形态工作制度体系。对各乡镇党委和县直单位党委（党组）意识形态工作责任制落实情况进行半年督查和年度考核。三是</w:t>
      </w:r>
      <w:r>
        <w:rPr>
          <w:rFonts w:hint="eastAsia" w:ascii="楷体_GB2312" w:hAnsi="楷体_GB2312" w:eastAsia="楷体_GB2312" w:cs="楷体_GB2312"/>
          <w:bCs/>
          <w:sz w:val="32"/>
          <w:szCs w:val="32"/>
        </w:rPr>
        <w:t>管好守住各类意识形态阵地。</w:t>
      </w:r>
      <w:r>
        <w:rPr>
          <w:rFonts w:hint="eastAsia" w:eastAsia="仿宋_GB2312"/>
          <w:color w:val="000000"/>
          <w:sz w:val="32"/>
          <w:szCs w:val="32"/>
          <w:shd w:val="clear" w:color="auto" w:fill="FFFFFF"/>
        </w:rPr>
        <w:t>抓好重点领域和关键环节，加强对新闻出版、广播影视、文化市场、讲座论坛、报告会研讨会、文化节庆活动、纪念设施、旅游景点、公益广告等各类阵地的管控。</w:t>
      </w:r>
    </w:p>
    <w:p w14:paraId="5312A33A">
      <w:pPr>
        <w:shd w:val="clear" w:color="auto" w:fill="FFFFFF"/>
        <w:spacing w:line="600" w:lineRule="exact"/>
        <w:ind w:firstLine="640" w:firstLineChars="200"/>
        <w:rPr>
          <w:rFonts w:ascii="仿宋_GB2312" w:eastAsia="仿宋_GB2312"/>
          <w:sz w:val="32"/>
          <w:szCs w:val="32"/>
        </w:rPr>
      </w:pPr>
      <w:r>
        <w:rPr>
          <w:rFonts w:hint="eastAsia" w:ascii="黑体" w:hAnsi="黑体" w:eastAsia="黑体"/>
          <w:sz w:val="32"/>
          <w:szCs w:val="32"/>
        </w:rPr>
        <w:t>三、围绕壮大主流舆论，提振全县人民的精神士气，着力抓好三项工作。一是</w:t>
      </w:r>
      <w:r>
        <w:rPr>
          <w:rFonts w:hint="eastAsia" w:ascii="楷体_GB2312" w:hAnsi="楷体" w:eastAsia="楷体_GB2312" w:cs="楷体"/>
          <w:bCs/>
          <w:sz w:val="32"/>
          <w:szCs w:val="32"/>
        </w:rPr>
        <w:t>进一步加强新闻宣传工作。</w:t>
      </w:r>
      <w:r>
        <w:rPr>
          <w:rFonts w:hint="eastAsia" w:ascii="仿宋_GB2312" w:hAnsi="仿宋" w:eastAsia="仿宋_GB2312" w:cs="仿宋"/>
          <w:sz w:val="32"/>
          <w:szCs w:val="32"/>
        </w:rPr>
        <w:t>牢牢把握正确舆论导向，紧紧围绕中央和省市县委重大决策部署，创新传播方式方法，把隆尧的人文历史、发展成就、精彩故事讲好讲响，提振全县人民精神士气。</w:t>
      </w:r>
      <w:r>
        <w:rPr>
          <w:rFonts w:hint="eastAsia" w:ascii="仿宋_GB2312" w:hAnsi="仿宋_GB2312" w:eastAsia="仿宋_GB2312" w:cs="仿宋_GB2312"/>
          <w:b/>
          <w:bCs/>
          <w:sz w:val="32"/>
          <w:szCs w:val="32"/>
        </w:rPr>
        <w:t>1.做强主题宣传。</w:t>
      </w:r>
      <w:r>
        <w:rPr>
          <w:rFonts w:hint="eastAsia" w:ascii="仿宋_GB2312" w:hAnsi="仿宋" w:eastAsia="仿宋_GB2312" w:cs="仿宋"/>
          <w:sz w:val="32"/>
          <w:szCs w:val="32"/>
        </w:rPr>
        <w:t>紧扣县委县政府中心工作、重点工作，主动谋划，主动作为，重点围绕深化改革、项目建设、脱贫攻坚、生态环境治理、创建文明县城等开展主题宣传活动，形成凝神聚力抓发展的浓厚氛围。</w:t>
      </w:r>
      <w:r>
        <w:rPr>
          <w:rFonts w:hint="eastAsia" w:ascii="仿宋_GB2312" w:hAnsi="仿宋_GB2312" w:eastAsia="仿宋_GB2312" w:cs="仿宋_GB2312"/>
          <w:b/>
          <w:bCs/>
          <w:sz w:val="32"/>
          <w:szCs w:val="32"/>
        </w:rPr>
        <w:t>2.做大县内宣传。</w:t>
      </w:r>
      <w:r>
        <w:rPr>
          <w:rFonts w:hint="eastAsia" w:ascii="仿宋" w:hAnsi="仿宋" w:eastAsia="仿宋" w:cs="仿宋"/>
          <w:sz w:val="32"/>
          <w:szCs w:val="32"/>
        </w:rPr>
        <w:t>充分发挥县融媒体中心的作用，针对阶段性宣传任务，在全县形成多平台、多角度、立体化宣传新格局，形成宣传合力。</w:t>
      </w:r>
      <w:r>
        <w:rPr>
          <w:rFonts w:hint="eastAsia" w:ascii="仿宋_GB2312" w:hAnsi="仿宋_GB2312" w:eastAsia="仿宋_GB2312" w:cs="仿宋_GB2312"/>
          <w:b/>
          <w:bCs/>
          <w:sz w:val="32"/>
          <w:szCs w:val="32"/>
        </w:rPr>
        <w:t>3.做好对上宣传。</w:t>
      </w:r>
      <w:r>
        <w:rPr>
          <w:rFonts w:hint="eastAsia" w:ascii="仿宋_GB2312" w:hAnsi="仿宋" w:eastAsia="仿宋_GB2312" w:cs="仿宋"/>
          <w:sz w:val="32"/>
          <w:szCs w:val="32"/>
        </w:rPr>
        <w:t>进一步加强与中央和省市级主要媒体的沟通对接，积极邀请上级媒体来县采访，主动推荐我县在推动高质量发展中的亮点工作、经验成效和先进典型，进一步提升隆尧在外影响力和美誉度。二是</w:t>
      </w:r>
      <w:r>
        <w:rPr>
          <w:rFonts w:hint="eastAsia" w:ascii="楷体_GB2312" w:hAnsi="楷体" w:eastAsia="楷体_GB2312" w:cs="楷体"/>
          <w:bCs/>
          <w:sz w:val="32"/>
          <w:szCs w:val="32"/>
        </w:rPr>
        <w:t>扎实推动“扫黄打非”深入开展。</w:t>
      </w:r>
      <w:r>
        <w:rPr>
          <w:rFonts w:hint="eastAsia" w:ascii="仿宋" w:hAnsi="仿宋" w:eastAsia="仿宋" w:cs="仿宋"/>
          <w:sz w:val="32"/>
          <w:szCs w:val="32"/>
        </w:rPr>
        <w:t>按照上级“扫黄打非”工作部署，充分发挥县“扫黄打非”领导小组办公室“综合、协调、指导、督办”工作职能，建立健全“扫黄打非”制度机制，全面落实统筹谋划、协调推动、重点指导、案件督办、年度考评等工作任务。重点围绕出版物经营场所、印刷企业、打字复印店、网吧、歌舞娱乐场所、邮政快递等领域的企业、场所和网点，组织各成员单位开展市场清查和专项整治等联合执法检查，切实维护意识形态安全和文化市场安全。大力推进“扫黄打非”进基层，</w:t>
      </w:r>
      <w:r>
        <w:rPr>
          <w:rFonts w:hint="eastAsia" w:ascii="仿宋_GB2312" w:eastAsia="仿宋_GB2312"/>
          <w:sz w:val="32"/>
          <w:szCs w:val="32"/>
        </w:rPr>
        <w:t>抓好“扫黄打非”基层示范点建设。三是</w:t>
      </w:r>
      <w:r>
        <w:rPr>
          <w:rFonts w:hint="eastAsia" w:ascii="楷体_GB2312" w:hAnsi="楷体" w:eastAsia="楷体_GB2312" w:cs="楷体"/>
          <w:bCs/>
          <w:sz w:val="32"/>
          <w:szCs w:val="32"/>
        </w:rPr>
        <w:t>全力做好印刷发行管理工作。</w:t>
      </w:r>
      <w:r>
        <w:rPr>
          <w:rFonts w:hint="eastAsia" w:ascii="仿宋_GB2312" w:hAnsi="仿宋" w:eastAsia="仿宋_GB2312" w:cs="仿宋"/>
          <w:sz w:val="32"/>
          <w:szCs w:val="32"/>
        </w:rPr>
        <w:t>组织文化市场执法、网信、公安等部门，开展印刷发行市场治理检查和打击侵权盗版执法检查，督促企业严格落实“五项制度”，切实维护印刷经营秩序。</w:t>
      </w:r>
      <w:r>
        <w:rPr>
          <w:rFonts w:hint="eastAsia" w:ascii="仿宋_GB2312" w:eastAsia="仿宋_GB2312"/>
          <w:sz w:val="32"/>
          <w:szCs w:val="32"/>
        </w:rPr>
        <w:t>做好推动使用正版软件工作，加强长效机制和制度建设，推动使用正版软件工作规范化、标准化。加强对农家书屋的规范管理，切实提高农家书屋的利用率。</w:t>
      </w:r>
    </w:p>
    <w:p w14:paraId="67D0B708">
      <w:pPr>
        <w:spacing w:line="640" w:lineRule="exact"/>
        <w:ind w:firstLine="640" w:firstLineChars="200"/>
        <w:rPr>
          <w:rFonts w:ascii="仿宋_GB2312" w:eastAsia="仿宋_GB2312"/>
          <w:sz w:val="32"/>
          <w:szCs w:val="32"/>
        </w:rPr>
      </w:pPr>
      <w:r>
        <w:rPr>
          <w:rFonts w:hint="eastAsia" w:ascii="黑体" w:eastAsia="黑体"/>
          <w:sz w:val="32"/>
          <w:szCs w:val="32"/>
        </w:rPr>
        <w:t>四、围绕坚持典型引领，做细做实社会主义核心价值观宣传教育，着力抓好三项工作：一是</w:t>
      </w:r>
      <w:r>
        <w:rPr>
          <w:rFonts w:hint="eastAsia" w:ascii="楷体_GB2312" w:eastAsia="楷体_GB2312"/>
          <w:sz w:val="32"/>
          <w:szCs w:val="32"/>
        </w:rPr>
        <w:t>坚持“抓两头带中间”。</w:t>
      </w:r>
      <w:r>
        <w:rPr>
          <w:rFonts w:hint="eastAsia" w:ascii="仿宋_GB2312" w:eastAsia="仿宋_GB2312"/>
          <w:sz w:val="32"/>
          <w:szCs w:val="32"/>
        </w:rPr>
        <w:t>即推动领导干部带好头和青少年开好头，在领导干部中弘扬忠诚老实、公道正派、实事求是、清正廉洁等价值观，形成“头雁效应”；发挥好学校的主体作用，将</w:t>
      </w:r>
      <w:r>
        <w:rPr>
          <w:rFonts w:hint="eastAsia" w:ascii="仿宋_GB2312" w:eastAsia="仿宋_GB2312"/>
          <w:sz w:val="32"/>
          <w:szCs w:val="32"/>
          <w:lang w:eastAsia="zh-CN"/>
        </w:rPr>
        <w:t>社会主义</w:t>
      </w:r>
      <w:r>
        <w:rPr>
          <w:rFonts w:hint="eastAsia" w:ascii="仿宋_GB2312" w:eastAsia="仿宋_GB2312"/>
          <w:sz w:val="32"/>
          <w:szCs w:val="32"/>
        </w:rPr>
        <w:t>核心价值观渗透到广大青少年的日常学习生活之中，贯穿于学校、家庭、社会教育的全过程，培养好接班人。同时，要实施公民道德建设工程，推动社会公德、职业道德、家庭美德、个人品德建设。二是</w:t>
      </w:r>
      <w:r>
        <w:rPr>
          <w:rFonts w:hint="eastAsia" w:ascii="楷体_GB2312" w:eastAsia="楷体_GB2312"/>
          <w:sz w:val="32"/>
          <w:szCs w:val="32"/>
        </w:rPr>
        <w:t>推进新时代文明实践中心建设。</w:t>
      </w:r>
      <w:r>
        <w:rPr>
          <w:rFonts w:hint="eastAsia" w:ascii="仿宋_GB2312" w:eastAsia="仿宋_GB2312"/>
          <w:sz w:val="32"/>
          <w:szCs w:val="32"/>
        </w:rPr>
        <w:t>按照《河北省建设新时代文明实践中心试点工作实施方案》要求，结合实际强力推进新时代文明实践中心建设。坚持强化领导，建立完善县级新时代文明实践中心及领导组织，统筹指导乡、村两级新时代文明文明实践所（站）建设。构建五大平台，统筹公共服务阵地资源开展活动，将</w:t>
      </w:r>
      <w:r>
        <w:rPr>
          <w:rFonts w:hint="eastAsia" w:ascii="仿宋_GB2312" w:eastAsia="仿宋_GB2312"/>
          <w:sz w:val="32"/>
          <w:szCs w:val="32"/>
          <w:lang w:eastAsia="zh-CN"/>
        </w:rPr>
        <w:t>社会主义</w:t>
      </w:r>
      <w:r>
        <w:rPr>
          <w:rFonts w:hint="eastAsia" w:ascii="仿宋_GB2312" w:eastAsia="仿宋_GB2312"/>
          <w:sz w:val="32"/>
          <w:szCs w:val="32"/>
        </w:rPr>
        <w:t>核心价值观融入之中，着眼凝聚群众、引导群众，坚持以文化人、成风化俗。三是</w:t>
      </w:r>
      <w:r>
        <w:rPr>
          <w:rFonts w:hint="eastAsia" w:ascii="楷体_GB2312" w:eastAsia="楷体_GB2312"/>
          <w:sz w:val="32"/>
          <w:szCs w:val="32"/>
        </w:rPr>
        <w:t>实施时代新人培育工程。</w:t>
      </w:r>
      <w:r>
        <w:rPr>
          <w:rFonts w:hint="eastAsia" w:ascii="仿宋_GB2312" w:hAnsi="仿宋_GB2312" w:eastAsia="仿宋_GB2312" w:cs="仿宋_GB2312"/>
          <w:sz w:val="32"/>
          <w:szCs w:val="32"/>
        </w:rPr>
        <w:t>完善典型发掘、选树、宣传机制，</w:t>
      </w:r>
      <w:r>
        <w:rPr>
          <w:rFonts w:hint="eastAsia" w:ascii="仿宋_GB2312" w:eastAsia="仿宋_GB2312"/>
          <w:sz w:val="32"/>
          <w:szCs w:val="32"/>
        </w:rPr>
        <w:t>发挥先进典型示范引领作用，打好典型培树宣传整体战，</w:t>
      </w:r>
      <w:r>
        <w:rPr>
          <w:rFonts w:hint="eastAsia" w:ascii="仿宋_GB2312" w:hAnsi="仿宋_GB2312" w:eastAsia="仿宋_GB2312" w:cs="仿宋_GB2312"/>
          <w:sz w:val="32"/>
          <w:szCs w:val="32"/>
        </w:rPr>
        <w:t>统筹做好“邢台好人”“河北好人”“中国好人”等各类典型评选推荐活动，</w:t>
      </w:r>
      <w:r>
        <w:rPr>
          <w:rFonts w:hint="eastAsia" w:ascii="仿宋_GB2312" w:eastAsia="仿宋_GB2312"/>
          <w:sz w:val="32"/>
          <w:szCs w:val="32"/>
        </w:rPr>
        <w:t>完善典型挖掘培树机制和资料库建设，推出一批在省市乃至全国有影响的重大典型，通过评选表彰、学习宣传先进人物、道德模范引领时代新风。组织开展先进典型“进社区、进农村”宣讲、</w:t>
      </w:r>
      <w:r>
        <w:rPr>
          <w:rFonts w:ascii="仿宋_GB2312" w:eastAsia="仿宋_GB2312"/>
          <w:sz w:val="32"/>
          <w:szCs w:val="32"/>
        </w:rPr>
        <w:t>365</w:t>
      </w:r>
      <w:r>
        <w:rPr>
          <w:rFonts w:hint="eastAsia" w:ascii="仿宋_GB2312" w:eastAsia="仿宋_GB2312"/>
          <w:sz w:val="32"/>
          <w:szCs w:val="32"/>
        </w:rPr>
        <w:t>百姓故事汇群众宣讲等活动，加强户外宣讲力度，营造树典型、学典型浓厚氛围，形成人人践行</w:t>
      </w:r>
      <w:r>
        <w:rPr>
          <w:rFonts w:hint="eastAsia" w:ascii="仿宋_GB2312" w:eastAsia="仿宋_GB2312"/>
          <w:sz w:val="32"/>
          <w:szCs w:val="32"/>
          <w:lang w:eastAsia="zh-CN"/>
        </w:rPr>
        <w:t>社会主义</w:t>
      </w:r>
      <w:r>
        <w:rPr>
          <w:rFonts w:hint="eastAsia" w:ascii="仿宋_GB2312" w:eastAsia="仿宋_GB2312"/>
          <w:sz w:val="32"/>
          <w:szCs w:val="32"/>
        </w:rPr>
        <w:t>核心价值观、争当时代新人的生动局面。</w:t>
      </w:r>
    </w:p>
    <w:p w14:paraId="67D6B9FD">
      <w:pPr>
        <w:spacing w:line="640" w:lineRule="exact"/>
        <w:ind w:firstLine="640" w:firstLineChars="200"/>
        <w:rPr>
          <w:rFonts w:ascii="仿宋_GB2312" w:eastAsia="仿宋_GB2312"/>
          <w:bCs/>
          <w:sz w:val="32"/>
          <w:szCs w:val="32"/>
        </w:rPr>
      </w:pPr>
      <w:r>
        <w:rPr>
          <w:rFonts w:hint="eastAsia" w:ascii="黑体" w:eastAsia="黑体"/>
          <w:sz w:val="32"/>
          <w:szCs w:val="32"/>
        </w:rPr>
        <w:t>五、围绕坚持常态化，继续大力开展“美我家乡</w:t>
      </w:r>
      <w:r>
        <w:rPr>
          <w:rFonts w:ascii="黑体" w:eastAsia="黑体"/>
          <w:sz w:val="32"/>
          <w:szCs w:val="32"/>
        </w:rPr>
        <w:t>•</w:t>
      </w:r>
      <w:r>
        <w:rPr>
          <w:rFonts w:hint="eastAsia" w:ascii="黑体" w:eastAsia="黑体"/>
          <w:sz w:val="32"/>
          <w:szCs w:val="32"/>
        </w:rPr>
        <w:t>文明邢襄”主题创建活动，着力抓好三项工作：一是</w:t>
      </w:r>
      <w:r>
        <w:rPr>
          <w:rFonts w:hint="eastAsia" w:ascii="楷体_GB2312" w:eastAsia="楷体_GB2312"/>
          <w:sz w:val="32"/>
          <w:szCs w:val="32"/>
        </w:rPr>
        <w:t>坚持文明县城创建常态化。</w:t>
      </w:r>
      <w:r>
        <w:rPr>
          <w:rFonts w:hint="eastAsia" w:ascii="仿宋_GB2312" w:eastAsia="仿宋_GB2312"/>
          <w:b/>
          <w:sz w:val="32"/>
          <w:szCs w:val="32"/>
        </w:rPr>
        <w:t>一要夯实创建基础。</w:t>
      </w:r>
      <w:r>
        <w:rPr>
          <w:rFonts w:hint="eastAsia" w:eastAsia="仿宋_GB2312"/>
          <w:sz w:val="32"/>
          <w:szCs w:val="32"/>
        </w:rPr>
        <w:t>进一步细化明确《隆尧县创建省级文明县城测评体系责任分工》，对各个责任单位明确职责，落实目标任务，建立目标分解台账，细化了达标测评体系，明确完成时限要求，形成细分工、严标准、明时限的目标落实体系，为完成创城目标奠定基础。</w:t>
      </w:r>
      <w:r>
        <w:rPr>
          <w:rFonts w:hint="eastAsia" w:ascii="仿宋_GB2312" w:eastAsia="仿宋_GB2312"/>
          <w:sz w:val="32"/>
          <w:szCs w:val="32"/>
        </w:rPr>
        <w:t>各乡镇、县直单位要按照要求，结合实际明确创城工作思路和目标，制定各自的时间表、任务量、进度图，狠抓落实。</w:t>
      </w:r>
      <w:r>
        <w:rPr>
          <w:rFonts w:hint="eastAsia" w:ascii="仿宋_GB2312" w:eastAsia="仿宋_GB2312"/>
          <w:b/>
          <w:sz w:val="32"/>
          <w:szCs w:val="32"/>
        </w:rPr>
        <w:t>二要抓好创建载体。</w:t>
      </w:r>
      <w:r>
        <w:rPr>
          <w:rFonts w:hint="eastAsia" w:ascii="仿宋_GB2312" w:eastAsia="仿宋_GB2312"/>
          <w:sz w:val="32"/>
          <w:szCs w:val="32"/>
        </w:rPr>
        <w:t>继续开展“访千家万户、创文明县城”以及城乡共建、企地共建、军民共建等形式多样的创建活动，听民生、察民情、解民忧。围绕群众关心关注的问题抓创建，坚持问题导向，梳理出群众反映强烈的突出问题，脚踏实地逐步加以解决，接续发力，把隆尧建设的宜居、美丽。</w:t>
      </w:r>
      <w:r>
        <w:rPr>
          <w:rFonts w:hint="eastAsia" w:ascii="仿宋_GB2312" w:eastAsia="仿宋_GB2312"/>
          <w:b/>
          <w:sz w:val="32"/>
          <w:szCs w:val="32"/>
        </w:rPr>
        <w:t>三要强化督导检查。</w:t>
      </w:r>
      <w:r>
        <w:rPr>
          <w:rFonts w:hint="eastAsia" w:ascii="仿宋_GB2312" w:eastAsia="仿宋_GB2312"/>
          <w:sz w:val="32"/>
          <w:szCs w:val="32"/>
        </w:rPr>
        <w:t>采取县文明办督导、人大代表、政协委员视察、社会监督的模式，利用媒体通报</w:t>
      </w:r>
      <w:r>
        <w:rPr>
          <w:rFonts w:ascii="仿宋_GB2312" w:eastAsia="仿宋_GB2312"/>
          <w:sz w:val="32"/>
          <w:szCs w:val="32"/>
        </w:rPr>
        <w:t>+</w:t>
      </w:r>
      <w:r>
        <w:rPr>
          <w:rFonts w:hint="eastAsia" w:ascii="仿宋_GB2312" w:eastAsia="仿宋_GB2312"/>
          <w:sz w:val="32"/>
          <w:szCs w:val="32"/>
        </w:rPr>
        <w:t>督办交办卡等手段，通过强有力的督导，全面提升创建水平。同时，统筹推进文明村镇、文明单位、文明校园、文明家庭等文明单位创建活动。全县各乡镇、县直单位，要把创城作为重点工作抓紧抓好，认清形势不懈怠、落实责任不缺位、强化措施不松劲，力争我县早日进入省级文明县城行列，全县涌现出更多国家级、省级、市级文明村镇、文明单位、文明校园、文明家庭。二是</w:t>
      </w:r>
      <w:r>
        <w:rPr>
          <w:rFonts w:hint="eastAsia" w:ascii="楷体_GB2312" w:eastAsia="楷体_GB2312"/>
          <w:sz w:val="32"/>
          <w:szCs w:val="32"/>
        </w:rPr>
        <w:t>以移风易俗和传承优秀传统文化为两翼加强乡风文明建设。</w:t>
      </w:r>
      <w:r>
        <w:rPr>
          <w:rFonts w:hint="eastAsia" w:ascii="仿宋_GB2312" w:eastAsia="仿宋_GB2312"/>
          <w:sz w:val="32"/>
          <w:szCs w:val="32"/>
        </w:rPr>
        <w:t>制定全面加强文明乡风建设具体方案，培树推广一批先进典型，突出抓好“两会一约”建设的巩固提高，建立健全制度机制，彻底刹住农村婚丧嫁娶的歪风陋习。积极挖掘优秀传统文化，充分发挥当代新乡贤作用，大力传承弘扬“孝悌忠信礼义廉耻”中华民族文化基因，不断提升全民文明素质和社会文明程度。同时，以编好村史村志、讲好家风故事、立好家训家规、建好活动阵地、评好先进典型“五个好”为抓手，开展家风家训主题活动，弘扬优秀家风，引领文明新风。三是</w:t>
      </w:r>
      <w:r>
        <w:rPr>
          <w:rFonts w:hint="eastAsia" w:ascii="楷体_GB2312" w:eastAsia="楷体_GB2312"/>
          <w:sz w:val="32"/>
          <w:szCs w:val="32"/>
        </w:rPr>
        <w:t>积极打造志愿服务品牌。</w:t>
      </w:r>
      <w:r>
        <w:rPr>
          <w:rFonts w:hint="eastAsia" w:ascii="仿宋_GB2312" w:eastAsia="仿宋_GB2312"/>
          <w:sz w:val="32"/>
          <w:szCs w:val="32"/>
        </w:rPr>
        <w:t>推动学雷锋常态化、志愿者服务制度化。实施“六个一”志愿者服务工程。</w:t>
      </w:r>
      <w:r>
        <w:rPr>
          <w:rFonts w:hint="eastAsia" w:ascii="仿宋_GB2312" w:eastAsia="仿宋_GB2312"/>
          <w:bCs/>
          <w:sz w:val="32"/>
          <w:szCs w:val="32"/>
        </w:rPr>
        <w:t>打造一条志愿者服务热线，即</w:t>
      </w:r>
      <w:r>
        <w:rPr>
          <w:rFonts w:ascii="仿宋_GB2312" w:eastAsia="仿宋_GB2312"/>
          <w:bCs/>
          <w:sz w:val="32"/>
          <w:szCs w:val="32"/>
        </w:rPr>
        <w:t>96888</w:t>
      </w:r>
      <w:r>
        <w:rPr>
          <w:rFonts w:hint="eastAsia" w:ascii="仿宋_GB2312" w:eastAsia="仿宋_GB2312"/>
          <w:bCs/>
          <w:sz w:val="32"/>
          <w:szCs w:val="32"/>
        </w:rPr>
        <w:t>邢台市志愿者服务热线；锻造一批志愿者服务队伍，强化党员、社会、单位和社区志愿者队伍建设；塑造一个志愿者服务品牌，擦亮“爱心驿站”志愿服务品牌；推出一批优秀志愿者服务项目，重点开展孝老救孤、济贫助残、爱心助学等志愿者服务活动；举办一起志愿服务培训，加强对志愿者服务知识和技能等方面的培训；进行一次志愿服务表彰，激励社会各界广泛参与志愿服务。</w:t>
      </w:r>
    </w:p>
    <w:p w14:paraId="694CC2AE">
      <w:pPr>
        <w:spacing w:line="640" w:lineRule="exact"/>
        <w:ind w:firstLine="640" w:firstLineChars="200"/>
        <w:rPr>
          <w:rFonts w:ascii="仿宋" w:hAnsi="仿宋" w:eastAsia="仿宋" w:cs="Arial"/>
          <w:color w:val="1A1A18"/>
          <w:kern w:val="0"/>
          <w:sz w:val="32"/>
          <w:szCs w:val="32"/>
        </w:rPr>
      </w:pPr>
      <w:r>
        <w:rPr>
          <w:rFonts w:hint="eastAsia" w:ascii="黑体" w:hAnsi="黑体" w:eastAsia="黑体" w:cs="黑体"/>
          <w:sz w:val="32"/>
          <w:szCs w:val="32"/>
        </w:rPr>
        <w:t>六、围绕</w:t>
      </w:r>
      <w:r>
        <w:rPr>
          <w:rFonts w:hint="eastAsia" w:ascii="黑体" w:hAnsi="黑体" w:eastAsia="黑体" w:cs="黑体"/>
          <w:color w:val="000000"/>
          <w:kern w:val="0"/>
          <w:sz w:val="32"/>
          <w:szCs w:val="32"/>
        </w:rPr>
        <w:t>聚焦文化民生，持续推进邢襄文化弘扬工程，着力抓好六项工作：一是创</w:t>
      </w:r>
      <w:r>
        <w:rPr>
          <w:rFonts w:hint="eastAsia" w:ascii="楷体_GB2312" w:hAnsi="楷体_GB2312" w:eastAsia="楷体_GB2312" w:cs="楷体_GB2312"/>
          <w:sz w:val="32"/>
          <w:szCs w:val="32"/>
        </w:rPr>
        <w:t>作编纂隆尧历史文化文艺作品，弘扬传承隆尧优秀历史文化。</w:t>
      </w:r>
      <w:r>
        <w:rPr>
          <w:rFonts w:hint="eastAsia" w:ascii="仿宋_GB2312" w:hAnsi="仿宋_GB2312" w:eastAsia="仿宋_GB2312" w:cs="仿宋_GB2312"/>
          <w:sz w:val="32"/>
          <w:szCs w:val="32"/>
        </w:rPr>
        <w:t>出版《隆尧历史名人》《隆尧历史文化名村》等文化读物，对尧帝、皋陶、李昙、李牧、李左车、李春、彦琮等隆尧历史名人和泽畔、山口、固城、旧城等村的历史故事、传说、功绩，进行整理归纳、深入研究，编辑出版，</w:t>
      </w:r>
      <w:r>
        <w:rPr>
          <w:rFonts w:hint="eastAsia" w:eastAsia="仿宋_GB2312" w:cs="仿宋_GB2312"/>
          <w:sz w:val="32"/>
          <w:szCs w:val="32"/>
        </w:rPr>
        <w:t>让全县群众进一步了解隆尧历史，热爱家乡文化，不断提升“唐尧圣地、李氏故里”文化品牌的影响力。二是</w:t>
      </w:r>
      <w:r>
        <w:rPr>
          <w:rFonts w:hint="eastAsia" w:ascii="楷体_GB2312" w:hAnsi="楷体_GB2312" w:eastAsia="楷体_GB2312" w:cs="楷体_GB2312"/>
          <w:sz w:val="32"/>
          <w:szCs w:val="32"/>
        </w:rPr>
        <w:t>编辑出版《尧山文艺》（暂定名）期刊。</w:t>
      </w:r>
      <w:r>
        <w:rPr>
          <w:rFonts w:hint="eastAsia" w:ascii="仿宋_GB2312" w:hAnsi="仿宋_GB2312" w:eastAsia="仿宋_GB2312" w:cs="仿宋_GB2312"/>
          <w:sz w:val="32"/>
          <w:szCs w:val="32"/>
        </w:rPr>
        <w:t>定位为文联主办的文化普及型读物，坚持通俗性与学术性的有机统一，不定期出版。栏目设置力求通俗、普及，注重内容丰富多彩、文字生动、可读性强。设置唐尧气象、泜水论坛、大陆泽畔、地名文化、揽胜觅踪、历史人物、风土民情、文物典籍、红色记忆、亲情旧事、民间传说、诗词歌赋等栏目。三是</w:t>
      </w:r>
      <w:r>
        <w:rPr>
          <w:rFonts w:hint="eastAsia" w:ascii="楷体_GB2312" w:hAnsi="楷体_GB2312" w:eastAsia="楷体_GB2312" w:cs="楷体_GB2312"/>
          <w:sz w:val="32"/>
          <w:szCs w:val="32"/>
        </w:rPr>
        <w:t>积极参与举办第二届世界李氏隆尧祭祖节。</w:t>
      </w:r>
      <w:r>
        <w:rPr>
          <w:rFonts w:hint="eastAsia" w:ascii="仿宋_GB2312" w:hAnsi="仿宋_GB2312" w:eastAsia="仿宋_GB2312" w:cs="仿宋_GB2312"/>
          <w:sz w:val="32"/>
          <w:szCs w:val="32"/>
        </w:rPr>
        <w:t>传承隆尧丰厚的历史文化，进一步挖掘隆尧李氏文化积淀和优势，在</w:t>
      </w:r>
      <w:r>
        <w:rPr>
          <w:rFonts w:ascii="仿宋_GB2312" w:hAnsi="仿宋_GB2312" w:eastAsia="仿宋_GB2312" w:cs="仿宋_GB2312"/>
          <w:sz w:val="32"/>
          <w:szCs w:val="32"/>
        </w:rPr>
        <w:t>2018</w:t>
      </w:r>
      <w:r>
        <w:rPr>
          <w:rFonts w:hint="eastAsia" w:ascii="仿宋_GB2312" w:hAnsi="仿宋_GB2312" w:eastAsia="仿宋_GB2312" w:cs="仿宋_GB2312"/>
          <w:sz w:val="32"/>
          <w:szCs w:val="32"/>
        </w:rPr>
        <w:t>年成功举办全球李氏恳亲大会、</w:t>
      </w:r>
      <w:r>
        <w:rPr>
          <w:rFonts w:ascii="仿宋_GB2312" w:hAnsi="仿宋_GB2312" w:eastAsia="仿宋_GB2312" w:cs="仿宋_GB2312"/>
          <w:sz w:val="32"/>
          <w:szCs w:val="32"/>
        </w:rPr>
        <w:t>2019</w:t>
      </w:r>
      <w:r>
        <w:rPr>
          <w:rFonts w:hint="eastAsia" w:ascii="仿宋_GB2312" w:hAnsi="仿宋_GB2312" w:eastAsia="仿宋_GB2312" w:cs="仿宋_GB2312"/>
          <w:sz w:val="32"/>
          <w:szCs w:val="32"/>
        </w:rPr>
        <w:t>年举办首届世界李氏隆尧祭祖节的基础上，举办</w:t>
      </w:r>
      <w:r>
        <w:rPr>
          <w:rFonts w:ascii="仿宋_GB2312" w:hAnsi="仿宋_GB2312" w:eastAsia="仿宋_GB2312" w:cs="仿宋_GB2312"/>
          <w:sz w:val="32"/>
          <w:szCs w:val="32"/>
        </w:rPr>
        <w:t>2020</w:t>
      </w:r>
      <w:r>
        <w:rPr>
          <w:rFonts w:hint="eastAsia" w:ascii="仿宋_GB2312" w:hAnsi="仿宋_GB2312" w:eastAsia="仿宋_GB2312" w:cs="仿宋_GB2312"/>
          <w:sz w:val="32"/>
          <w:szCs w:val="32"/>
        </w:rPr>
        <w:t>第二届世界李氏隆尧祭祖节。结合隆尧县赵郡李氏宗亲联谊会、隆尧县李唐故里文化研究会，及早明确祭祖节主题，积极邀请海内外李氏宗亲，到隆尧恳亲联谊，文化交流，共谋发展。四是</w:t>
      </w:r>
      <w:r>
        <w:rPr>
          <w:rFonts w:hint="eastAsia" w:ascii="楷体_GB2312" w:hAnsi="楷体_GB2312" w:eastAsia="楷体_GB2312" w:cs="楷体_GB2312"/>
          <w:sz w:val="32"/>
          <w:szCs w:val="32"/>
        </w:rPr>
        <w:t>进一步深化“全民阅读，书香隆尧”建设。</w:t>
      </w:r>
      <w:r>
        <w:rPr>
          <w:rFonts w:hint="eastAsia" w:eastAsia="仿宋_GB2312" w:cs="仿宋_GB2312"/>
          <w:sz w:val="32"/>
          <w:szCs w:val="32"/>
        </w:rPr>
        <w:t>依托隆尧县全民阅读促进会和各乡镇、县直各单位读书组织，开展“荐、读、讲、诵、评”读书活动，</w:t>
      </w:r>
      <w:r>
        <w:rPr>
          <w:rFonts w:ascii="仿宋_GB2312" w:hAnsi="仿宋_GB2312" w:eastAsia="仿宋_GB2312" w:cs="仿宋_GB2312"/>
          <w:sz w:val="32"/>
          <w:szCs w:val="32"/>
        </w:rPr>
        <w:t>1-2</w:t>
      </w:r>
      <w:r>
        <w:rPr>
          <w:rFonts w:hint="eastAsia" w:ascii="仿宋_GB2312" w:hAnsi="仿宋_GB2312" w:eastAsia="仿宋_GB2312" w:cs="仿宋_GB2312"/>
          <w:sz w:val="32"/>
          <w:szCs w:val="32"/>
        </w:rPr>
        <w:t>月，举办春节系列读书活动；</w:t>
      </w:r>
      <w:r>
        <w:rPr>
          <w:rFonts w:ascii="仿宋_GB2312" w:hAnsi="仿宋_GB2312" w:eastAsia="仿宋_GB2312" w:cs="仿宋_GB2312"/>
          <w:sz w:val="32"/>
          <w:szCs w:val="32"/>
        </w:rPr>
        <w:t>4</w:t>
      </w:r>
      <w:r>
        <w:rPr>
          <w:rFonts w:hint="eastAsia" w:ascii="仿宋_GB2312" w:hAnsi="仿宋_GB2312" w:eastAsia="仿宋_GB2312" w:cs="仿宋_GB2312"/>
          <w:sz w:val="32"/>
          <w:szCs w:val="32"/>
        </w:rPr>
        <w:t>月，举办“全民阅读，书香隆尧”推进活动；</w:t>
      </w:r>
      <w:r>
        <w:rPr>
          <w:rFonts w:ascii="仿宋_GB2312" w:hAnsi="仿宋_GB2312" w:eastAsia="仿宋_GB2312" w:cs="仿宋_GB2312"/>
          <w:sz w:val="32"/>
          <w:szCs w:val="32"/>
        </w:rPr>
        <w:t>9</w:t>
      </w:r>
      <w:r>
        <w:rPr>
          <w:rFonts w:hint="eastAsia" w:ascii="仿宋_GB2312" w:hAnsi="仿宋_GB2312" w:eastAsia="仿宋_GB2312" w:cs="仿宋_GB2312"/>
          <w:sz w:val="32"/>
          <w:szCs w:val="32"/>
        </w:rPr>
        <w:t>月，举办中秋诗会青少年读书展示活动，以多种形式，</w:t>
      </w:r>
      <w:r>
        <w:rPr>
          <w:rFonts w:hint="eastAsia" w:eastAsia="仿宋_GB2312" w:cs="仿宋_GB2312"/>
          <w:sz w:val="32"/>
          <w:szCs w:val="32"/>
        </w:rPr>
        <w:t>培育和树立“爱读书、读好书、善读书、常读书”的良好风尚，不断满足广大人民群众日益增长的精神文化需求，增强隆尧文化软实力和综合竞争力。五是</w:t>
      </w:r>
      <w:r>
        <w:rPr>
          <w:rFonts w:hint="eastAsia" w:ascii="楷体_GB2312" w:hAnsi="楷体_GB2312" w:eastAsia="楷体_GB2312" w:cs="楷体_GB2312"/>
          <w:sz w:val="32"/>
          <w:szCs w:val="32"/>
        </w:rPr>
        <w:t>组织开展文艺精品创作和评选。</w:t>
      </w:r>
      <w:r>
        <w:rPr>
          <w:rFonts w:hint="eastAsia" w:eastAsia="仿宋_GB2312" w:cs="Arial"/>
          <w:sz w:val="32"/>
          <w:szCs w:val="32"/>
        </w:rPr>
        <w:t>发挥隆尧县文艺精品创作奖评选的引领作用，</w:t>
      </w:r>
      <w:r>
        <w:rPr>
          <w:rFonts w:hint="eastAsia" w:ascii="仿宋_GB2312" w:hAnsi="仿宋" w:eastAsia="仿宋_GB2312"/>
          <w:sz w:val="32"/>
          <w:szCs w:val="32"/>
        </w:rPr>
        <w:t>把文艺精品评选表彰作为培养人才、打造品牌的重要举措，做好</w:t>
      </w:r>
      <w:r>
        <w:rPr>
          <w:rFonts w:hint="eastAsia" w:ascii="仿宋" w:hAnsi="仿宋" w:eastAsia="仿宋" w:cs="Arial"/>
          <w:color w:val="1A1A18"/>
          <w:kern w:val="0"/>
          <w:sz w:val="32"/>
          <w:szCs w:val="32"/>
        </w:rPr>
        <w:t>年度文艺精品评选表彰工作，</w:t>
      </w:r>
      <w:r>
        <w:rPr>
          <w:rFonts w:hint="eastAsia" w:eastAsia="仿宋_GB2312" w:cs="Arial"/>
          <w:sz w:val="32"/>
          <w:szCs w:val="32"/>
        </w:rPr>
        <w:t>不断浓厚全县文艺工作者多出作品、多出精品的氛围。六是</w:t>
      </w:r>
      <w:r>
        <w:rPr>
          <w:rFonts w:hint="eastAsia" w:ascii="楷体_GB2312" w:hAnsi="楷体_GB2312" w:eastAsia="楷体_GB2312" w:cs="楷体_GB2312"/>
          <w:sz w:val="32"/>
          <w:szCs w:val="32"/>
        </w:rPr>
        <w:t>开展“深入生活、扎根人民”主题创作实践活动。</w:t>
      </w:r>
      <w:r>
        <w:rPr>
          <w:rFonts w:hint="eastAsia" w:ascii="仿宋_GB2312" w:hAnsi="仿宋_GB2312" w:eastAsia="仿宋_GB2312" w:cs="仿宋_GB2312"/>
          <w:color w:val="000000"/>
          <w:sz w:val="32"/>
          <w:szCs w:val="32"/>
          <w:shd w:val="clear" w:color="auto" w:fill="FFFFFF"/>
        </w:rPr>
        <w:t>整合全县文化人才力量，</w:t>
      </w:r>
      <w:r>
        <w:rPr>
          <w:rFonts w:hint="eastAsia" w:eastAsia="仿宋_GB2312"/>
          <w:sz w:val="32"/>
          <w:szCs w:val="32"/>
        </w:rPr>
        <w:t>围绕隆尧历史文化和隆尧县近年来取得的新成就新变化等主题，</w:t>
      </w:r>
      <w:r>
        <w:rPr>
          <w:rFonts w:hint="eastAsia" w:ascii="仿宋_GB2312" w:hAnsi="仿宋_GB2312" w:eastAsia="仿宋_GB2312" w:cs="仿宋_GB2312"/>
          <w:color w:val="333333"/>
          <w:sz w:val="32"/>
          <w:szCs w:val="32"/>
          <w:shd w:val="clear" w:color="auto" w:fill="FFFFFF"/>
        </w:rPr>
        <w:t>依托隆尧丰富文化积淀，积极开展文化采风、文化创作、文化研究，</w:t>
      </w:r>
      <w:r>
        <w:rPr>
          <w:rFonts w:hint="eastAsia" w:ascii="仿宋_GB2312" w:hAnsi="仿宋_GB2312" w:eastAsia="仿宋_GB2312" w:cs="仿宋_GB2312"/>
          <w:color w:val="000000"/>
          <w:sz w:val="32"/>
          <w:szCs w:val="32"/>
          <w:shd w:val="clear" w:color="auto" w:fill="FFFFFF"/>
        </w:rPr>
        <w:t>研究整理包括柏人文化、大唐文化、后周文化、大陆泽文化、抗震文化、红色文化在内的尧山文化，努力打造文化龙头品牌，</w:t>
      </w:r>
      <w:r>
        <w:rPr>
          <w:rFonts w:hint="eastAsia" w:eastAsia="仿宋_GB2312"/>
          <w:sz w:val="32"/>
          <w:szCs w:val="32"/>
        </w:rPr>
        <w:t>着力打造一批文艺精品。</w:t>
      </w:r>
    </w:p>
    <w:p w14:paraId="4D0CBC5D">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Times New Roman" w:hAnsi="Times New Roman" w:eastAsia="方正仿宋_GBK" w:cs="方正仿宋_GBK"/>
          <w:b/>
          <w:bCs/>
          <w:sz w:val="32"/>
          <w:szCs w:val="32"/>
        </w:rPr>
      </w:pPr>
      <w:r>
        <w:rPr>
          <w:rFonts w:hint="eastAsia" w:ascii="黑体" w:hAnsi="黑体" w:eastAsia="黑体" w:cs="黑体"/>
          <w:color w:val="000000"/>
          <w:kern w:val="0"/>
          <w:sz w:val="32"/>
          <w:szCs w:val="32"/>
        </w:rPr>
        <w:t>七、围绕强化担当作为，锻造一支过硬的宣传思想干部队伍，着力抓好三项工作：一是</w:t>
      </w:r>
      <w:r>
        <w:rPr>
          <w:rFonts w:hint="eastAsia" w:ascii="楷体_GB2312" w:hAnsi="楷体_GB2312" w:eastAsia="楷体_GB2312" w:cs="楷体_GB2312"/>
          <w:sz w:val="32"/>
          <w:szCs w:val="32"/>
        </w:rPr>
        <w:t>强化业务培训。</w:t>
      </w:r>
      <w:r>
        <w:rPr>
          <w:rFonts w:hint="eastAsia" w:ascii="仿宋_GB2312" w:eastAsia="仿宋_GB2312"/>
          <w:sz w:val="32"/>
          <w:szCs w:val="32"/>
        </w:rPr>
        <w:t>邀请上级媒体记者、专家，对全县宣传干部队伍开展新闻宣传专题培训，组织</w:t>
      </w:r>
      <w:r>
        <w:rPr>
          <w:rFonts w:hint="eastAsia" w:ascii="仿宋" w:hAnsi="仿宋" w:eastAsia="仿宋"/>
          <w:sz w:val="32"/>
          <w:szCs w:val="32"/>
          <w:shd w:val="clear" w:color="auto" w:fill="FFFFFF"/>
        </w:rPr>
        <w:t>举办全县意识形态工作专题培训，</w:t>
      </w:r>
      <w:r>
        <w:rPr>
          <w:rFonts w:hint="eastAsia" w:ascii="仿宋_GB2312" w:eastAsia="仿宋_GB2312"/>
          <w:sz w:val="32"/>
          <w:szCs w:val="32"/>
        </w:rPr>
        <w:t>增强宣传干部队伍的业务素质。二是</w:t>
      </w:r>
      <w:r>
        <w:rPr>
          <w:rFonts w:hint="eastAsia" w:ascii="楷体_GB2312" w:hAnsi="楷体_GB2312" w:eastAsia="楷体_GB2312" w:cs="楷体_GB2312"/>
          <w:kern w:val="0"/>
          <w:sz w:val="32"/>
          <w:szCs w:val="32"/>
          <w:lang w:val="zh-CN"/>
        </w:rPr>
        <w:t>实行“三比照”对账要账落实机制。</w:t>
      </w:r>
      <w:r>
        <w:rPr>
          <w:rFonts w:hint="eastAsia" w:ascii="仿宋" w:hAnsi="仿宋" w:eastAsia="仿宋"/>
          <w:color w:val="000000"/>
          <w:sz w:val="32"/>
          <w:szCs w:val="32"/>
          <w:shd w:val="clear" w:color="auto" w:fill="FFFFFF"/>
        </w:rPr>
        <w:t>比照宣传思想文化工作的重大安排，比照省、市委宣传部考核排名项目，比照筹划部署的年度重点工作，全面建立台账，定期要账，切实推进工作末端落实。组织举办乡镇宣传委员述职等活动，在全县宣传文化系统营造比学赶超的浓厚氛围。三是</w:t>
      </w:r>
      <w:r>
        <w:rPr>
          <w:rFonts w:hint="eastAsia" w:ascii="楷体_GB2312" w:hAnsi="楷体_GB2312" w:eastAsia="楷体_GB2312" w:cs="楷体_GB2312"/>
          <w:color w:val="000000"/>
          <w:sz w:val="32"/>
          <w:szCs w:val="32"/>
          <w:shd w:val="clear" w:color="auto" w:fill="FFFFFF"/>
        </w:rPr>
        <w:t>加强党的建设和作风建设。</w:t>
      </w:r>
      <w:r>
        <w:rPr>
          <w:rFonts w:hint="eastAsia" w:ascii="仿宋" w:hAnsi="仿宋" w:eastAsia="仿宋"/>
          <w:color w:val="000000"/>
          <w:sz w:val="32"/>
          <w:szCs w:val="32"/>
          <w:shd w:val="clear" w:color="auto" w:fill="FFFFFF"/>
        </w:rPr>
        <w:t>严格落实中央八项规定实施细则精神，驰而不息纠正“四风”，深入推进党风廉政建设，坚决做到“两个维护”，牢固树立“四个意识”、坚定“四个自信”，严肃政治纪律和政治规矩，营造风清气正的政治环境、工作环境。开展基层“走转改”大走访大</w:t>
      </w:r>
      <w:r>
        <w:rPr>
          <w:rFonts w:hint="eastAsia" w:ascii="仿宋" w:hAnsi="仿宋" w:eastAsia="仿宋"/>
          <w:sz w:val="32"/>
          <w:szCs w:val="32"/>
          <w:shd w:val="clear" w:color="auto" w:fill="FFFFFF"/>
        </w:rPr>
        <w:t>调研活动，挖掘典型亮点，研究解决制约宣传思想文化创新发展的重难点问题，</w:t>
      </w:r>
      <w:r>
        <w:rPr>
          <w:rFonts w:hint="eastAsia" w:ascii="仿宋" w:hAnsi="仿宋" w:eastAsia="仿宋"/>
          <w:color w:val="000000"/>
          <w:sz w:val="32"/>
          <w:szCs w:val="32"/>
          <w:shd w:val="clear" w:color="auto" w:fill="FFFFFF"/>
        </w:rPr>
        <w:t>树立宣传思想文化战线的良好形象。</w:t>
      </w:r>
    </w:p>
    <w:p w14:paraId="0BB149D5">
      <w:pPr>
        <w:spacing w:line="300" w:lineRule="exact"/>
        <w:ind w:firstLine="420" w:firstLineChars="200"/>
        <w:jc w:val="left"/>
        <w:rPr>
          <w:rFonts w:cs="Times New Roman"/>
        </w:rPr>
        <w:sectPr>
          <w:footerReference r:id="rId3" w:type="default"/>
          <w:pgSz w:w="11907" w:h="16839" w:orient="landscape"/>
          <w:pgMar w:top="1984" w:right="1304" w:bottom="1134" w:left="1304" w:header="851" w:footer="992" w:gutter="0"/>
          <w:cols w:space="720" w:num="1"/>
          <w:docGrid w:type="lines" w:linePitch="312" w:charSpace="0"/>
        </w:sectPr>
      </w:pP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6"/>
        <w:gridCol w:w="4144"/>
        <w:gridCol w:w="1900"/>
        <w:gridCol w:w="1900"/>
        <w:gridCol w:w="1900"/>
        <w:gridCol w:w="1900"/>
        <w:gridCol w:w="1288"/>
      </w:tblGrid>
      <w:tr w14:paraId="4762FF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2" w:hRule="atLeast"/>
        </w:trPr>
        <w:tc>
          <w:tcPr>
            <w:tcW w:w="1186" w:type="dxa"/>
            <w:noWrap w:val="0"/>
            <w:vAlign w:val="center"/>
          </w:tcPr>
          <w:p w14:paraId="6489C934">
            <w:pPr>
              <w:snapToGrid w:val="0"/>
              <w:spacing w:line="240" w:lineRule="atLeast"/>
              <w:jc w:val="center"/>
              <w:rPr>
                <w:rFonts w:hint="eastAsia" w:ascii="黑体" w:eastAsia="黑体"/>
              </w:rPr>
            </w:pPr>
            <w:r>
              <w:rPr>
                <w:rFonts w:hint="eastAsia" w:ascii="黑体" w:eastAsia="黑体"/>
              </w:rPr>
              <w:t>序号</w:t>
            </w:r>
          </w:p>
        </w:tc>
        <w:tc>
          <w:tcPr>
            <w:tcW w:w="4144" w:type="dxa"/>
            <w:noWrap w:val="0"/>
            <w:vAlign w:val="center"/>
          </w:tcPr>
          <w:p w14:paraId="3B217307">
            <w:pPr>
              <w:snapToGrid w:val="0"/>
              <w:spacing w:line="240" w:lineRule="atLeast"/>
              <w:jc w:val="center"/>
              <w:rPr>
                <w:rFonts w:hint="eastAsia" w:ascii="黑体" w:eastAsia="黑体"/>
              </w:rPr>
            </w:pPr>
            <w:r>
              <w:rPr>
                <w:rFonts w:hint="eastAsia" w:ascii="黑体" w:eastAsia="黑体"/>
              </w:rPr>
              <w:t>任务目标</w:t>
            </w:r>
          </w:p>
        </w:tc>
        <w:tc>
          <w:tcPr>
            <w:tcW w:w="1900" w:type="dxa"/>
            <w:noWrap w:val="0"/>
            <w:vAlign w:val="center"/>
          </w:tcPr>
          <w:p w14:paraId="4D01E6DA">
            <w:pPr>
              <w:snapToGrid w:val="0"/>
              <w:spacing w:line="240" w:lineRule="atLeast"/>
              <w:jc w:val="center"/>
              <w:rPr>
                <w:rFonts w:hint="eastAsia" w:ascii="黑体" w:eastAsia="黑体"/>
              </w:rPr>
            </w:pPr>
            <w:r>
              <w:rPr>
                <w:rFonts w:hint="eastAsia" w:ascii="黑体" w:eastAsia="黑体"/>
              </w:rPr>
              <w:t>第一季度</w:t>
            </w:r>
          </w:p>
        </w:tc>
        <w:tc>
          <w:tcPr>
            <w:tcW w:w="1900" w:type="dxa"/>
            <w:noWrap w:val="0"/>
            <w:vAlign w:val="center"/>
          </w:tcPr>
          <w:p w14:paraId="478B05A0">
            <w:pPr>
              <w:snapToGrid w:val="0"/>
              <w:spacing w:line="240" w:lineRule="atLeast"/>
              <w:jc w:val="center"/>
              <w:rPr>
                <w:rFonts w:hint="eastAsia" w:ascii="黑体" w:eastAsia="黑体"/>
              </w:rPr>
            </w:pPr>
            <w:r>
              <w:rPr>
                <w:rFonts w:hint="eastAsia" w:ascii="黑体" w:eastAsia="黑体"/>
              </w:rPr>
              <w:t>第二季度</w:t>
            </w:r>
          </w:p>
        </w:tc>
        <w:tc>
          <w:tcPr>
            <w:tcW w:w="1900" w:type="dxa"/>
            <w:noWrap w:val="0"/>
            <w:vAlign w:val="center"/>
          </w:tcPr>
          <w:p w14:paraId="3ADA777A">
            <w:pPr>
              <w:snapToGrid w:val="0"/>
              <w:spacing w:line="240" w:lineRule="atLeast"/>
              <w:jc w:val="center"/>
              <w:rPr>
                <w:rFonts w:hint="eastAsia" w:ascii="黑体" w:eastAsia="黑体"/>
              </w:rPr>
            </w:pPr>
            <w:r>
              <w:rPr>
                <w:rFonts w:hint="eastAsia" w:ascii="黑体" w:eastAsia="黑体"/>
              </w:rPr>
              <w:t>第三季度</w:t>
            </w:r>
          </w:p>
        </w:tc>
        <w:tc>
          <w:tcPr>
            <w:tcW w:w="1900" w:type="dxa"/>
            <w:noWrap w:val="0"/>
            <w:vAlign w:val="center"/>
          </w:tcPr>
          <w:p w14:paraId="110922E8">
            <w:pPr>
              <w:snapToGrid w:val="0"/>
              <w:spacing w:line="240" w:lineRule="atLeast"/>
              <w:jc w:val="center"/>
              <w:rPr>
                <w:rFonts w:hint="eastAsia" w:ascii="黑体" w:eastAsia="黑体"/>
              </w:rPr>
            </w:pPr>
            <w:r>
              <w:rPr>
                <w:rFonts w:hint="eastAsia" w:ascii="黑体" w:eastAsia="黑体"/>
              </w:rPr>
              <w:t>第四季度</w:t>
            </w:r>
          </w:p>
        </w:tc>
        <w:tc>
          <w:tcPr>
            <w:tcW w:w="1288" w:type="dxa"/>
            <w:noWrap w:val="0"/>
            <w:vAlign w:val="center"/>
          </w:tcPr>
          <w:p w14:paraId="5E2BC250">
            <w:pPr>
              <w:snapToGrid w:val="0"/>
              <w:spacing w:line="240" w:lineRule="atLeast"/>
              <w:jc w:val="center"/>
              <w:rPr>
                <w:rFonts w:hint="eastAsia" w:ascii="黑体" w:eastAsia="黑体"/>
              </w:rPr>
            </w:pPr>
            <w:r>
              <w:rPr>
                <w:rFonts w:hint="eastAsia" w:ascii="黑体" w:eastAsia="黑体"/>
              </w:rPr>
              <w:t>备注</w:t>
            </w:r>
          </w:p>
        </w:tc>
      </w:tr>
      <w:tr w14:paraId="68E8A6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96" w:hRule="atLeast"/>
        </w:trPr>
        <w:tc>
          <w:tcPr>
            <w:tcW w:w="1186" w:type="dxa"/>
            <w:noWrap w:val="0"/>
            <w:vAlign w:val="center"/>
          </w:tcPr>
          <w:p w14:paraId="3A981EB4">
            <w:pPr>
              <w:snapToGrid w:val="0"/>
              <w:spacing w:line="240" w:lineRule="atLeast"/>
              <w:jc w:val="center"/>
              <w:rPr>
                <w:rFonts w:hint="eastAsia"/>
                <w:sz w:val="24"/>
              </w:rPr>
            </w:pPr>
            <w:r>
              <w:rPr>
                <w:rFonts w:hint="eastAsia"/>
                <w:sz w:val="24"/>
              </w:rPr>
              <w:t>1</w:t>
            </w:r>
          </w:p>
        </w:tc>
        <w:tc>
          <w:tcPr>
            <w:tcW w:w="4144" w:type="dxa"/>
            <w:noWrap w:val="0"/>
            <w:vAlign w:val="center"/>
          </w:tcPr>
          <w:p w14:paraId="08B38406">
            <w:pPr>
              <w:autoSpaceDE w:val="0"/>
              <w:snapToGrid w:val="0"/>
              <w:spacing w:line="240" w:lineRule="atLeast"/>
              <w:rPr>
                <w:rFonts w:hint="eastAsia" w:ascii="黑体" w:hAnsi="黑体" w:eastAsia="黑体"/>
                <w:sz w:val="24"/>
              </w:rPr>
            </w:pPr>
            <w:r>
              <w:rPr>
                <w:rFonts w:hint="eastAsia" w:ascii="仿宋_GB2312" w:hAnsi="仿宋_GB2312" w:eastAsia="仿宋_GB2312" w:cs="仿宋_GB2312"/>
                <w:sz w:val="24"/>
              </w:rPr>
              <w:t>以习近平新时代中国特色社会主义思想引航导向，做好各级中心组学习工作；认真学习宣传习近平新时代中国特色社会主义思想和党的十九大精神。</w:t>
            </w:r>
          </w:p>
          <w:p w14:paraId="5E1C5B25">
            <w:pPr>
              <w:snapToGrid w:val="0"/>
              <w:spacing w:line="240" w:lineRule="atLeast"/>
              <w:jc w:val="center"/>
              <w:rPr>
                <w:rFonts w:hint="eastAsia"/>
                <w:sz w:val="24"/>
              </w:rPr>
            </w:pPr>
          </w:p>
        </w:tc>
        <w:tc>
          <w:tcPr>
            <w:tcW w:w="1900" w:type="dxa"/>
            <w:noWrap w:val="0"/>
            <w:vAlign w:val="center"/>
          </w:tcPr>
          <w:p w14:paraId="7407C002">
            <w:pPr>
              <w:snapToGrid w:val="0"/>
              <w:spacing w:line="240" w:lineRule="atLeast"/>
              <w:rPr>
                <w:rFonts w:hint="eastAsia" w:eastAsia="楷体_GB2312"/>
                <w:sz w:val="24"/>
              </w:rPr>
            </w:pPr>
            <w:r>
              <w:rPr>
                <w:rFonts w:hint="eastAsia" w:ascii="仿宋_GB2312" w:hAnsi="仿宋_GB2312" w:eastAsia="仿宋_GB2312" w:cs="仿宋_GB2312"/>
                <w:sz w:val="24"/>
              </w:rPr>
              <w:t>为县委理论学习中心组做好服务工作，切实抓好各乡镇、县直各单位理论学习中心组</w:t>
            </w:r>
            <w:bookmarkStart w:id="3" w:name="_GoBack"/>
            <w:bookmarkEnd w:id="3"/>
            <w:r>
              <w:rPr>
                <w:rFonts w:hint="eastAsia" w:ascii="仿宋_GB2312" w:hAnsi="仿宋_GB2312" w:eastAsia="仿宋_GB2312" w:cs="仿宋_GB2312"/>
                <w:sz w:val="24"/>
              </w:rPr>
              <w:t>学习。推进党的创新理论“六进”活动，深入开展理论宣讲活动，</w:t>
            </w:r>
            <w:r>
              <w:rPr>
                <w:rFonts w:hint="eastAsia" w:ascii="仿宋_GB2312" w:hAnsi="仿宋_GB2312" w:eastAsia="仿宋_GB2312" w:cs="仿宋_GB2312"/>
                <w:bCs/>
                <w:sz w:val="24"/>
              </w:rPr>
              <w:t>加强意识形态阵地建设和管理。</w:t>
            </w:r>
          </w:p>
        </w:tc>
        <w:tc>
          <w:tcPr>
            <w:tcW w:w="1900" w:type="dxa"/>
            <w:noWrap w:val="0"/>
            <w:vAlign w:val="center"/>
          </w:tcPr>
          <w:p w14:paraId="554AFFFD">
            <w:pPr>
              <w:snapToGrid w:val="0"/>
              <w:spacing w:line="240" w:lineRule="atLeast"/>
              <w:rPr>
                <w:rFonts w:hint="eastAsia"/>
                <w:sz w:val="24"/>
              </w:rPr>
            </w:pPr>
            <w:r>
              <w:rPr>
                <w:rFonts w:hint="eastAsia" w:ascii="仿宋_GB2312" w:hAnsi="仿宋_GB2312" w:eastAsia="仿宋_GB2312" w:cs="仿宋_GB2312"/>
                <w:sz w:val="24"/>
              </w:rPr>
              <w:t>为县委理论学习中心组做好服务工作，切实抓好各乡镇、县直各单位理论学习中心组学习。推进党的创新理论“六进”活动，深入开展理论宣讲活动，</w:t>
            </w:r>
            <w:r>
              <w:rPr>
                <w:rFonts w:hint="eastAsia" w:ascii="仿宋_GB2312" w:hAnsi="仿宋_GB2312" w:eastAsia="仿宋_GB2312" w:cs="仿宋_GB2312"/>
                <w:bCs/>
                <w:sz w:val="24"/>
              </w:rPr>
              <w:t>加强意识形态阵地建设和管理。</w:t>
            </w:r>
          </w:p>
        </w:tc>
        <w:tc>
          <w:tcPr>
            <w:tcW w:w="1900" w:type="dxa"/>
            <w:noWrap w:val="0"/>
            <w:vAlign w:val="center"/>
          </w:tcPr>
          <w:p w14:paraId="26B6BA25">
            <w:pPr>
              <w:snapToGrid w:val="0"/>
              <w:spacing w:line="240" w:lineRule="atLeast"/>
              <w:rPr>
                <w:rFonts w:hint="eastAsia"/>
                <w:sz w:val="24"/>
              </w:rPr>
            </w:pPr>
            <w:r>
              <w:rPr>
                <w:rFonts w:hint="eastAsia" w:ascii="仿宋_GB2312" w:hAnsi="仿宋_GB2312" w:eastAsia="仿宋_GB2312" w:cs="仿宋_GB2312"/>
                <w:sz w:val="24"/>
              </w:rPr>
              <w:t>为县委理论学习中心组做好服务工作，切实抓好各乡镇、县直各单位理论学习中心组学习。推进党的创新理论“六进”活动，深入开展理论宣讲活动，</w:t>
            </w:r>
            <w:r>
              <w:rPr>
                <w:rFonts w:hint="eastAsia" w:ascii="仿宋_GB2312" w:hAnsi="仿宋_GB2312" w:eastAsia="仿宋_GB2312" w:cs="仿宋_GB2312"/>
                <w:bCs/>
                <w:sz w:val="24"/>
              </w:rPr>
              <w:t>加强意识形态阵地建设和管理。</w:t>
            </w:r>
          </w:p>
        </w:tc>
        <w:tc>
          <w:tcPr>
            <w:tcW w:w="1900" w:type="dxa"/>
            <w:noWrap w:val="0"/>
            <w:vAlign w:val="center"/>
          </w:tcPr>
          <w:p w14:paraId="21D190A3">
            <w:pPr>
              <w:snapToGrid w:val="0"/>
              <w:spacing w:line="240" w:lineRule="atLeast"/>
              <w:jc w:val="center"/>
              <w:rPr>
                <w:rFonts w:hint="eastAsia"/>
                <w:sz w:val="24"/>
              </w:rPr>
            </w:pPr>
            <w:r>
              <w:rPr>
                <w:rFonts w:hint="eastAsia" w:ascii="仿宋_GB2312" w:hAnsi="仿宋_GB2312" w:eastAsia="仿宋_GB2312" w:cs="仿宋_GB2312"/>
                <w:sz w:val="24"/>
              </w:rPr>
              <w:t>正在积极推进</w:t>
            </w:r>
          </w:p>
        </w:tc>
        <w:tc>
          <w:tcPr>
            <w:tcW w:w="1288" w:type="dxa"/>
            <w:noWrap w:val="0"/>
            <w:vAlign w:val="center"/>
          </w:tcPr>
          <w:p w14:paraId="536AF0E5">
            <w:pPr>
              <w:snapToGrid w:val="0"/>
              <w:spacing w:line="240" w:lineRule="atLeast"/>
              <w:jc w:val="center"/>
              <w:rPr>
                <w:rFonts w:hint="eastAsia"/>
                <w:sz w:val="24"/>
              </w:rPr>
            </w:pPr>
          </w:p>
        </w:tc>
      </w:tr>
      <w:tr w14:paraId="2A62DE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2" w:hRule="atLeast"/>
        </w:trPr>
        <w:tc>
          <w:tcPr>
            <w:tcW w:w="1186" w:type="dxa"/>
            <w:noWrap w:val="0"/>
            <w:vAlign w:val="center"/>
          </w:tcPr>
          <w:p w14:paraId="11C2FA20">
            <w:pPr>
              <w:snapToGrid w:val="0"/>
              <w:spacing w:line="240" w:lineRule="atLeast"/>
              <w:jc w:val="center"/>
              <w:rPr>
                <w:rFonts w:hint="eastAsia"/>
                <w:sz w:val="24"/>
              </w:rPr>
            </w:pPr>
            <w:r>
              <w:rPr>
                <w:rFonts w:hint="eastAsia"/>
                <w:sz w:val="24"/>
              </w:rPr>
              <w:t>2</w:t>
            </w:r>
          </w:p>
        </w:tc>
        <w:tc>
          <w:tcPr>
            <w:tcW w:w="4144" w:type="dxa"/>
            <w:noWrap w:val="0"/>
            <w:vAlign w:val="center"/>
          </w:tcPr>
          <w:p w14:paraId="7678B14A">
            <w:pPr>
              <w:snapToGrid w:val="0"/>
              <w:spacing w:line="240" w:lineRule="atLeast"/>
              <w:rPr>
                <w:rFonts w:hint="eastAsia" w:ascii="仿宋_GB2312" w:hAnsi="仿宋_GB2312" w:eastAsia="仿宋_GB2312" w:cs="仿宋_GB2312"/>
                <w:sz w:val="24"/>
              </w:rPr>
            </w:pPr>
            <w:r>
              <w:rPr>
                <w:rFonts w:hint="eastAsia" w:ascii="仿宋_GB2312" w:hAnsi="仿宋_GB2312" w:eastAsia="仿宋_GB2312" w:cs="仿宋_GB2312"/>
                <w:sz w:val="24"/>
              </w:rPr>
              <w:t>营造建设经济强县、幸福隆尧的良好舆论氛围。</w:t>
            </w:r>
          </w:p>
          <w:p w14:paraId="516475F4">
            <w:pPr>
              <w:snapToGrid w:val="0"/>
              <w:spacing w:line="240" w:lineRule="atLeast"/>
              <w:jc w:val="center"/>
              <w:rPr>
                <w:rFonts w:hint="eastAsia"/>
                <w:sz w:val="24"/>
              </w:rPr>
            </w:pPr>
          </w:p>
        </w:tc>
        <w:tc>
          <w:tcPr>
            <w:tcW w:w="1900" w:type="dxa"/>
            <w:noWrap w:val="0"/>
            <w:vAlign w:val="center"/>
          </w:tcPr>
          <w:p w14:paraId="4A8EC8C1">
            <w:pPr>
              <w:snapToGrid w:val="0"/>
              <w:spacing w:line="240" w:lineRule="atLeast"/>
              <w:rPr>
                <w:rFonts w:hint="eastAsia"/>
                <w:sz w:val="24"/>
              </w:rPr>
            </w:pPr>
            <w:r>
              <w:rPr>
                <w:rFonts w:hint="eastAsia" w:ascii="仿宋_GB2312" w:hAnsi="仿宋_GB2312" w:eastAsia="仿宋_GB2312" w:cs="仿宋_GB2312"/>
                <w:sz w:val="24"/>
              </w:rPr>
              <w:t>全力做好对上宣传报道</w:t>
            </w:r>
            <w:r>
              <w:rPr>
                <w:rFonts w:hint="eastAsia" w:ascii="仿宋_GB2312" w:hAnsi="仿宋_GB2312" w:eastAsia="仿宋_GB2312" w:cs="仿宋_GB2312"/>
                <w:bCs/>
                <w:sz w:val="24"/>
              </w:rPr>
              <w:t>认真做好重要会议和活动的新闻报道，加快推进县融媒体中心建设</w:t>
            </w:r>
            <w:r>
              <w:rPr>
                <w:rFonts w:hint="eastAsia" w:ascii="楷体_GB2312" w:hAnsi="楷体_GB2312" w:eastAsia="楷体_GB2312" w:cs="楷体_GB2312"/>
                <w:bCs/>
                <w:sz w:val="24"/>
              </w:rPr>
              <w:t>。</w:t>
            </w:r>
          </w:p>
        </w:tc>
        <w:tc>
          <w:tcPr>
            <w:tcW w:w="1900" w:type="dxa"/>
            <w:noWrap w:val="0"/>
            <w:vAlign w:val="center"/>
          </w:tcPr>
          <w:p w14:paraId="7BBD762E">
            <w:pPr>
              <w:snapToGrid w:val="0"/>
              <w:spacing w:line="240" w:lineRule="atLeast"/>
              <w:rPr>
                <w:rFonts w:hint="eastAsia"/>
                <w:sz w:val="24"/>
              </w:rPr>
            </w:pPr>
            <w:r>
              <w:rPr>
                <w:rFonts w:hint="eastAsia" w:ascii="仿宋_GB2312" w:hAnsi="仿宋_GB2312" w:eastAsia="仿宋_GB2312" w:cs="仿宋_GB2312"/>
                <w:sz w:val="24"/>
              </w:rPr>
              <w:t>全力做好对上宣传报道</w:t>
            </w:r>
            <w:r>
              <w:rPr>
                <w:rFonts w:hint="eastAsia" w:ascii="仿宋_GB2312" w:hAnsi="仿宋_GB2312" w:eastAsia="仿宋_GB2312" w:cs="仿宋_GB2312"/>
                <w:bCs/>
                <w:sz w:val="24"/>
              </w:rPr>
              <w:t>认真做好重要会议和活动的新闻报道，加快推进县融媒体中心建设。</w:t>
            </w:r>
          </w:p>
        </w:tc>
        <w:tc>
          <w:tcPr>
            <w:tcW w:w="1900" w:type="dxa"/>
            <w:noWrap w:val="0"/>
            <w:vAlign w:val="center"/>
          </w:tcPr>
          <w:p w14:paraId="22CAC39F">
            <w:pPr>
              <w:snapToGrid w:val="0"/>
              <w:spacing w:line="240" w:lineRule="atLeast"/>
              <w:rPr>
                <w:rFonts w:hint="eastAsia"/>
                <w:sz w:val="24"/>
              </w:rPr>
            </w:pPr>
            <w:r>
              <w:rPr>
                <w:rFonts w:hint="eastAsia" w:ascii="仿宋_GB2312" w:hAnsi="仿宋_GB2312" w:eastAsia="仿宋_GB2312" w:cs="仿宋_GB2312"/>
                <w:sz w:val="24"/>
              </w:rPr>
              <w:t>全力做好对上宣传报道</w:t>
            </w:r>
            <w:r>
              <w:rPr>
                <w:rFonts w:hint="eastAsia" w:ascii="仿宋_GB2312" w:hAnsi="仿宋_GB2312" w:eastAsia="仿宋_GB2312" w:cs="仿宋_GB2312"/>
                <w:bCs/>
                <w:sz w:val="24"/>
              </w:rPr>
              <w:t>认真做好重要会议和活动的新闻报道，加快推进县融媒体中心建设。</w:t>
            </w:r>
          </w:p>
        </w:tc>
        <w:tc>
          <w:tcPr>
            <w:tcW w:w="1900" w:type="dxa"/>
            <w:noWrap w:val="0"/>
            <w:vAlign w:val="center"/>
          </w:tcPr>
          <w:p w14:paraId="724C8B17">
            <w:pPr>
              <w:snapToGrid w:val="0"/>
              <w:spacing w:line="240" w:lineRule="atLeast"/>
              <w:jc w:val="center"/>
              <w:rPr>
                <w:rFonts w:hint="eastAsia"/>
                <w:sz w:val="24"/>
              </w:rPr>
            </w:pPr>
            <w:r>
              <w:rPr>
                <w:rFonts w:hint="eastAsia" w:ascii="仿宋_GB2312" w:hAnsi="仿宋_GB2312" w:eastAsia="仿宋_GB2312" w:cs="仿宋_GB2312"/>
                <w:sz w:val="24"/>
              </w:rPr>
              <w:t>正在积极推进</w:t>
            </w:r>
          </w:p>
        </w:tc>
        <w:tc>
          <w:tcPr>
            <w:tcW w:w="1288" w:type="dxa"/>
            <w:noWrap w:val="0"/>
            <w:vAlign w:val="center"/>
          </w:tcPr>
          <w:p w14:paraId="0EBBF38B">
            <w:pPr>
              <w:snapToGrid w:val="0"/>
              <w:spacing w:line="240" w:lineRule="atLeast"/>
              <w:jc w:val="center"/>
              <w:rPr>
                <w:rFonts w:hint="eastAsia"/>
                <w:sz w:val="24"/>
              </w:rPr>
            </w:pPr>
          </w:p>
        </w:tc>
      </w:tr>
      <w:tr w14:paraId="21583A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64" w:hRule="atLeast"/>
        </w:trPr>
        <w:tc>
          <w:tcPr>
            <w:tcW w:w="1186" w:type="dxa"/>
            <w:noWrap w:val="0"/>
            <w:vAlign w:val="center"/>
          </w:tcPr>
          <w:p w14:paraId="0DD4343C">
            <w:pPr>
              <w:snapToGrid w:val="0"/>
              <w:spacing w:line="240" w:lineRule="atLeast"/>
              <w:jc w:val="center"/>
              <w:rPr>
                <w:rFonts w:hint="eastAsia"/>
                <w:sz w:val="24"/>
              </w:rPr>
            </w:pPr>
            <w:r>
              <w:rPr>
                <w:rFonts w:hint="eastAsia"/>
                <w:sz w:val="24"/>
              </w:rPr>
              <w:t>3</w:t>
            </w:r>
          </w:p>
        </w:tc>
        <w:tc>
          <w:tcPr>
            <w:tcW w:w="4144" w:type="dxa"/>
            <w:noWrap w:val="0"/>
            <w:vAlign w:val="center"/>
          </w:tcPr>
          <w:p w14:paraId="726E0F39">
            <w:pPr>
              <w:autoSpaceDE w:val="0"/>
              <w:snapToGrid w:val="0"/>
              <w:spacing w:line="240" w:lineRule="atLeast"/>
              <w:rPr>
                <w:rFonts w:hint="eastAsia" w:ascii="仿宋_GB2312" w:hAnsi="仿宋_GB2312" w:eastAsia="仿宋_GB2312" w:cs="仿宋_GB2312"/>
                <w:color w:val="000000"/>
                <w:kern w:val="0"/>
                <w:sz w:val="24"/>
              </w:rPr>
            </w:pPr>
            <w:r>
              <w:rPr>
                <w:rFonts w:hint="eastAsia" w:ascii="仿宋_GB2312" w:hAnsi="仿宋_GB2312" w:eastAsia="仿宋_GB2312" w:cs="仿宋_GB2312"/>
                <w:color w:val="000000"/>
                <w:kern w:val="0"/>
                <w:sz w:val="24"/>
              </w:rPr>
              <w:t>坚持典型引领，推动社会主义核心价值观落地生根。</w:t>
            </w:r>
          </w:p>
          <w:p w14:paraId="4E521A54">
            <w:pPr>
              <w:snapToGrid w:val="0"/>
              <w:spacing w:line="240" w:lineRule="atLeast"/>
              <w:jc w:val="center"/>
              <w:rPr>
                <w:rFonts w:hint="eastAsia"/>
                <w:sz w:val="24"/>
              </w:rPr>
            </w:pPr>
          </w:p>
        </w:tc>
        <w:tc>
          <w:tcPr>
            <w:tcW w:w="1900" w:type="dxa"/>
            <w:noWrap w:val="0"/>
            <w:vAlign w:val="center"/>
          </w:tcPr>
          <w:p w14:paraId="5B4350E3">
            <w:pPr>
              <w:snapToGrid w:val="0"/>
              <w:spacing w:line="240" w:lineRule="atLeast"/>
              <w:rPr>
                <w:rFonts w:hint="eastAsia" w:eastAsia="仿宋_GB2312"/>
                <w:sz w:val="24"/>
              </w:rPr>
            </w:pPr>
            <w:r>
              <w:rPr>
                <w:rFonts w:hint="eastAsia" w:ascii="仿宋_GB2312" w:hAnsi="仿宋_GB2312" w:eastAsia="仿宋_GB2312" w:cs="仿宋_GB2312"/>
                <w:sz w:val="24"/>
              </w:rPr>
              <w:t>强力推动乡风文明建设工作，开展“身边好人”榜样培树活动，开展文明村镇、文明单位评选活动，引导和推进志愿服动开展。</w:t>
            </w:r>
          </w:p>
        </w:tc>
        <w:tc>
          <w:tcPr>
            <w:tcW w:w="1900" w:type="dxa"/>
            <w:noWrap w:val="0"/>
            <w:vAlign w:val="center"/>
          </w:tcPr>
          <w:p w14:paraId="365019AD">
            <w:pPr>
              <w:snapToGrid w:val="0"/>
              <w:spacing w:line="240" w:lineRule="atLeast"/>
              <w:rPr>
                <w:rFonts w:hint="eastAsia" w:eastAsia="仿宋_GB2312"/>
                <w:sz w:val="24"/>
              </w:rPr>
            </w:pPr>
            <w:r>
              <w:rPr>
                <w:rFonts w:hint="eastAsia" w:ascii="仿宋_GB2312" w:hAnsi="仿宋_GB2312" w:eastAsia="仿宋_GB2312" w:cs="仿宋_GB2312"/>
                <w:sz w:val="24"/>
              </w:rPr>
              <w:t>强力推动乡风文明建设工作，开展“身边好人”榜样培树活动，开展文明村镇、文明单位评选活动，引导和推进志愿服动开展。</w:t>
            </w:r>
          </w:p>
        </w:tc>
        <w:tc>
          <w:tcPr>
            <w:tcW w:w="1900" w:type="dxa"/>
            <w:noWrap w:val="0"/>
            <w:vAlign w:val="center"/>
          </w:tcPr>
          <w:p w14:paraId="459B517A">
            <w:pPr>
              <w:snapToGrid w:val="0"/>
              <w:spacing w:line="240" w:lineRule="atLeast"/>
              <w:rPr>
                <w:rFonts w:hint="eastAsia" w:eastAsia="仿宋_GB2312"/>
                <w:sz w:val="24"/>
              </w:rPr>
            </w:pPr>
            <w:r>
              <w:rPr>
                <w:rFonts w:hint="eastAsia" w:ascii="仿宋_GB2312" w:hAnsi="仿宋_GB2312" w:eastAsia="仿宋_GB2312" w:cs="仿宋_GB2312"/>
                <w:sz w:val="24"/>
              </w:rPr>
              <w:t>强力推动乡风文明建设工作，开展“身边好人”榜样培树活动，开展文明村镇、文明单位评选活动，引导和推进志愿服动开展。</w:t>
            </w:r>
          </w:p>
        </w:tc>
        <w:tc>
          <w:tcPr>
            <w:tcW w:w="1900" w:type="dxa"/>
            <w:noWrap w:val="0"/>
            <w:vAlign w:val="center"/>
          </w:tcPr>
          <w:p w14:paraId="7D04101B">
            <w:pPr>
              <w:snapToGrid w:val="0"/>
              <w:spacing w:line="240" w:lineRule="atLeast"/>
              <w:jc w:val="center"/>
              <w:rPr>
                <w:rFonts w:hint="eastAsia"/>
                <w:sz w:val="24"/>
              </w:rPr>
            </w:pPr>
            <w:r>
              <w:rPr>
                <w:rFonts w:hint="eastAsia" w:ascii="仿宋_GB2312" w:hAnsi="仿宋_GB2312" w:eastAsia="仿宋_GB2312" w:cs="仿宋_GB2312"/>
                <w:sz w:val="24"/>
              </w:rPr>
              <w:t>正在积极推进</w:t>
            </w:r>
          </w:p>
        </w:tc>
        <w:tc>
          <w:tcPr>
            <w:tcW w:w="1288" w:type="dxa"/>
            <w:noWrap w:val="0"/>
            <w:vAlign w:val="center"/>
          </w:tcPr>
          <w:p w14:paraId="4D36D3E6">
            <w:pPr>
              <w:snapToGrid w:val="0"/>
              <w:spacing w:line="240" w:lineRule="atLeast"/>
              <w:jc w:val="center"/>
              <w:rPr>
                <w:rFonts w:hint="eastAsia"/>
                <w:sz w:val="24"/>
              </w:rPr>
            </w:pPr>
          </w:p>
        </w:tc>
      </w:tr>
      <w:tr w14:paraId="774A61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97" w:hRule="atLeast"/>
        </w:trPr>
        <w:tc>
          <w:tcPr>
            <w:tcW w:w="1186" w:type="dxa"/>
            <w:noWrap w:val="0"/>
            <w:vAlign w:val="center"/>
          </w:tcPr>
          <w:p w14:paraId="434F6A05">
            <w:pPr>
              <w:snapToGrid w:val="0"/>
              <w:spacing w:line="240" w:lineRule="atLeast"/>
              <w:jc w:val="center"/>
              <w:rPr>
                <w:rFonts w:hint="eastAsia"/>
                <w:sz w:val="24"/>
              </w:rPr>
            </w:pPr>
            <w:r>
              <w:rPr>
                <w:rFonts w:hint="eastAsia"/>
                <w:sz w:val="24"/>
              </w:rPr>
              <w:t>4</w:t>
            </w:r>
          </w:p>
        </w:tc>
        <w:tc>
          <w:tcPr>
            <w:tcW w:w="4144" w:type="dxa"/>
            <w:noWrap w:val="0"/>
            <w:vAlign w:val="center"/>
          </w:tcPr>
          <w:p w14:paraId="7BE5E9D4">
            <w:pPr>
              <w:snapToGrid w:val="0"/>
              <w:spacing w:line="240" w:lineRule="atLeast"/>
              <w:rPr>
                <w:rFonts w:hint="eastAsia"/>
                <w:sz w:val="24"/>
              </w:rPr>
            </w:pPr>
            <w:r>
              <w:rPr>
                <w:rFonts w:hint="eastAsia" w:ascii="仿宋_GB2312" w:hAnsi="仿宋_GB2312" w:eastAsia="仿宋_GB2312" w:cs="仿宋_GB2312"/>
                <w:sz w:val="24"/>
              </w:rPr>
              <w:t>坚持常态化，提升文明县城创建水平。</w:t>
            </w:r>
          </w:p>
        </w:tc>
        <w:tc>
          <w:tcPr>
            <w:tcW w:w="1900" w:type="dxa"/>
            <w:noWrap w:val="0"/>
            <w:vAlign w:val="center"/>
          </w:tcPr>
          <w:p w14:paraId="75628CFD">
            <w:pPr>
              <w:snapToGrid w:val="0"/>
              <w:spacing w:line="240" w:lineRule="atLeast"/>
              <w:rPr>
                <w:rFonts w:hint="eastAsia"/>
                <w:sz w:val="24"/>
              </w:rPr>
            </w:pPr>
            <w:r>
              <w:rPr>
                <w:rFonts w:hint="eastAsia" w:ascii="仿宋_GB2312" w:hAnsi="仿宋_GB2312" w:eastAsia="仿宋_GB2312" w:cs="仿宋_GB2312"/>
                <w:kern w:val="0"/>
                <w:sz w:val="24"/>
              </w:rPr>
              <w:t>深入开展第二届省级文明县城创建活动。</w:t>
            </w:r>
          </w:p>
        </w:tc>
        <w:tc>
          <w:tcPr>
            <w:tcW w:w="1900" w:type="dxa"/>
            <w:noWrap w:val="0"/>
            <w:vAlign w:val="center"/>
          </w:tcPr>
          <w:p w14:paraId="765E5F85">
            <w:pPr>
              <w:snapToGrid w:val="0"/>
              <w:spacing w:line="240" w:lineRule="atLeast"/>
              <w:rPr>
                <w:rFonts w:hint="eastAsia"/>
                <w:sz w:val="24"/>
              </w:rPr>
            </w:pPr>
            <w:r>
              <w:rPr>
                <w:rFonts w:hint="eastAsia" w:ascii="仿宋_GB2312" w:hAnsi="仿宋_GB2312" w:eastAsia="仿宋_GB2312" w:cs="仿宋_GB2312"/>
                <w:kern w:val="0"/>
                <w:sz w:val="24"/>
              </w:rPr>
              <w:t>深入开展第二届省级文明县城创建活动。</w:t>
            </w:r>
          </w:p>
        </w:tc>
        <w:tc>
          <w:tcPr>
            <w:tcW w:w="1900" w:type="dxa"/>
            <w:noWrap w:val="0"/>
            <w:vAlign w:val="center"/>
          </w:tcPr>
          <w:p w14:paraId="2D1429A1">
            <w:pPr>
              <w:snapToGrid w:val="0"/>
              <w:spacing w:line="240" w:lineRule="atLeast"/>
              <w:rPr>
                <w:rFonts w:hint="eastAsia"/>
                <w:sz w:val="24"/>
              </w:rPr>
            </w:pPr>
            <w:r>
              <w:rPr>
                <w:rFonts w:hint="eastAsia" w:ascii="仿宋_GB2312" w:hAnsi="仿宋_GB2312" w:eastAsia="仿宋_GB2312" w:cs="仿宋_GB2312"/>
                <w:kern w:val="0"/>
                <w:sz w:val="24"/>
              </w:rPr>
              <w:t>深入开展第二届省级文明县城创建活动。</w:t>
            </w:r>
          </w:p>
        </w:tc>
        <w:tc>
          <w:tcPr>
            <w:tcW w:w="1900" w:type="dxa"/>
            <w:noWrap w:val="0"/>
            <w:vAlign w:val="center"/>
          </w:tcPr>
          <w:p w14:paraId="49581F06">
            <w:pPr>
              <w:snapToGrid w:val="0"/>
              <w:spacing w:line="240" w:lineRule="atLeast"/>
              <w:jc w:val="center"/>
              <w:rPr>
                <w:rFonts w:hint="eastAsia"/>
                <w:sz w:val="24"/>
              </w:rPr>
            </w:pPr>
            <w:r>
              <w:rPr>
                <w:rFonts w:hint="eastAsia" w:ascii="仿宋_GB2312" w:hAnsi="仿宋_GB2312" w:eastAsia="仿宋_GB2312" w:cs="仿宋_GB2312"/>
                <w:sz w:val="24"/>
              </w:rPr>
              <w:t>正在积极推进</w:t>
            </w:r>
          </w:p>
        </w:tc>
        <w:tc>
          <w:tcPr>
            <w:tcW w:w="1288" w:type="dxa"/>
            <w:noWrap w:val="0"/>
            <w:vAlign w:val="center"/>
          </w:tcPr>
          <w:p w14:paraId="3EEF1014">
            <w:pPr>
              <w:snapToGrid w:val="0"/>
              <w:spacing w:line="240" w:lineRule="atLeast"/>
              <w:jc w:val="center"/>
              <w:rPr>
                <w:rFonts w:hint="eastAsia"/>
                <w:sz w:val="24"/>
              </w:rPr>
            </w:pPr>
          </w:p>
        </w:tc>
      </w:tr>
      <w:tr w14:paraId="42EA43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38" w:hRule="atLeast"/>
        </w:trPr>
        <w:tc>
          <w:tcPr>
            <w:tcW w:w="1186" w:type="dxa"/>
            <w:noWrap w:val="0"/>
            <w:vAlign w:val="center"/>
          </w:tcPr>
          <w:p w14:paraId="03680888">
            <w:pPr>
              <w:snapToGrid w:val="0"/>
              <w:spacing w:line="240" w:lineRule="atLeast"/>
              <w:jc w:val="center"/>
              <w:rPr>
                <w:rFonts w:hint="eastAsia"/>
                <w:sz w:val="24"/>
              </w:rPr>
            </w:pPr>
            <w:r>
              <w:rPr>
                <w:rFonts w:hint="eastAsia"/>
                <w:sz w:val="24"/>
              </w:rPr>
              <w:t>5</w:t>
            </w:r>
          </w:p>
        </w:tc>
        <w:tc>
          <w:tcPr>
            <w:tcW w:w="4144" w:type="dxa"/>
            <w:noWrap w:val="0"/>
            <w:vAlign w:val="center"/>
          </w:tcPr>
          <w:p w14:paraId="1E65DD47">
            <w:pPr>
              <w:snapToGrid w:val="0"/>
              <w:spacing w:line="240" w:lineRule="atLeast"/>
              <w:rPr>
                <w:rFonts w:hint="eastAsia"/>
                <w:sz w:val="24"/>
              </w:rPr>
            </w:pPr>
            <w:r>
              <w:rPr>
                <w:rFonts w:hint="eastAsia" w:ascii="仿宋_GB2312" w:hAnsi="仿宋_GB2312" w:eastAsia="仿宋_GB2312" w:cs="仿宋_GB2312"/>
                <w:color w:val="000000"/>
                <w:kern w:val="0"/>
                <w:sz w:val="24"/>
              </w:rPr>
              <w:t>锻造一支过硬的意识形态干部队伍。</w:t>
            </w:r>
          </w:p>
        </w:tc>
        <w:tc>
          <w:tcPr>
            <w:tcW w:w="1900" w:type="dxa"/>
            <w:noWrap w:val="0"/>
            <w:vAlign w:val="center"/>
          </w:tcPr>
          <w:p w14:paraId="2327CB83">
            <w:pPr>
              <w:snapToGrid w:val="0"/>
              <w:spacing w:line="240" w:lineRule="atLeast"/>
              <w:rPr>
                <w:rFonts w:hint="eastAsia" w:eastAsia="楷体_GB2312"/>
                <w:sz w:val="24"/>
              </w:rPr>
            </w:pPr>
            <w:r>
              <w:rPr>
                <w:rFonts w:hint="eastAsia" w:ascii="仿宋_GB2312" w:hAnsi="仿宋_GB2312" w:eastAsia="仿宋_GB2312" w:cs="仿宋_GB2312"/>
                <w:sz w:val="24"/>
              </w:rPr>
              <w:t>强化业务培训，</w:t>
            </w:r>
            <w:r>
              <w:rPr>
                <w:rFonts w:hint="eastAsia" w:ascii="仿宋_GB2312" w:hAnsi="仿宋_GB2312" w:eastAsia="仿宋_GB2312" w:cs="仿宋_GB2312"/>
                <w:kern w:val="0"/>
                <w:sz w:val="24"/>
              </w:rPr>
              <w:t>实行“三比照”对账要账落实机制，</w:t>
            </w:r>
            <w:r>
              <w:rPr>
                <w:rFonts w:hint="eastAsia" w:ascii="仿宋_GB2312" w:hAnsi="仿宋_GB2312" w:eastAsia="仿宋_GB2312" w:cs="仿宋_GB2312"/>
                <w:color w:val="000000"/>
                <w:sz w:val="24"/>
                <w:shd w:val="clear" w:color="auto" w:fill="FFFFFF"/>
              </w:rPr>
              <w:t>加强党的建设和作风建设</w:t>
            </w:r>
          </w:p>
        </w:tc>
        <w:tc>
          <w:tcPr>
            <w:tcW w:w="1900" w:type="dxa"/>
            <w:noWrap w:val="0"/>
            <w:vAlign w:val="center"/>
          </w:tcPr>
          <w:p w14:paraId="792F2345">
            <w:pPr>
              <w:snapToGrid w:val="0"/>
              <w:spacing w:line="240" w:lineRule="atLeast"/>
              <w:rPr>
                <w:rFonts w:hint="eastAsia"/>
                <w:sz w:val="24"/>
              </w:rPr>
            </w:pPr>
            <w:r>
              <w:rPr>
                <w:rFonts w:hint="eastAsia" w:ascii="仿宋_GB2312" w:hAnsi="仿宋_GB2312" w:eastAsia="仿宋_GB2312" w:cs="仿宋_GB2312"/>
                <w:sz w:val="24"/>
              </w:rPr>
              <w:t>强化业务培训，</w:t>
            </w:r>
            <w:r>
              <w:rPr>
                <w:rFonts w:hint="eastAsia" w:ascii="仿宋_GB2312" w:hAnsi="仿宋_GB2312" w:eastAsia="仿宋_GB2312" w:cs="仿宋_GB2312"/>
                <w:kern w:val="0"/>
                <w:sz w:val="24"/>
              </w:rPr>
              <w:t>实行“三比照”对账要账落实机制，</w:t>
            </w:r>
            <w:r>
              <w:rPr>
                <w:rFonts w:hint="eastAsia" w:ascii="仿宋_GB2312" w:hAnsi="仿宋_GB2312" w:eastAsia="仿宋_GB2312" w:cs="仿宋_GB2312"/>
                <w:color w:val="000000"/>
                <w:sz w:val="24"/>
                <w:shd w:val="clear" w:color="auto" w:fill="FFFFFF"/>
              </w:rPr>
              <w:t>加强党的建设和作风建设</w:t>
            </w:r>
          </w:p>
        </w:tc>
        <w:tc>
          <w:tcPr>
            <w:tcW w:w="1900" w:type="dxa"/>
            <w:noWrap w:val="0"/>
            <w:vAlign w:val="center"/>
          </w:tcPr>
          <w:p w14:paraId="770F1827">
            <w:pPr>
              <w:snapToGrid w:val="0"/>
              <w:spacing w:line="240" w:lineRule="atLeast"/>
              <w:rPr>
                <w:rFonts w:hint="eastAsia"/>
                <w:sz w:val="24"/>
              </w:rPr>
            </w:pPr>
            <w:r>
              <w:rPr>
                <w:rFonts w:hint="eastAsia" w:ascii="仿宋_GB2312" w:hAnsi="仿宋_GB2312" w:eastAsia="仿宋_GB2312" w:cs="仿宋_GB2312"/>
                <w:sz w:val="24"/>
              </w:rPr>
              <w:t>强化业务培训，</w:t>
            </w:r>
            <w:r>
              <w:rPr>
                <w:rFonts w:hint="eastAsia" w:ascii="仿宋_GB2312" w:hAnsi="仿宋_GB2312" w:eastAsia="仿宋_GB2312" w:cs="仿宋_GB2312"/>
                <w:kern w:val="0"/>
                <w:sz w:val="24"/>
              </w:rPr>
              <w:t>实行“三比照”对账要账落实机制，</w:t>
            </w:r>
            <w:r>
              <w:rPr>
                <w:rFonts w:hint="eastAsia" w:ascii="仿宋_GB2312" w:hAnsi="仿宋_GB2312" w:eastAsia="仿宋_GB2312" w:cs="仿宋_GB2312"/>
                <w:color w:val="000000"/>
                <w:sz w:val="24"/>
                <w:shd w:val="clear" w:color="auto" w:fill="FFFFFF"/>
              </w:rPr>
              <w:t>加强党的建设和作风建设</w:t>
            </w:r>
          </w:p>
        </w:tc>
        <w:tc>
          <w:tcPr>
            <w:tcW w:w="1900" w:type="dxa"/>
            <w:noWrap w:val="0"/>
            <w:vAlign w:val="center"/>
          </w:tcPr>
          <w:p w14:paraId="01C9F203">
            <w:pPr>
              <w:snapToGrid w:val="0"/>
              <w:spacing w:line="240" w:lineRule="atLeast"/>
              <w:jc w:val="center"/>
              <w:rPr>
                <w:rFonts w:hint="eastAsia"/>
                <w:sz w:val="24"/>
              </w:rPr>
            </w:pPr>
            <w:r>
              <w:rPr>
                <w:rFonts w:hint="eastAsia" w:ascii="仿宋_GB2312" w:hAnsi="仿宋_GB2312" w:eastAsia="仿宋_GB2312" w:cs="仿宋_GB2312"/>
                <w:sz w:val="24"/>
              </w:rPr>
              <w:t>正在积极推进</w:t>
            </w:r>
          </w:p>
        </w:tc>
        <w:tc>
          <w:tcPr>
            <w:tcW w:w="1288" w:type="dxa"/>
            <w:noWrap w:val="0"/>
            <w:vAlign w:val="center"/>
          </w:tcPr>
          <w:p w14:paraId="74C72110">
            <w:pPr>
              <w:snapToGrid w:val="0"/>
              <w:spacing w:line="240" w:lineRule="atLeast"/>
              <w:jc w:val="center"/>
              <w:rPr>
                <w:rFonts w:hint="eastAsia"/>
                <w:sz w:val="24"/>
              </w:rPr>
            </w:pPr>
          </w:p>
        </w:tc>
      </w:tr>
    </w:tbl>
    <w:p w14:paraId="0718AAAE">
      <w:pPr>
        <w:spacing w:line="300" w:lineRule="exact"/>
        <w:ind w:firstLine="420" w:firstLineChars="200"/>
        <w:jc w:val="left"/>
        <w:rPr>
          <w:rFonts w:cs="Times New Roman"/>
        </w:rPr>
      </w:pPr>
    </w:p>
    <w:bookmarkEnd w:id="0"/>
    <w:p w14:paraId="1D2027A9">
      <w:pPr>
        <w:autoSpaceDE w:val="0"/>
        <w:autoSpaceDN w:val="0"/>
        <w:adjustRightInd w:val="0"/>
        <w:ind w:firstLine="960" w:firstLineChars="300"/>
        <w:jc w:val="left"/>
        <w:rPr>
          <w:rFonts w:hint="eastAsia" w:ascii="黑体" w:hAnsi="黑体" w:eastAsia="黑体" w:cs="黑体"/>
          <w:sz w:val="32"/>
          <w:szCs w:val="32"/>
        </w:rPr>
      </w:pPr>
    </w:p>
    <w:p w14:paraId="295EA293">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黑体"/>
          <w:sz w:val="32"/>
          <w:szCs w:val="32"/>
        </w:rPr>
        <w:t>六、政府采购预算情况</w:t>
      </w:r>
    </w:p>
    <w:p w14:paraId="3A388E1F">
      <w:pPr>
        <w:ind w:firstLine="640" w:firstLineChars="200"/>
        <w:outlineLvl w:val="0"/>
        <w:rPr>
          <w:rFonts w:ascii="Times New Roman" w:hAnsi="Times New Roman" w:eastAsia="仿宋" w:cs="Times New Roman"/>
          <w:sz w:val="32"/>
          <w:szCs w:val="32"/>
        </w:rPr>
      </w:pPr>
      <w:bookmarkStart w:id="1" w:name="_Toc471398468"/>
      <w:r>
        <w:rPr>
          <w:rFonts w:ascii="Times New Roman" w:hAnsi="Times New Roman" w:eastAsia="仿宋" w:cs="Times New Roman"/>
          <w:sz w:val="32"/>
          <w:szCs w:val="32"/>
        </w:rPr>
        <w:t xml:space="preserve"> 202</w:t>
      </w:r>
      <w:r>
        <w:rPr>
          <w:rFonts w:hint="eastAsia" w:ascii="Times New Roman" w:hAnsi="Times New Roman" w:eastAsia="仿宋" w:cs="Times New Roman"/>
          <w:sz w:val="32"/>
          <w:szCs w:val="32"/>
          <w:lang w:val="en-US" w:eastAsia="zh-CN"/>
        </w:rPr>
        <w:t>1</w:t>
      </w:r>
      <w:r>
        <w:rPr>
          <w:rFonts w:hint="eastAsia" w:ascii="Times New Roman" w:hAnsi="Times New Roman" w:eastAsia="仿宋" w:cs="仿宋"/>
          <w:sz w:val="32"/>
          <w:szCs w:val="32"/>
        </w:rPr>
        <w:t>年，我部门安排政府采购预算</w:t>
      </w:r>
      <w:r>
        <w:rPr>
          <w:rFonts w:hint="eastAsia" w:ascii="Times New Roman" w:hAnsi="Times New Roman" w:eastAsia="仿宋" w:cs="Times New Roman"/>
          <w:sz w:val="32"/>
          <w:szCs w:val="32"/>
          <w:lang w:val="en-US" w:eastAsia="zh-CN"/>
        </w:rPr>
        <w:t>1.5</w:t>
      </w:r>
      <w:r>
        <w:rPr>
          <w:rFonts w:hint="eastAsia" w:ascii="Times New Roman" w:hAnsi="Times New Roman" w:eastAsia="仿宋" w:cs="仿宋"/>
          <w:sz w:val="32"/>
          <w:szCs w:val="32"/>
        </w:rPr>
        <w:t>万元。具体内容见下表。</w:t>
      </w:r>
      <w:bookmarkEnd w:id="1"/>
    </w:p>
    <w:p w14:paraId="1C408144">
      <w:pPr>
        <w:ind w:firstLine="640" w:firstLineChars="200"/>
        <w:jc w:val="center"/>
        <w:outlineLvl w:val="0"/>
        <w:rPr>
          <w:rFonts w:hint="eastAsia" w:ascii="方正小标宋_GBK" w:eastAsia="方正小标宋_GBK" w:cs="方正小标宋_GBK"/>
          <w:sz w:val="32"/>
          <w:szCs w:val="32"/>
        </w:rPr>
      </w:pPr>
    </w:p>
    <w:p w14:paraId="3E163772">
      <w:pPr>
        <w:ind w:firstLine="640" w:firstLineChars="200"/>
        <w:jc w:val="center"/>
        <w:outlineLvl w:val="0"/>
        <w:rPr>
          <w:rFonts w:ascii="Times New Roman" w:hAnsi="宋体" w:cs="Times New Roman"/>
          <w:sz w:val="32"/>
          <w:szCs w:val="32"/>
        </w:rPr>
      </w:pPr>
      <w:r>
        <w:rPr>
          <w:rFonts w:hint="eastAsia" w:ascii="方正小标宋_GBK" w:eastAsia="方正小标宋_GBK" w:cs="方正小标宋_GBK"/>
          <w:sz w:val="32"/>
          <w:szCs w:val="32"/>
        </w:rPr>
        <w:t>部门政府采购预算</w:t>
      </w:r>
      <w:r>
        <w:rPr>
          <w:rFonts w:ascii="方正小标宋_GBK" w:eastAsia="方正小标宋_GBK" w:cs="方正小标宋_GBK"/>
          <w:sz w:val="32"/>
          <w:szCs w:val="32"/>
        </w:rPr>
        <w:fldChar w:fldCharType="begin"/>
      </w:r>
      <w:r>
        <w:rPr>
          <w:rFonts w:ascii="方正小标宋_GBK" w:eastAsia="方正小标宋_GBK" w:cs="Times New Roman"/>
          <w:sz w:val="32"/>
          <w:szCs w:val="32"/>
        </w:rPr>
        <w:instrText xml:space="preserve">tc "</w:instrText>
      </w:r>
      <w:bookmarkStart w:id="2" w:name="_Toc28848395"/>
      <w:r>
        <w:rPr>
          <w:rFonts w:hint="eastAsia" w:ascii="方正小标宋_GBK" w:eastAsia="方正小标宋_GBK" w:cs="方正小标宋_GBK"/>
          <w:sz w:val="32"/>
          <w:szCs w:val="32"/>
        </w:rPr>
        <w:instrText xml:space="preserve">部门政府采购预算</w:instrText>
      </w:r>
      <w:bookmarkEnd w:id="2"/>
      <w:r>
        <w:rPr>
          <w:rFonts w:ascii="方正小标宋_GBK" w:eastAsia="方正小标宋_GBK" w:cs="Times New Roman"/>
          <w:sz w:val="32"/>
          <w:szCs w:val="32"/>
        </w:rPr>
        <w:instrText xml:space="preserve">" \f A \l 0</w:instrText>
      </w:r>
      <w:r>
        <w:rPr>
          <w:rFonts w:ascii="方正小标宋_GBK" w:eastAsia="方正小标宋_GBK" w:cs="方正小标宋_GBK"/>
          <w:sz w:val="32"/>
          <w:szCs w:val="32"/>
        </w:rPr>
        <w:instrText xml:space="preserve">1</w:instrText>
      </w:r>
      <w:r>
        <w:rPr>
          <w:rFonts w:ascii="方正小标宋_GBK" w:eastAsia="方正小标宋_GBK" w:cs="方正小标宋_GBK"/>
          <w:sz w:val="32"/>
          <w:szCs w:val="32"/>
        </w:rPr>
        <w:fldChar w:fldCharType="end"/>
      </w:r>
    </w:p>
    <w:tbl>
      <w:tblPr>
        <w:tblStyle w:val="7"/>
        <w:tblW w:w="1562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06"/>
        <w:gridCol w:w="1134"/>
        <w:gridCol w:w="1559"/>
        <w:gridCol w:w="1417"/>
        <w:gridCol w:w="709"/>
        <w:gridCol w:w="851"/>
        <w:gridCol w:w="992"/>
        <w:gridCol w:w="992"/>
        <w:gridCol w:w="992"/>
        <w:gridCol w:w="993"/>
        <w:gridCol w:w="1134"/>
        <w:gridCol w:w="850"/>
        <w:gridCol w:w="893"/>
      </w:tblGrid>
      <w:tr w14:paraId="2644B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768" w:type="dxa"/>
            <w:gridSpan w:val="7"/>
            <w:tcBorders>
              <w:top w:val="single" w:color="FFFFFF" w:sz="6" w:space="0"/>
              <w:left w:val="single" w:color="FFFFFF" w:sz="6" w:space="0"/>
              <w:right w:val="single" w:color="FFFFFF" w:sz="6" w:space="0"/>
            </w:tcBorders>
            <w:vAlign w:val="center"/>
          </w:tcPr>
          <w:p w14:paraId="1A5BDC1C">
            <w:pPr>
              <w:spacing w:line="300" w:lineRule="exact"/>
              <w:jc w:val="left"/>
              <w:rPr>
                <w:rFonts w:hint="eastAsia" w:ascii="方正小标宋_GBK" w:eastAsia="方正小标宋_GBK" w:cs="Times New Roman"/>
                <w:sz w:val="24"/>
                <w:szCs w:val="24"/>
                <w:lang w:eastAsia="zh-CN"/>
              </w:rPr>
            </w:pPr>
            <w:r>
              <w:rPr>
                <w:rFonts w:hint="eastAsia" w:ascii="方正小标宋_GBK" w:eastAsia="方正小标宋_GBK" w:cs="方正小标宋_GBK"/>
                <w:sz w:val="24"/>
                <w:szCs w:val="24"/>
                <w:lang w:val="en-US" w:eastAsia="zh-CN"/>
              </w:rPr>
              <w:t>211</w:t>
            </w:r>
            <w:r>
              <w:rPr>
                <w:rFonts w:hint="eastAsia" w:ascii="方正小标宋_GBK" w:eastAsia="方正小标宋_GBK" w:cs="方正小标宋_GBK"/>
                <w:sz w:val="24"/>
                <w:szCs w:val="24"/>
                <w:lang w:eastAsia="zh-CN"/>
              </w:rPr>
              <w:t>中共隆尧县委宣传部</w:t>
            </w:r>
          </w:p>
        </w:tc>
        <w:tc>
          <w:tcPr>
            <w:tcW w:w="5854" w:type="dxa"/>
            <w:gridSpan w:val="6"/>
            <w:tcBorders>
              <w:top w:val="single" w:color="FFFFFF" w:sz="6" w:space="0"/>
              <w:left w:val="single" w:color="FFFFFF" w:sz="6" w:space="0"/>
              <w:right w:val="single" w:color="FFFFFF" w:sz="6" w:space="0"/>
            </w:tcBorders>
            <w:vAlign w:val="center"/>
          </w:tcPr>
          <w:p w14:paraId="01237A2B">
            <w:pPr>
              <w:spacing w:line="300" w:lineRule="exact"/>
              <w:jc w:val="right"/>
              <w:rPr>
                <w:rFonts w:ascii="方正书宋_GBK" w:eastAsia="方正书宋_GBK" w:cs="Times New Roman"/>
                <w:sz w:val="24"/>
                <w:szCs w:val="24"/>
              </w:rPr>
            </w:pPr>
            <w:r>
              <w:rPr>
                <w:rFonts w:hint="eastAsia" w:ascii="方正书宋_GBK" w:eastAsia="方正书宋_GBK" w:cs="方正书宋_GBK"/>
                <w:sz w:val="24"/>
                <w:szCs w:val="24"/>
              </w:rPr>
              <w:t>单位：万元</w:t>
            </w:r>
          </w:p>
        </w:tc>
      </w:tr>
      <w:tr w14:paraId="642EE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4240" w:type="dxa"/>
            <w:gridSpan w:val="2"/>
            <w:vAlign w:val="center"/>
          </w:tcPr>
          <w:p w14:paraId="75E26B0C">
            <w:pPr>
              <w:spacing w:line="300" w:lineRule="exact"/>
              <w:jc w:val="center"/>
              <w:rPr>
                <w:rFonts w:ascii="方正书宋_GBK" w:eastAsia="方正书宋_GBK" w:cs="Times New Roman"/>
                <w:b/>
                <w:bCs/>
              </w:rPr>
            </w:pPr>
            <w:r>
              <w:rPr>
                <w:rFonts w:hint="eastAsia" w:ascii="方正书宋_GBK" w:eastAsia="方正书宋_GBK" w:cs="方正书宋_GBK"/>
                <w:b/>
                <w:bCs/>
              </w:rPr>
              <w:t>政府采购项目来源</w:t>
            </w:r>
          </w:p>
        </w:tc>
        <w:tc>
          <w:tcPr>
            <w:tcW w:w="1559" w:type="dxa"/>
            <w:vMerge w:val="restart"/>
            <w:vAlign w:val="center"/>
          </w:tcPr>
          <w:p w14:paraId="338EFACC">
            <w:pPr>
              <w:spacing w:line="300" w:lineRule="exact"/>
              <w:jc w:val="center"/>
              <w:rPr>
                <w:rFonts w:ascii="方正书宋_GBK" w:eastAsia="方正书宋_GBK" w:cs="Times New Roman"/>
                <w:b/>
                <w:bCs/>
              </w:rPr>
            </w:pPr>
            <w:r>
              <w:rPr>
                <w:rFonts w:hint="eastAsia" w:ascii="方正书宋_GBK" w:eastAsia="方正书宋_GBK" w:cs="方正书宋_GBK"/>
                <w:b/>
                <w:bCs/>
              </w:rPr>
              <w:t>采购物品名称</w:t>
            </w:r>
          </w:p>
        </w:tc>
        <w:tc>
          <w:tcPr>
            <w:tcW w:w="1417" w:type="dxa"/>
            <w:vMerge w:val="restart"/>
            <w:vAlign w:val="center"/>
          </w:tcPr>
          <w:p w14:paraId="14A7D5B9">
            <w:pPr>
              <w:spacing w:line="300" w:lineRule="exact"/>
              <w:jc w:val="center"/>
              <w:rPr>
                <w:rFonts w:ascii="方正书宋_GBK" w:eastAsia="方正书宋_GBK" w:cs="Times New Roman"/>
                <w:b/>
                <w:bCs/>
              </w:rPr>
            </w:pPr>
            <w:r>
              <w:rPr>
                <w:rFonts w:hint="eastAsia" w:ascii="方正书宋_GBK" w:eastAsia="方正书宋_GBK" w:cs="方正书宋_GBK"/>
                <w:b/>
                <w:bCs/>
              </w:rPr>
              <w:t>政府采购目录序号</w:t>
            </w:r>
          </w:p>
        </w:tc>
        <w:tc>
          <w:tcPr>
            <w:tcW w:w="709" w:type="dxa"/>
            <w:vMerge w:val="restart"/>
            <w:vAlign w:val="center"/>
          </w:tcPr>
          <w:p w14:paraId="1BD4FE9A">
            <w:pPr>
              <w:spacing w:line="300" w:lineRule="exact"/>
              <w:jc w:val="center"/>
              <w:rPr>
                <w:rFonts w:ascii="方正书宋_GBK" w:eastAsia="方正书宋_GBK" w:cs="Times New Roman"/>
                <w:b/>
                <w:bCs/>
              </w:rPr>
            </w:pPr>
            <w:r>
              <w:rPr>
                <w:rFonts w:hint="eastAsia" w:ascii="方正书宋_GBK" w:eastAsia="方正书宋_GBK" w:cs="方正书宋_GBK"/>
                <w:b/>
                <w:bCs/>
              </w:rPr>
              <w:t>计量</w:t>
            </w:r>
            <w:r>
              <w:rPr>
                <w:rFonts w:ascii="方正书宋_GBK" w:eastAsia="方正书宋_GBK" w:cs="方正书宋_GBK"/>
                <w:b/>
                <w:bCs/>
              </w:rPr>
              <w:t xml:space="preserve">  </w:t>
            </w:r>
            <w:r>
              <w:rPr>
                <w:rFonts w:hint="eastAsia" w:ascii="方正书宋_GBK" w:eastAsia="方正书宋_GBK" w:cs="方正书宋_GBK"/>
                <w:b/>
                <w:bCs/>
              </w:rPr>
              <w:t>单位</w:t>
            </w:r>
          </w:p>
        </w:tc>
        <w:tc>
          <w:tcPr>
            <w:tcW w:w="851" w:type="dxa"/>
            <w:vMerge w:val="restart"/>
            <w:vAlign w:val="center"/>
          </w:tcPr>
          <w:p w14:paraId="2E8EEB97">
            <w:pPr>
              <w:spacing w:line="300" w:lineRule="exact"/>
              <w:jc w:val="center"/>
              <w:rPr>
                <w:rFonts w:ascii="方正书宋_GBK" w:eastAsia="方正书宋_GBK" w:cs="Times New Roman"/>
                <w:b/>
                <w:bCs/>
              </w:rPr>
            </w:pPr>
            <w:r>
              <w:rPr>
                <w:rFonts w:hint="eastAsia" w:ascii="方正书宋_GBK" w:eastAsia="方正书宋_GBK" w:cs="方正书宋_GBK"/>
                <w:b/>
                <w:bCs/>
              </w:rPr>
              <w:t>数量</w:t>
            </w:r>
          </w:p>
        </w:tc>
        <w:tc>
          <w:tcPr>
            <w:tcW w:w="992" w:type="dxa"/>
            <w:vMerge w:val="restart"/>
            <w:vAlign w:val="center"/>
          </w:tcPr>
          <w:p w14:paraId="463C4C0B">
            <w:pPr>
              <w:spacing w:line="300" w:lineRule="exact"/>
              <w:jc w:val="center"/>
              <w:rPr>
                <w:rFonts w:ascii="方正书宋_GBK" w:eastAsia="方正书宋_GBK" w:cs="Times New Roman"/>
                <w:b/>
                <w:bCs/>
              </w:rPr>
            </w:pPr>
            <w:r>
              <w:rPr>
                <w:rFonts w:hint="eastAsia" w:ascii="方正书宋_GBK" w:eastAsia="方正书宋_GBK" w:cs="方正书宋_GBK"/>
                <w:b/>
                <w:bCs/>
              </w:rPr>
              <w:t>单价</w:t>
            </w:r>
          </w:p>
        </w:tc>
        <w:tc>
          <w:tcPr>
            <w:tcW w:w="5854" w:type="dxa"/>
            <w:gridSpan w:val="6"/>
            <w:vAlign w:val="center"/>
          </w:tcPr>
          <w:p w14:paraId="7E25266B">
            <w:pPr>
              <w:spacing w:line="300" w:lineRule="exact"/>
              <w:jc w:val="center"/>
              <w:rPr>
                <w:rFonts w:ascii="方正书宋_GBK" w:eastAsia="方正书宋_GBK" w:cs="Times New Roman"/>
                <w:b/>
                <w:bCs/>
              </w:rPr>
            </w:pPr>
            <w:r>
              <w:rPr>
                <w:rFonts w:hint="eastAsia" w:ascii="方正书宋_GBK" w:eastAsia="方正书宋_GBK" w:cs="方正书宋_GBK"/>
                <w:b/>
                <w:bCs/>
              </w:rPr>
              <w:t>政府采购金额（当年部门预算安排资金）</w:t>
            </w:r>
          </w:p>
        </w:tc>
      </w:tr>
      <w:tr w14:paraId="38685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06" w:type="dxa"/>
            <w:vAlign w:val="center"/>
          </w:tcPr>
          <w:p w14:paraId="4514CB0E">
            <w:pPr>
              <w:spacing w:line="300" w:lineRule="exact"/>
              <w:jc w:val="center"/>
              <w:rPr>
                <w:rFonts w:ascii="方正书宋_GBK" w:eastAsia="方正书宋_GBK" w:cs="Times New Roman"/>
                <w:b/>
                <w:bCs/>
              </w:rPr>
            </w:pPr>
            <w:r>
              <w:rPr>
                <w:rFonts w:hint="eastAsia" w:ascii="方正书宋_GBK" w:eastAsia="方正书宋_GBK" w:cs="方正书宋_GBK"/>
                <w:b/>
                <w:bCs/>
              </w:rPr>
              <w:t>项目名称</w:t>
            </w:r>
          </w:p>
        </w:tc>
        <w:tc>
          <w:tcPr>
            <w:tcW w:w="1134" w:type="dxa"/>
            <w:vAlign w:val="center"/>
          </w:tcPr>
          <w:p w14:paraId="4F9E6F75">
            <w:pPr>
              <w:spacing w:line="300" w:lineRule="exact"/>
              <w:jc w:val="center"/>
              <w:rPr>
                <w:rFonts w:ascii="方正书宋_GBK" w:eastAsia="方正书宋_GBK" w:cs="Times New Roman"/>
                <w:b/>
                <w:bCs/>
              </w:rPr>
            </w:pPr>
            <w:r>
              <w:rPr>
                <w:rFonts w:hint="eastAsia" w:ascii="方正书宋_GBK" w:eastAsia="方正书宋_GBK" w:cs="方正书宋_GBK"/>
                <w:b/>
                <w:bCs/>
              </w:rPr>
              <w:t>预算资金</w:t>
            </w:r>
          </w:p>
        </w:tc>
        <w:tc>
          <w:tcPr>
            <w:tcW w:w="1559" w:type="dxa"/>
            <w:vMerge w:val="continue"/>
            <w:vAlign w:val="center"/>
          </w:tcPr>
          <w:p w14:paraId="29E79413">
            <w:pPr>
              <w:spacing w:line="300" w:lineRule="exact"/>
              <w:jc w:val="left"/>
              <w:outlineLvl w:val="0"/>
              <w:rPr>
                <w:rFonts w:ascii="Times New Roman" w:eastAsia="方正仿宋_GBK" w:cs="Times New Roman"/>
                <w:sz w:val="28"/>
                <w:szCs w:val="28"/>
              </w:rPr>
            </w:pPr>
          </w:p>
        </w:tc>
        <w:tc>
          <w:tcPr>
            <w:tcW w:w="1417" w:type="dxa"/>
            <w:vMerge w:val="continue"/>
            <w:vAlign w:val="center"/>
          </w:tcPr>
          <w:p w14:paraId="388B69FD">
            <w:pPr>
              <w:spacing w:line="300" w:lineRule="exact"/>
              <w:jc w:val="left"/>
              <w:outlineLvl w:val="0"/>
              <w:rPr>
                <w:rFonts w:ascii="Times New Roman" w:eastAsia="方正仿宋_GBK" w:cs="Times New Roman"/>
                <w:sz w:val="28"/>
                <w:szCs w:val="28"/>
              </w:rPr>
            </w:pPr>
          </w:p>
        </w:tc>
        <w:tc>
          <w:tcPr>
            <w:tcW w:w="709" w:type="dxa"/>
            <w:vMerge w:val="continue"/>
            <w:vAlign w:val="center"/>
          </w:tcPr>
          <w:p w14:paraId="183374DC">
            <w:pPr>
              <w:spacing w:line="300" w:lineRule="exact"/>
              <w:jc w:val="left"/>
              <w:outlineLvl w:val="0"/>
              <w:rPr>
                <w:rFonts w:ascii="Times New Roman" w:eastAsia="方正仿宋_GBK" w:cs="Times New Roman"/>
                <w:sz w:val="28"/>
                <w:szCs w:val="28"/>
              </w:rPr>
            </w:pPr>
          </w:p>
        </w:tc>
        <w:tc>
          <w:tcPr>
            <w:tcW w:w="851" w:type="dxa"/>
            <w:vMerge w:val="continue"/>
            <w:vAlign w:val="center"/>
          </w:tcPr>
          <w:p w14:paraId="02D399EE">
            <w:pPr>
              <w:spacing w:line="300" w:lineRule="exact"/>
              <w:jc w:val="left"/>
              <w:outlineLvl w:val="0"/>
              <w:rPr>
                <w:rFonts w:ascii="Times New Roman" w:eastAsia="方正仿宋_GBK" w:cs="Times New Roman"/>
                <w:sz w:val="28"/>
                <w:szCs w:val="28"/>
              </w:rPr>
            </w:pPr>
          </w:p>
        </w:tc>
        <w:tc>
          <w:tcPr>
            <w:tcW w:w="992" w:type="dxa"/>
            <w:vMerge w:val="continue"/>
            <w:vAlign w:val="center"/>
          </w:tcPr>
          <w:p w14:paraId="33C9EAC0">
            <w:pPr>
              <w:spacing w:line="300" w:lineRule="exact"/>
              <w:jc w:val="left"/>
              <w:outlineLvl w:val="0"/>
              <w:rPr>
                <w:rFonts w:ascii="Times New Roman" w:eastAsia="方正仿宋_GBK" w:cs="Times New Roman"/>
                <w:sz w:val="28"/>
                <w:szCs w:val="28"/>
              </w:rPr>
            </w:pPr>
          </w:p>
        </w:tc>
        <w:tc>
          <w:tcPr>
            <w:tcW w:w="992" w:type="dxa"/>
            <w:vAlign w:val="center"/>
          </w:tcPr>
          <w:p w14:paraId="730B4847">
            <w:pPr>
              <w:spacing w:line="300" w:lineRule="exact"/>
              <w:jc w:val="center"/>
              <w:rPr>
                <w:rFonts w:ascii="方正书宋_GBK" w:eastAsia="方正书宋_GBK" w:cs="Times New Roman"/>
                <w:b/>
                <w:bCs/>
              </w:rPr>
            </w:pPr>
            <w:r>
              <w:rPr>
                <w:rFonts w:hint="eastAsia" w:ascii="方正书宋_GBK" w:eastAsia="方正书宋_GBK" w:cs="方正书宋_GBK"/>
                <w:b/>
                <w:bCs/>
              </w:rPr>
              <w:t>合计</w:t>
            </w:r>
          </w:p>
        </w:tc>
        <w:tc>
          <w:tcPr>
            <w:tcW w:w="992" w:type="dxa"/>
            <w:vAlign w:val="center"/>
          </w:tcPr>
          <w:p w14:paraId="4BE6F569">
            <w:pPr>
              <w:spacing w:line="300" w:lineRule="exact"/>
              <w:jc w:val="center"/>
              <w:rPr>
                <w:rFonts w:ascii="方正书宋_GBK" w:eastAsia="方正书宋_GBK" w:cs="Times New Roman"/>
                <w:b/>
                <w:bCs/>
              </w:rPr>
            </w:pPr>
            <w:r>
              <w:rPr>
                <w:rFonts w:hint="eastAsia" w:ascii="方正书宋_GBK" w:eastAsia="方正书宋_GBK" w:cs="方正书宋_GBK"/>
                <w:b/>
                <w:bCs/>
              </w:rPr>
              <w:t>一般公共预算拨款</w:t>
            </w:r>
          </w:p>
        </w:tc>
        <w:tc>
          <w:tcPr>
            <w:tcW w:w="993" w:type="dxa"/>
            <w:vAlign w:val="center"/>
          </w:tcPr>
          <w:p w14:paraId="6F64AE66">
            <w:pPr>
              <w:spacing w:line="300" w:lineRule="exact"/>
              <w:jc w:val="center"/>
              <w:rPr>
                <w:rFonts w:ascii="方正书宋_GBK" w:eastAsia="方正书宋_GBK" w:cs="Times New Roman"/>
                <w:b/>
                <w:bCs/>
              </w:rPr>
            </w:pPr>
            <w:r>
              <w:rPr>
                <w:rFonts w:hint="eastAsia" w:ascii="方正书宋_GBK" w:eastAsia="方正书宋_GBK" w:cs="方正书宋_GBK"/>
                <w:b/>
                <w:bCs/>
              </w:rPr>
              <w:t>基金预算拨款</w:t>
            </w:r>
          </w:p>
        </w:tc>
        <w:tc>
          <w:tcPr>
            <w:tcW w:w="1134" w:type="dxa"/>
            <w:vAlign w:val="center"/>
          </w:tcPr>
          <w:p w14:paraId="55E8FF55">
            <w:pPr>
              <w:spacing w:line="300" w:lineRule="exact"/>
              <w:jc w:val="center"/>
              <w:rPr>
                <w:rFonts w:ascii="方正书宋_GBK" w:eastAsia="方正书宋_GBK" w:cs="Times New Roman"/>
                <w:b/>
                <w:bCs/>
              </w:rPr>
            </w:pPr>
            <w:r>
              <w:rPr>
                <w:rFonts w:hint="eastAsia" w:ascii="方正书宋_GBK" w:eastAsia="方正书宋_GBK" w:cs="方正书宋_GBK"/>
                <w:b/>
                <w:bCs/>
              </w:rPr>
              <w:t>国有资本经营预算拨款</w:t>
            </w:r>
          </w:p>
        </w:tc>
        <w:tc>
          <w:tcPr>
            <w:tcW w:w="850" w:type="dxa"/>
            <w:vAlign w:val="center"/>
          </w:tcPr>
          <w:p w14:paraId="6DC2CB30">
            <w:pPr>
              <w:spacing w:line="300" w:lineRule="exact"/>
              <w:jc w:val="center"/>
              <w:rPr>
                <w:rFonts w:ascii="方正书宋_GBK" w:eastAsia="方正书宋_GBK" w:cs="Times New Roman"/>
                <w:b/>
                <w:bCs/>
              </w:rPr>
            </w:pPr>
            <w:r>
              <w:rPr>
                <w:rFonts w:hint="eastAsia" w:ascii="方正书宋_GBK" w:eastAsia="方正书宋_GBK" w:cs="方正书宋_GBK"/>
                <w:b/>
                <w:bCs/>
              </w:rPr>
              <w:t>财政专户核拨</w:t>
            </w:r>
          </w:p>
        </w:tc>
        <w:tc>
          <w:tcPr>
            <w:tcW w:w="893" w:type="dxa"/>
            <w:vAlign w:val="center"/>
          </w:tcPr>
          <w:p w14:paraId="0FAF5AA1">
            <w:pPr>
              <w:spacing w:line="300" w:lineRule="exact"/>
              <w:jc w:val="center"/>
              <w:rPr>
                <w:rFonts w:ascii="方正书宋_GBK" w:eastAsia="方正书宋_GBK" w:cs="Times New Roman"/>
                <w:b/>
                <w:bCs/>
              </w:rPr>
            </w:pPr>
            <w:r>
              <w:rPr>
                <w:rFonts w:hint="eastAsia" w:ascii="方正书宋_GBK" w:eastAsia="方正书宋_GBK" w:cs="方正书宋_GBK"/>
                <w:b/>
                <w:bCs/>
              </w:rPr>
              <w:t>其他来源收入</w:t>
            </w:r>
          </w:p>
        </w:tc>
      </w:tr>
      <w:tr w14:paraId="57611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22BC96FC">
            <w:pPr>
              <w:spacing w:line="300" w:lineRule="exact"/>
              <w:jc w:val="center"/>
              <w:rPr>
                <w:rFonts w:ascii="方正书宋_GBK" w:eastAsia="方正书宋_GBK" w:cs="Times New Roman"/>
                <w:b/>
                <w:bCs/>
              </w:rPr>
            </w:pPr>
            <w:r>
              <w:rPr>
                <w:rFonts w:hint="eastAsia" w:ascii="方正书宋_GBK" w:eastAsia="方正书宋_GBK" w:cs="方正书宋_GBK"/>
                <w:b/>
                <w:bCs/>
              </w:rPr>
              <w:t>合　计</w:t>
            </w:r>
          </w:p>
        </w:tc>
        <w:tc>
          <w:tcPr>
            <w:tcW w:w="1134" w:type="dxa"/>
            <w:vAlign w:val="center"/>
          </w:tcPr>
          <w:p w14:paraId="4F7E5C9D">
            <w:pPr>
              <w:spacing w:line="300" w:lineRule="exact"/>
              <w:jc w:val="right"/>
              <w:rPr>
                <w:rFonts w:ascii="方正书宋_GBK" w:eastAsia="方正书宋_GBK" w:cs="Times New Roman"/>
                <w:b/>
                <w:bCs/>
              </w:rPr>
            </w:pPr>
          </w:p>
        </w:tc>
        <w:tc>
          <w:tcPr>
            <w:tcW w:w="1559" w:type="dxa"/>
            <w:vAlign w:val="center"/>
          </w:tcPr>
          <w:p w14:paraId="46C7176B">
            <w:pPr>
              <w:spacing w:line="300" w:lineRule="exact"/>
              <w:jc w:val="left"/>
              <w:rPr>
                <w:rFonts w:ascii="方正书宋_GBK" w:eastAsia="方正书宋_GBK" w:cs="Times New Roman"/>
                <w:b/>
                <w:bCs/>
              </w:rPr>
            </w:pPr>
          </w:p>
        </w:tc>
        <w:tc>
          <w:tcPr>
            <w:tcW w:w="1417" w:type="dxa"/>
            <w:vAlign w:val="center"/>
          </w:tcPr>
          <w:p w14:paraId="5309F910">
            <w:pPr>
              <w:spacing w:line="300" w:lineRule="exact"/>
              <w:jc w:val="left"/>
              <w:rPr>
                <w:rFonts w:ascii="方正书宋_GBK" w:eastAsia="方正书宋_GBK" w:cs="Times New Roman"/>
                <w:b/>
                <w:bCs/>
              </w:rPr>
            </w:pPr>
          </w:p>
        </w:tc>
        <w:tc>
          <w:tcPr>
            <w:tcW w:w="709" w:type="dxa"/>
            <w:vAlign w:val="center"/>
          </w:tcPr>
          <w:p w14:paraId="078B687C">
            <w:pPr>
              <w:spacing w:line="300" w:lineRule="exact"/>
              <w:jc w:val="left"/>
              <w:rPr>
                <w:rFonts w:ascii="方正书宋_GBK" w:eastAsia="方正书宋_GBK" w:cs="Times New Roman"/>
                <w:b/>
                <w:bCs/>
              </w:rPr>
            </w:pPr>
          </w:p>
        </w:tc>
        <w:tc>
          <w:tcPr>
            <w:tcW w:w="851" w:type="dxa"/>
            <w:vAlign w:val="center"/>
          </w:tcPr>
          <w:p w14:paraId="79AF0138">
            <w:pPr>
              <w:spacing w:line="300" w:lineRule="exact"/>
              <w:jc w:val="right"/>
              <w:rPr>
                <w:rFonts w:ascii="方正书宋_GBK" w:eastAsia="方正书宋_GBK" w:cs="Times New Roman"/>
                <w:b/>
                <w:bCs/>
              </w:rPr>
            </w:pPr>
          </w:p>
        </w:tc>
        <w:tc>
          <w:tcPr>
            <w:tcW w:w="992" w:type="dxa"/>
            <w:vAlign w:val="center"/>
          </w:tcPr>
          <w:p w14:paraId="5AE303D4">
            <w:pPr>
              <w:spacing w:line="300" w:lineRule="exact"/>
              <w:jc w:val="right"/>
              <w:rPr>
                <w:rFonts w:ascii="方正书宋_GBK" w:eastAsia="方正书宋_GBK" w:cs="Times New Roman"/>
                <w:b/>
                <w:bCs/>
              </w:rPr>
            </w:pPr>
          </w:p>
        </w:tc>
        <w:tc>
          <w:tcPr>
            <w:tcW w:w="992" w:type="dxa"/>
            <w:vAlign w:val="center"/>
          </w:tcPr>
          <w:p w14:paraId="2F8A3C0F">
            <w:pPr>
              <w:adjustRightInd w:val="0"/>
              <w:snapToGrid w:val="0"/>
              <w:jc w:val="right"/>
              <w:rPr>
                <w:rFonts w:hint="default" w:ascii="方正书宋_GBK" w:hAnsi="宋体" w:eastAsia="方正书宋_GBK" w:cs="Times New Roman"/>
                <w:b/>
                <w:bCs/>
                <w:color w:val="000000"/>
                <w:lang w:val="en-US" w:eastAsia="zh-CN"/>
              </w:rPr>
            </w:pPr>
            <w:r>
              <w:rPr>
                <w:rFonts w:hint="eastAsia" w:ascii="方正书宋_GBK" w:eastAsia="方正书宋_GBK" w:cs="方正书宋_GBK"/>
                <w:b/>
                <w:bCs/>
                <w:color w:val="000000"/>
                <w:lang w:val="en-US" w:eastAsia="zh-CN"/>
              </w:rPr>
              <w:t>1.5</w:t>
            </w:r>
          </w:p>
        </w:tc>
        <w:tc>
          <w:tcPr>
            <w:tcW w:w="992" w:type="dxa"/>
            <w:vAlign w:val="center"/>
          </w:tcPr>
          <w:p w14:paraId="05A68CD6">
            <w:pPr>
              <w:adjustRightInd w:val="0"/>
              <w:snapToGrid w:val="0"/>
              <w:jc w:val="right"/>
              <w:rPr>
                <w:rFonts w:hint="default" w:ascii="方正书宋_GBK" w:hAnsi="宋体" w:eastAsia="方正书宋_GBK" w:cs="Times New Roman"/>
                <w:b/>
                <w:bCs/>
                <w:color w:val="000000"/>
                <w:lang w:val="en-US" w:eastAsia="zh-CN"/>
              </w:rPr>
            </w:pPr>
            <w:r>
              <w:rPr>
                <w:rFonts w:hint="eastAsia" w:ascii="方正书宋_GBK" w:eastAsia="方正书宋_GBK" w:cs="方正书宋_GBK"/>
                <w:b/>
                <w:bCs/>
                <w:color w:val="000000"/>
                <w:lang w:val="en-US" w:eastAsia="zh-CN"/>
              </w:rPr>
              <w:t>1.5</w:t>
            </w:r>
          </w:p>
        </w:tc>
        <w:tc>
          <w:tcPr>
            <w:tcW w:w="993" w:type="dxa"/>
            <w:vAlign w:val="center"/>
          </w:tcPr>
          <w:p w14:paraId="23F94C67">
            <w:pPr>
              <w:spacing w:line="300" w:lineRule="exact"/>
              <w:jc w:val="right"/>
              <w:rPr>
                <w:rFonts w:ascii="方正书宋_GBK" w:eastAsia="方正书宋_GBK" w:cs="Times New Roman"/>
                <w:b/>
                <w:bCs/>
              </w:rPr>
            </w:pPr>
          </w:p>
        </w:tc>
        <w:tc>
          <w:tcPr>
            <w:tcW w:w="1134" w:type="dxa"/>
            <w:vAlign w:val="center"/>
          </w:tcPr>
          <w:p w14:paraId="53109381">
            <w:pPr>
              <w:spacing w:line="300" w:lineRule="exact"/>
              <w:jc w:val="right"/>
              <w:rPr>
                <w:rFonts w:ascii="方正书宋_GBK" w:eastAsia="方正书宋_GBK" w:cs="Times New Roman"/>
                <w:b/>
                <w:bCs/>
              </w:rPr>
            </w:pPr>
          </w:p>
        </w:tc>
        <w:tc>
          <w:tcPr>
            <w:tcW w:w="850" w:type="dxa"/>
            <w:vAlign w:val="center"/>
          </w:tcPr>
          <w:p w14:paraId="457309F9">
            <w:pPr>
              <w:spacing w:line="300" w:lineRule="exact"/>
              <w:jc w:val="right"/>
              <w:rPr>
                <w:rFonts w:ascii="方正书宋_GBK" w:eastAsia="方正书宋_GBK" w:cs="Times New Roman"/>
                <w:b/>
                <w:bCs/>
              </w:rPr>
            </w:pPr>
          </w:p>
        </w:tc>
        <w:tc>
          <w:tcPr>
            <w:tcW w:w="893" w:type="dxa"/>
            <w:vAlign w:val="center"/>
          </w:tcPr>
          <w:p w14:paraId="26F8F167">
            <w:pPr>
              <w:spacing w:line="300" w:lineRule="exact"/>
              <w:jc w:val="right"/>
              <w:rPr>
                <w:rFonts w:ascii="方正书宋_GBK" w:eastAsia="方正书宋_GBK" w:cs="Times New Roman"/>
                <w:b/>
                <w:bCs/>
              </w:rPr>
            </w:pPr>
          </w:p>
        </w:tc>
      </w:tr>
      <w:tr w14:paraId="20BCD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1C7D4FDE">
            <w:pPr>
              <w:spacing w:line="300" w:lineRule="exact"/>
              <w:jc w:val="center"/>
              <w:rPr>
                <w:rFonts w:hint="eastAsia" w:ascii="方正书宋_GBK" w:eastAsia="方正书宋_GBK" w:cs="Times New Roman"/>
                <w:b/>
                <w:bCs/>
                <w:lang w:eastAsia="zh-CN"/>
              </w:rPr>
            </w:pPr>
            <w:r>
              <w:rPr>
                <w:rFonts w:hint="eastAsia" w:ascii="方正书宋_GBK" w:eastAsia="方正书宋_GBK" w:cs="Times New Roman"/>
                <w:b/>
                <w:bCs/>
                <w:lang w:eastAsia="zh-CN"/>
              </w:rPr>
              <w:t>省级文明县城创建经费</w:t>
            </w:r>
          </w:p>
        </w:tc>
        <w:tc>
          <w:tcPr>
            <w:tcW w:w="1134" w:type="dxa"/>
            <w:vAlign w:val="center"/>
          </w:tcPr>
          <w:p w14:paraId="36EBA47F">
            <w:pPr>
              <w:spacing w:line="300" w:lineRule="exact"/>
              <w:jc w:val="right"/>
              <w:rPr>
                <w:rFonts w:hint="default" w:ascii="方正书宋_GBK" w:eastAsia="方正书宋_GBK" w:cs="Times New Roman"/>
                <w:b/>
                <w:bCs/>
                <w:lang w:val="en-US" w:eastAsia="zh-CN"/>
              </w:rPr>
            </w:pPr>
            <w:r>
              <w:rPr>
                <w:rFonts w:hint="eastAsia" w:ascii="方正书宋_GBK" w:eastAsia="方正书宋_GBK" w:cs="Times New Roman"/>
                <w:b/>
                <w:bCs/>
                <w:lang w:val="en-US" w:eastAsia="zh-CN"/>
              </w:rPr>
              <w:t>15000</w:t>
            </w:r>
          </w:p>
        </w:tc>
        <w:tc>
          <w:tcPr>
            <w:tcW w:w="1559" w:type="dxa"/>
            <w:vAlign w:val="center"/>
          </w:tcPr>
          <w:p w14:paraId="7CD2EBE7">
            <w:pPr>
              <w:spacing w:line="300" w:lineRule="exact"/>
              <w:ind w:firstLine="538" w:firstLineChars="0"/>
              <w:jc w:val="left"/>
              <w:rPr>
                <w:rFonts w:ascii="方正书宋_GBK" w:eastAsia="方正书宋_GBK" w:cs="Times New Roman"/>
                <w:b/>
                <w:bCs/>
              </w:rPr>
            </w:pPr>
            <w:r>
              <w:rPr>
                <w:rFonts w:hint="eastAsia" w:ascii="方正书宋_GBK" w:eastAsia="方正书宋_GBK" w:cs="Times New Roman"/>
                <w:b/>
                <w:bCs/>
                <w:lang w:eastAsia="zh-CN"/>
              </w:rPr>
              <w:t>佳能相机广角摄像头</w:t>
            </w:r>
          </w:p>
        </w:tc>
        <w:tc>
          <w:tcPr>
            <w:tcW w:w="1417" w:type="dxa"/>
            <w:vAlign w:val="center"/>
          </w:tcPr>
          <w:p w14:paraId="23B065B2">
            <w:pPr>
              <w:spacing w:line="300" w:lineRule="exact"/>
              <w:jc w:val="left"/>
              <w:rPr>
                <w:rFonts w:ascii="方正书宋_GBK" w:eastAsia="方正书宋_GBK" w:cs="Times New Roman"/>
                <w:b/>
                <w:bCs/>
              </w:rPr>
            </w:pPr>
          </w:p>
        </w:tc>
        <w:tc>
          <w:tcPr>
            <w:tcW w:w="709" w:type="dxa"/>
            <w:vAlign w:val="center"/>
          </w:tcPr>
          <w:p w14:paraId="70A46CF7">
            <w:pPr>
              <w:spacing w:line="300" w:lineRule="exact"/>
              <w:jc w:val="left"/>
              <w:rPr>
                <w:rFonts w:hint="eastAsia" w:ascii="方正书宋_GBK" w:eastAsia="方正书宋_GBK" w:cs="Times New Roman"/>
                <w:b/>
                <w:bCs/>
                <w:lang w:eastAsia="zh-CN"/>
              </w:rPr>
            </w:pPr>
            <w:r>
              <w:rPr>
                <w:rFonts w:hint="eastAsia" w:ascii="方正书宋_GBK" w:eastAsia="方正书宋_GBK" w:cs="Times New Roman"/>
                <w:b/>
                <w:bCs/>
                <w:lang w:eastAsia="zh-CN"/>
              </w:rPr>
              <w:t>套</w:t>
            </w:r>
          </w:p>
        </w:tc>
        <w:tc>
          <w:tcPr>
            <w:tcW w:w="851" w:type="dxa"/>
            <w:vAlign w:val="center"/>
          </w:tcPr>
          <w:p w14:paraId="75AF5EE3">
            <w:pPr>
              <w:spacing w:line="300" w:lineRule="exact"/>
              <w:jc w:val="right"/>
              <w:rPr>
                <w:rFonts w:hint="eastAsia" w:ascii="方正书宋_GBK" w:eastAsia="方正书宋_GBK" w:cs="Times New Roman"/>
                <w:b/>
                <w:bCs/>
                <w:lang w:val="en-US" w:eastAsia="zh-CN"/>
              </w:rPr>
            </w:pPr>
            <w:r>
              <w:rPr>
                <w:rFonts w:hint="eastAsia" w:ascii="方正书宋_GBK" w:eastAsia="方正书宋_GBK" w:cs="Times New Roman"/>
                <w:b/>
                <w:bCs/>
                <w:lang w:val="en-US" w:eastAsia="zh-CN"/>
              </w:rPr>
              <w:t>1</w:t>
            </w:r>
          </w:p>
        </w:tc>
        <w:tc>
          <w:tcPr>
            <w:tcW w:w="992" w:type="dxa"/>
            <w:vAlign w:val="center"/>
          </w:tcPr>
          <w:p w14:paraId="5FA6BA70">
            <w:pPr>
              <w:spacing w:line="300" w:lineRule="exact"/>
              <w:jc w:val="right"/>
              <w:rPr>
                <w:rFonts w:hint="default" w:ascii="方正书宋_GBK" w:eastAsia="方正书宋_GBK" w:cs="Times New Roman"/>
                <w:b/>
                <w:bCs/>
                <w:lang w:val="en-US" w:eastAsia="zh-CN"/>
              </w:rPr>
            </w:pPr>
            <w:r>
              <w:rPr>
                <w:rFonts w:hint="eastAsia" w:ascii="方正书宋_GBK" w:eastAsia="方正书宋_GBK" w:cs="Times New Roman"/>
                <w:b/>
                <w:bCs/>
                <w:lang w:val="en-US" w:eastAsia="zh-CN"/>
              </w:rPr>
              <w:t>1.5</w:t>
            </w:r>
          </w:p>
        </w:tc>
        <w:tc>
          <w:tcPr>
            <w:tcW w:w="992" w:type="dxa"/>
            <w:vAlign w:val="center"/>
          </w:tcPr>
          <w:p w14:paraId="4D7EA313">
            <w:pPr>
              <w:adjustRightInd w:val="0"/>
              <w:snapToGrid w:val="0"/>
              <w:jc w:val="right"/>
              <w:rPr>
                <w:rFonts w:hint="default" w:ascii="方正书宋_GBK" w:hAnsi="宋体" w:eastAsia="方正书宋_GBK" w:cs="Times New Roman"/>
                <w:b/>
                <w:bCs/>
                <w:color w:val="000000"/>
                <w:lang w:val="en-US" w:eastAsia="zh-CN"/>
              </w:rPr>
            </w:pPr>
            <w:r>
              <w:rPr>
                <w:rFonts w:hint="eastAsia" w:ascii="方正书宋_GBK" w:hAnsi="宋体" w:eastAsia="方正书宋_GBK" w:cs="Times New Roman"/>
                <w:b/>
                <w:bCs/>
                <w:color w:val="000000"/>
                <w:lang w:val="en-US" w:eastAsia="zh-CN"/>
              </w:rPr>
              <w:t>1.5</w:t>
            </w:r>
          </w:p>
        </w:tc>
        <w:tc>
          <w:tcPr>
            <w:tcW w:w="992" w:type="dxa"/>
            <w:vAlign w:val="center"/>
          </w:tcPr>
          <w:p w14:paraId="70DE74FA">
            <w:pPr>
              <w:adjustRightInd w:val="0"/>
              <w:snapToGrid w:val="0"/>
              <w:jc w:val="right"/>
              <w:rPr>
                <w:rFonts w:hint="default" w:ascii="方正书宋_GBK" w:hAnsi="宋体" w:eastAsia="方正书宋_GBK" w:cs="Times New Roman"/>
                <w:b/>
                <w:bCs/>
                <w:color w:val="000000"/>
                <w:lang w:val="en-US" w:eastAsia="zh-CN"/>
              </w:rPr>
            </w:pPr>
            <w:r>
              <w:rPr>
                <w:rFonts w:hint="eastAsia" w:ascii="方正书宋_GBK" w:hAnsi="宋体" w:eastAsia="方正书宋_GBK" w:cs="Times New Roman"/>
                <w:b/>
                <w:bCs/>
                <w:color w:val="000000"/>
                <w:lang w:val="en-US" w:eastAsia="zh-CN"/>
              </w:rPr>
              <w:t>1.5</w:t>
            </w:r>
          </w:p>
        </w:tc>
        <w:tc>
          <w:tcPr>
            <w:tcW w:w="993" w:type="dxa"/>
            <w:vAlign w:val="center"/>
          </w:tcPr>
          <w:p w14:paraId="0BF3CFBD">
            <w:pPr>
              <w:spacing w:line="300" w:lineRule="exact"/>
              <w:jc w:val="right"/>
              <w:rPr>
                <w:rFonts w:ascii="方正书宋_GBK" w:eastAsia="方正书宋_GBK" w:cs="Times New Roman"/>
                <w:b/>
                <w:bCs/>
              </w:rPr>
            </w:pPr>
          </w:p>
        </w:tc>
        <w:tc>
          <w:tcPr>
            <w:tcW w:w="1134" w:type="dxa"/>
            <w:vAlign w:val="center"/>
          </w:tcPr>
          <w:p w14:paraId="34EF145F">
            <w:pPr>
              <w:spacing w:line="300" w:lineRule="exact"/>
              <w:jc w:val="right"/>
              <w:rPr>
                <w:rFonts w:ascii="方正书宋_GBK" w:eastAsia="方正书宋_GBK" w:cs="Times New Roman"/>
                <w:b/>
                <w:bCs/>
              </w:rPr>
            </w:pPr>
          </w:p>
        </w:tc>
        <w:tc>
          <w:tcPr>
            <w:tcW w:w="850" w:type="dxa"/>
            <w:vAlign w:val="center"/>
          </w:tcPr>
          <w:p w14:paraId="07414D01">
            <w:pPr>
              <w:spacing w:line="300" w:lineRule="exact"/>
              <w:jc w:val="right"/>
              <w:rPr>
                <w:rFonts w:ascii="方正书宋_GBK" w:eastAsia="方正书宋_GBK" w:cs="Times New Roman"/>
                <w:b/>
                <w:bCs/>
              </w:rPr>
            </w:pPr>
          </w:p>
        </w:tc>
        <w:tc>
          <w:tcPr>
            <w:tcW w:w="893" w:type="dxa"/>
            <w:vAlign w:val="center"/>
          </w:tcPr>
          <w:p w14:paraId="2357D40B">
            <w:pPr>
              <w:spacing w:line="300" w:lineRule="exact"/>
              <w:jc w:val="right"/>
              <w:rPr>
                <w:rFonts w:ascii="方正书宋_GBK" w:eastAsia="方正书宋_GBK" w:cs="Times New Roman"/>
                <w:b/>
                <w:bCs/>
              </w:rPr>
            </w:pPr>
          </w:p>
        </w:tc>
      </w:tr>
      <w:tr w14:paraId="13E14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4320109C">
            <w:pPr>
              <w:spacing w:line="300" w:lineRule="exact"/>
              <w:jc w:val="left"/>
              <w:rPr>
                <w:rFonts w:hint="eastAsia" w:ascii="方正书宋_GBK" w:eastAsia="方正书宋_GBK" w:cs="Times New Roman"/>
                <w:lang w:eastAsia="zh-CN"/>
              </w:rPr>
            </w:pPr>
          </w:p>
        </w:tc>
        <w:tc>
          <w:tcPr>
            <w:tcW w:w="1134" w:type="dxa"/>
            <w:vAlign w:val="center"/>
          </w:tcPr>
          <w:p w14:paraId="25244697">
            <w:pPr>
              <w:spacing w:line="300" w:lineRule="exact"/>
              <w:jc w:val="right"/>
              <w:rPr>
                <w:rFonts w:ascii="方正书宋_GBK" w:eastAsia="方正书宋_GBK" w:cs="方正书宋_GBK"/>
              </w:rPr>
            </w:pPr>
          </w:p>
        </w:tc>
        <w:tc>
          <w:tcPr>
            <w:tcW w:w="1559" w:type="dxa"/>
            <w:vAlign w:val="center"/>
          </w:tcPr>
          <w:p w14:paraId="071E8389">
            <w:pPr>
              <w:spacing w:line="300" w:lineRule="exact"/>
              <w:jc w:val="left"/>
              <w:rPr>
                <w:rFonts w:ascii="方正书宋_GBK" w:eastAsia="方正书宋_GBK" w:cs="Times New Roman"/>
              </w:rPr>
            </w:pPr>
          </w:p>
        </w:tc>
        <w:tc>
          <w:tcPr>
            <w:tcW w:w="1417" w:type="dxa"/>
            <w:vAlign w:val="center"/>
          </w:tcPr>
          <w:p w14:paraId="49277FCA">
            <w:pPr>
              <w:spacing w:line="300" w:lineRule="exact"/>
              <w:jc w:val="left"/>
              <w:rPr>
                <w:rFonts w:ascii="方正书宋_GBK" w:eastAsia="方正书宋_GBK" w:cs="方正书宋_GBK"/>
              </w:rPr>
            </w:pPr>
          </w:p>
        </w:tc>
        <w:tc>
          <w:tcPr>
            <w:tcW w:w="709" w:type="dxa"/>
            <w:vAlign w:val="center"/>
          </w:tcPr>
          <w:p w14:paraId="6C4DC865">
            <w:pPr>
              <w:spacing w:line="300" w:lineRule="exact"/>
              <w:jc w:val="left"/>
              <w:rPr>
                <w:rFonts w:ascii="方正书宋_GBK" w:eastAsia="方正书宋_GBK" w:cs="Times New Roman"/>
              </w:rPr>
            </w:pPr>
          </w:p>
        </w:tc>
        <w:tc>
          <w:tcPr>
            <w:tcW w:w="851" w:type="dxa"/>
            <w:vAlign w:val="center"/>
          </w:tcPr>
          <w:p w14:paraId="2E6DCE16">
            <w:pPr>
              <w:spacing w:line="300" w:lineRule="exact"/>
              <w:jc w:val="right"/>
              <w:rPr>
                <w:rFonts w:ascii="方正书宋_GBK" w:eastAsia="方正书宋_GBK" w:cs="方正书宋_GBK"/>
              </w:rPr>
            </w:pPr>
          </w:p>
        </w:tc>
        <w:tc>
          <w:tcPr>
            <w:tcW w:w="992" w:type="dxa"/>
            <w:vAlign w:val="center"/>
          </w:tcPr>
          <w:p w14:paraId="61F81B4D">
            <w:pPr>
              <w:spacing w:line="300" w:lineRule="exact"/>
              <w:jc w:val="right"/>
              <w:rPr>
                <w:rFonts w:ascii="方正书宋_GBK" w:eastAsia="方正书宋_GBK" w:cs="方正书宋_GBK"/>
              </w:rPr>
            </w:pPr>
          </w:p>
        </w:tc>
        <w:tc>
          <w:tcPr>
            <w:tcW w:w="992" w:type="dxa"/>
            <w:vAlign w:val="center"/>
          </w:tcPr>
          <w:p w14:paraId="61344EEE">
            <w:pPr>
              <w:spacing w:line="300" w:lineRule="exact"/>
              <w:jc w:val="right"/>
              <w:rPr>
                <w:rFonts w:ascii="方正书宋_GBK" w:eastAsia="方正书宋_GBK" w:cs="方正书宋_GBK"/>
              </w:rPr>
            </w:pPr>
          </w:p>
        </w:tc>
        <w:tc>
          <w:tcPr>
            <w:tcW w:w="992" w:type="dxa"/>
            <w:vAlign w:val="center"/>
          </w:tcPr>
          <w:p w14:paraId="73F6A475">
            <w:pPr>
              <w:spacing w:line="300" w:lineRule="exact"/>
              <w:jc w:val="right"/>
              <w:rPr>
                <w:rFonts w:ascii="方正书宋_GBK" w:eastAsia="方正书宋_GBK" w:cs="方正书宋_GBK"/>
              </w:rPr>
            </w:pPr>
          </w:p>
        </w:tc>
        <w:tc>
          <w:tcPr>
            <w:tcW w:w="993" w:type="dxa"/>
            <w:vAlign w:val="center"/>
          </w:tcPr>
          <w:p w14:paraId="0550DABF">
            <w:pPr>
              <w:spacing w:line="300" w:lineRule="exact"/>
              <w:jc w:val="right"/>
              <w:rPr>
                <w:rFonts w:ascii="方正书宋_GBK" w:eastAsia="方正书宋_GBK" w:cs="方正书宋_GBK"/>
              </w:rPr>
            </w:pPr>
          </w:p>
        </w:tc>
        <w:tc>
          <w:tcPr>
            <w:tcW w:w="1134" w:type="dxa"/>
            <w:vAlign w:val="center"/>
          </w:tcPr>
          <w:p w14:paraId="555D37A7">
            <w:pPr>
              <w:spacing w:line="300" w:lineRule="exact"/>
              <w:jc w:val="right"/>
              <w:rPr>
                <w:rFonts w:ascii="方正书宋_GBK" w:eastAsia="方正书宋_GBK" w:cs="方正书宋_GBK"/>
              </w:rPr>
            </w:pPr>
          </w:p>
        </w:tc>
        <w:tc>
          <w:tcPr>
            <w:tcW w:w="850" w:type="dxa"/>
            <w:vAlign w:val="center"/>
          </w:tcPr>
          <w:p w14:paraId="6DF83669">
            <w:pPr>
              <w:spacing w:line="300" w:lineRule="exact"/>
              <w:jc w:val="right"/>
              <w:rPr>
                <w:rFonts w:ascii="方正书宋_GBK" w:eastAsia="方正书宋_GBK" w:cs="方正书宋_GBK"/>
              </w:rPr>
            </w:pPr>
          </w:p>
        </w:tc>
        <w:tc>
          <w:tcPr>
            <w:tcW w:w="893" w:type="dxa"/>
            <w:vAlign w:val="center"/>
          </w:tcPr>
          <w:p w14:paraId="0CD0D68F">
            <w:pPr>
              <w:spacing w:line="300" w:lineRule="exact"/>
              <w:jc w:val="right"/>
              <w:rPr>
                <w:rFonts w:ascii="方正书宋_GBK" w:eastAsia="方正书宋_GBK" w:cs="方正书宋_GBK"/>
              </w:rPr>
            </w:pPr>
          </w:p>
        </w:tc>
      </w:tr>
      <w:tr w14:paraId="0779E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02730E05">
            <w:pPr>
              <w:spacing w:line="300" w:lineRule="exact"/>
              <w:jc w:val="left"/>
              <w:rPr>
                <w:rFonts w:ascii="方正书宋_GBK" w:eastAsia="方正书宋_GBK" w:cs="Times New Roman"/>
              </w:rPr>
            </w:pPr>
          </w:p>
        </w:tc>
        <w:tc>
          <w:tcPr>
            <w:tcW w:w="1134" w:type="dxa"/>
            <w:vAlign w:val="center"/>
          </w:tcPr>
          <w:p w14:paraId="528B3F94">
            <w:pPr>
              <w:spacing w:line="300" w:lineRule="exact"/>
              <w:jc w:val="right"/>
              <w:rPr>
                <w:rFonts w:ascii="方正书宋_GBK" w:eastAsia="方正书宋_GBK" w:cs="方正书宋_GBK"/>
              </w:rPr>
            </w:pPr>
          </w:p>
        </w:tc>
        <w:tc>
          <w:tcPr>
            <w:tcW w:w="1559" w:type="dxa"/>
            <w:vAlign w:val="center"/>
          </w:tcPr>
          <w:p w14:paraId="432AA35B">
            <w:pPr>
              <w:spacing w:line="300" w:lineRule="exact"/>
              <w:jc w:val="left"/>
              <w:rPr>
                <w:rFonts w:ascii="方正书宋_GBK" w:eastAsia="方正书宋_GBK" w:cs="Times New Roman"/>
              </w:rPr>
            </w:pPr>
          </w:p>
        </w:tc>
        <w:tc>
          <w:tcPr>
            <w:tcW w:w="1417" w:type="dxa"/>
            <w:vAlign w:val="center"/>
          </w:tcPr>
          <w:p w14:paraId="0B94031B">
            <w:pPr>
              <w:spacing w:line="300" w:lineRule="exact"/>
              <w:jc w:val="left"/>
              <w:rPr>
                <w:rFonts w:ascii="方正书宋_GBK" w:eastAsia="方正书宋_GBK" w:cs="方正书宋_GBK"/>
              </w:rPr>
            </w:pPr>
          </w:p>
        </w:tc>
        <w:tc>
          <w:tcPr>
            <w:tcW w:w="709" w:type="dxa"/>
            <w:vAlign w:val="center"/>
          </w:tcPr>
          <w:p w14:paraId="124305D8">
            <w:pPr>
              <w:spacing w:line="300" w:lineRule="exact"/>
              <w:jc w:val="left"/>
              <w:rPr>
                <w:rFonts w:ascii="方正书宋_GBK" w:eastAsia="方正书宋_GBK" w:cs="Times New Roman"/>
              </w:rPr>
            </w:pPr>
          </w:p>
        </w:tc>
        <w:tc>
          <w:tcPr>
            <w:tcW w:w="851" w:type="dxa"/>
            <w:vAlign w:val="center"/>
          </w:tcPr>
          <w:p w14:paraId="724B4F6B">
            <w:pPr>
              <w:spacing w:line="300" w:lineRule="exact"/>
              <w:jc w:val="right"/>
              <w:rPr>
                <w:rFonts w:ascii="方正书宋_GBK" w:eastAsia="方正书宋_GBK" w:cs="方正书宋_GBK"/>
              </w:rPr>
            </w:pPr>
          </w:p>
        </w:tc>
        <w:tc>
          <w:tcPr>
            <w:tcW w:w="992" w:type="dxa"/>
            <w:vAlign w:val="center"/>
          </w:tcPr>
          <w:p w14:paraId="78852A1A">
            <w:pPr>
              <w:spacing w:line="300" w:lineRule="exact"/>
              <w:jc w:val="right"/>
              <w:rPr>
                <w:rFonts w:ascii="方正书宋_GBK" w:eastAsia="方正书宋_GBK" w:cs="方正书宋_GBK"/>
              </w:rPr>
            </w:pPr>
          </w:p>
        </w:tc>
        <w:tc>
          <w:tcPr>
            <w:tcW w:w="992" w:type="dxa"/>
            <w:vAlign w:val="center"/>
          </w:tcPr>
          <w:p w14:paraId="5EF3EB26">
            <w:pPr>
              <w:spacing w:line="300" w:lineRule="exact"/>
              <w:jc w:val="right"/>
              <w:rPr>
                <w:rFonts w:ascii="方正书宋_GBK" w:eastAsia="方正书宋_GBK" w:cs="方正书宋_GBK"/>
              </w:rPr>
            </w:pPr>
          </w:p>
        </w:tc>
        <w:tc>
          <w:tcPr>
            <w:tcW w:w="992" w:type="dxa"/>
            <w:vAlign w:val="center"/>
          </w:tcPr>
          <w:p w14:paraId="6AB3A367">
            <w:pPr>
              <w:spacing w:line="300" w:lineRule="exact"/>
              <w:jc w:val="right"/>
              <w:rPr>
                <w:rFonts w:ascii="方正书宋_GBK" w:eastAsia="方正书宋_GBK" w:cs="方正书宋_GBK"/>
              </w:rPr>
            </w:pPr>
          </w:p>
        </w:tc>
        <w:tc>
          <w:tcPr>
            <w:tcW w:w="993" w:type="dxa"/>
            <w:vAlign w:val="center"/>
          </w:tcPr>
          <w:p w14:paraId="0AE0F36C">
            <w:pPr>
              <w:spacing w:line="300" w:lineRule="exact"/>
              <w:jc w:val="right"/>
              <w:rPr>
                <w:rFonts w:ascii="方正书宋_GBK" w:eastAsia="方正书宋_GBK" w:cs="方正书宋_GBK"/>
              </w:rPr>
            </w:pPr>
          </w:p>
        </w:tc>
        <w:tc>
          <w:tcPr>
            <w:tcW w:w="1134" w:type="dxa"/>
            <w:vAlign w:val="center"/>
          </w:tcPr>
          <w:p w14:paraId="5270F18A">
            <w:pPr>
              <w:spacing w:line="300" w:lineRule="exact"/>
              <w:jc w:val="right"/>
              <w:rPr>
                <w:rFonts w:ascii="方正书宋_GBK" w:eastAsia="方正书宋_GBK" w:cs="方正书宋_GBK"/>
              </w:rPr>
            </w:pPr>
          </w:p>
        </w:tc>
        <w:tc>
          <w:tcPr>
            <w:tcW w:w="850" w:type="dxa"/>
            <w:vAlign w:val="center"/>
          </w:tcPr>
          <w:p w14:paraId="5C4F93A1">
            <w:pPr>
              <w:spacing w:line="300" w:lineRule="exact"/>
              <w:jc w:val="right"/>
              <w:rPr>
                <w:rFonts w:ascii="方正书宋_GBK" w:eastAsia="方正书宋_GBK" w:cs="方正书宋_GBK"/>
              </w:rPr>
            </w:pPr>
          </w:p>
        </w:tc>
        <w:tc>
          <w:tcPr>
            <w:tcW w:w="893" w:type="dxa"/>
            <w:vAlign w:val="center"/>
          </w:tcPr>
          <w:p w14:paraId="713ECA62">
            <w:pPr>
              <w:spacing w:line="300" w:lineRule="exact"/>
              <w:jc w:val="right"/>
              <w:rPr>
                <w:rFonts w:ascii="方正书宋_GBK" w:eastAsia="方正书宋_GBK" w:cs="方正书宋_GBK"/>
              </w:rPr>
            </w:pPr>
          </w:p>
        </w:tc>
      </w:tr>
      <w:tr w14:paraId="1C0FB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1E6D72FC">
            <w:pPr>
              <w:spacing w:line="300" w:lineRule="exact"/>
              <w:jc w:val="left"/>
              <w:rPr>
                <w:rFonts w:ascii="方正书宋_GBK" w:eastAsia="方正书宋_GBK" w:cs="Times New Roman"/>
              </w:rPr>
            </w:pPr>
          </w:p>
        </w:tc>
        <w:tc>
          <w:tcPr>
            <w:tcW w:w="1134" w:type="dxa"/>
            <w:vAlign w:val="center"/>
          </w:tcPr>
          <w:p w14:paraId="0A452030">
            <w:pPr>
              <w:spacing w:line="300" w:lineRule="exact"/>
              <w:jc w:val="right"/>
              <w:rPr>
                <w:rFonts w:ascii="方正书宋_GBK" w:eastAsia="方正书宋_GBK" w:cs="方正书宋_GBK"/>
              </w:rPr>
            </w:pPr>
          </w:p>
        </w:tc>
        <w:tc>
          <w:tcPr>
            <w:tcW w:w="1559" w:type="dxa"/>
            <w:vAlign w:val="center"/>
          </w:tcPr>
          <w:p w14:paraId="4DB6F81C">
            <w:pPr>
              <w:spacing w:line="300" w:lineRule="exact"/>
              <w:jc w:val="left"/>
              <w:rPr>
                <w:rFonts w:ascii="方正书宋_GBK" w:eastAsia="方正书宋_GBK" w:cs="Times New Roman"/>
              </w:rPr>
            </w:pPr>
          </w:p>
        </w:tc>
        <w:tc>
          <w:tcPr>
            <w:tcW w:w="1417" w:type="dxa"/>
            <w:vAlign w:val="center"/>
          </w:tcPr>
          <w:p w14:paraId="2B274565">
            <w:pPr>
              <w:spacing w:line="300" w:lineRule="exact"/>
              <w:jc w:val="left"/>
              <w:rPr>
                <w:rFonts w:ascii="方正书宋_GBK" w:eastAsia="方正书宋_GBK" w:cs="方正书宋_GBK"/>
              </w:rPr>
            </w:pPr>
          </w:p>
        </w:tc>
        <w:tc>
          <w:tcPr>
            <w:tcW w:w="709" w:type="dxa"/>
            <w:vAlign w:val="center"/>
          </w:tcPr>
          <w:p w14:paraId="4DA91FFB">
            <w:pPr>
              <w:spacing w:line="300" w:lineRule="exact"/>
              <w:jc w:val="left"/>
              <w:rPr>
                <w:rFonts w:ascii="方正书宋_GBK" w:eastAsia="方正书宋_GBK" w:cs="Times New Roman"/>
              </w:rPr>
            </w:pPr>
          </w:p>
        </w:tc>
        <w:tc>
          <w:tcPr>
            <w:tcW w:w="851" w:type="dxa"/>
            <w:vAlign w:val="center"/>
          </w:tcPr>
          <w:p w14:paraId="034BFDEF">
            <w:pPr>
              <w:spacing w:line="300" w:lineRule="exact"/>
              <w:jc w:val="right"/>
              <w:rPr>
                <w:rFonts w:ascii="方正书宋_GBK" w:eastAsia="方正书宋_GBK" w:cs="方正书宋_GBK"/>
              </w:rPr>
            </w:pPr>
          </w:p>
        </w:tc>
        <w:tc>
          <w:tcPr>
            <w:tcW w:w="992" w:type="dxa"/>
            <w:vAlign w:val="center"/>
          </w:tcPr>
          <w:p w14:paraId="77858860">
            <w:pPr>
              <w:spacing w:line="300" w:lineRule="exact"/>
              <w:jc w:val="right"/>
              <w:rPr>
                <w:rFonts w:ascii="方正书宋_GBK" w:eastAsia="方正书宋_GBK" w:cs="方正书宋_GBK"/>
              </w:rPr>
            </w:pPr>
          </w:p>
        </w:tc>
        <w:tc>
          <w:tcPr>
            <w:tcW w:w="992" w:type="dxa"/>
            <w:vAlign w:val="center"/>
          </w:tcPr>
          <w:p w14:paraId="203A2E8A">
            <w:pPr>
              <w:spacing w:line="300" w:lineRule="exact"/>
              <w:jc w:val="right"/>
              <w:rPr>
                <w:rFonts w:ascii="方正书宋_GBK" w:eastAsia="方正书宋_GBK" w:cs="方正书宋_GBK"/>
              </w:rPr>
            </w:pPr>
          </w:p>
        </w:tc>
        <w:tc>
          <w:tcPr>
            <w:tcW w:w="992" w:type="dxa"/>
            <w:vAlign w:val="center"/>
          </w:tcPr>
          <w:p w14:paraId="471E57E6">
            <w:pPr>
              <w:spacing w:line="300" w:lineRule="exact"/>
              <w:jc w:val="right"/>
              <w:rPr>
                <w:rFonts w:ascii="方正书宋_GBK" w:eastAsia="方正书宋_GBK" w:cs="方正书宋_GBK"/>
              </w:rPr>
            </w:pPr>
          </w:p>
        </w:tc>
        <w:tc>
          <w:tcPr>
            <w:tcW w:w="993" w:type="dxa"/>
            <w:vAlign w:val="center"/>
          </w:tcPr>
          <w:p w14:paraId="3346575D">
            <w:pPr>
              <w:spacing w:line="300" w:lineRule="exact"/>
              <w:jc w:val="right"/>
              <w:rPr>
                <w:rFonts w:ascii="方正书宋_GBK" w:eastAsia="方正书宋_GBK" w:cs="方正书宋_GBK"/>
              </w:rPr>
            </w:pPr>
          </w:p>
        </w:tc>
        <w:tc>
          <w:tcPr>
            <w:tcW w:w="1134" w:type="dxa"/>
            <w:vAlign w:val="center"/>
          </w:tcPr>
          <w:p w14:paraId="01CF7377">
            <w:pPr>
              <w:spacing w:line="300" w:lineRule="exact"/>
              <w:jc w:val="right"/>
              <w:rPr>
                <w:rFonts w:ascii="方正书宋_GBK" w:eastAsia="方正书宋_GBK" w:cs="方正书宋_GBK"/>
              </w:rPr>
            </w:pPr>
          </w:p>
        </w:tc>
        <w:tc>
          <w:tcPr>
            <w:tcW w:w="850" w:type="dxa"/>
            <w:vAlign w:val="center"/>
          </w:tcPr>
          <w:p w14:paraId="0F1E2978">
            <w:pPr>
              <w:spacing w:line="300" w:lineRule="exact"/>
              <w:jc w:val="right"/>
              <w:rPr>
                <w:rFonts w:ascii="方正书宋_GBK" w:eastAsia="方正书宋_GBK" w:cs="方正书宋_GBK"/>
              </w:rPr>
            </w:pPr>
          </w:p>
        </w:tc>
        <w:tc>
          <w:tcPr>
            <w:tcW w:w="893" w:type="dxa"/>
            <w:vAlign w:val="center"/>
          </w:tcPr>
          <w:p w14:paraId="285C5B85">
            <w:pPr>
              <w:spacing w:line="300" w:lineRule="exact"/>
              <w:jc w:val="right"/>
              <w:rPr>
                <w:rFonts w:ascii="方正书宋_GBK" w:eastAsia="方正书宋_GBK" w:cs="方正书宋_GBK"/>
              </w:rPr>
            </w:pPr>
          </w:p>
        </w:tc>
      </w:tr>
      <w:tr w14:paraId="12204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060B0C30">
            <w:pPr>
              <w:spacing w:line="300" w:lineRule="exact"/>
              <w:jc w:val="left"/>
              <w:rPr>
                <w:rFonts w:ascii="方正书宋_GBK" w:eastAsia="方正书宋_GBK" w:cs="Times New Roman"/>
              </w:rPr>
            </w:pPr>
          </w:p>
        </w:tc>
        <w:tc>
          <w:tcPr>
            <w:tcW w:w="1134" w:type="dxa"/>
            <w:vAlign w:val="center"/>
          </w:tcPr>
          <w:p w14:paraId="762C8306">
            <w:pPr>
              <w:spacing w:line="300" w:lineRule="exact"/>
              <w:jc w:val="right"/>
              <w:rPr>
                <w:rFonts w:ascii="方正书宋_GBK" w:eastAsia="方正书宋_GBK" w:cs="方正书宋_GBK"/>
              </w:rPr>
            </w:pPr>
          </w:p>
        </w:tc>
        <w:tc>
          <w:tcPr>
            <w:tcW w:w="1559" w:type="dxa"/>
            <w:vAlign w:val="center"/>
          </w:tcPr>
          <w:p w14:paraId="04FE2EA6">
            <w:pPr>
              <w:spacing w:line="300" w:lineRule="exact"/>
              <w:jc w:val="left"/>
              <w:rPr>
                <w:rFonts w:ascii="方正书宋_GBK" w:eastAsia="方正书宋_GBK" w:cs="Times New Roman"/>
              </w:rPr>
            </w:pPr>
          </w:p>
        </w:tc>
        <w:tc>
          <w:tcPr>
            <w:tcW w:w="1417" w:type="dxa"/>
            <w:vAlign w:val="center"/>
          </w:tcPr>
          <w:p w14:paraId="4D8683C6">
            <w:pPr>
              <w:spacing w:line="300" w:lineRule="exact"/>
              <w:jc w:val="left"/>
              <w:rPr>
                <w:rFonts w:ascii="方正书宋_GBK" w:eastAsia="方正书宋_GBK" w:cs="方正书宋_GBK"/>
              </w:rPr>
            </w:pPr>
          </w:p>
        </w:tc>
        <w:tc>
          <w:tcPr>
            <w:tcW w:w="709" w:type="dxa"/>
            <w:vAlign w:val="center"/>
          </w:tcPr>
          <w:p w14:paraId="4155EFD8">
            <w:pPr>
              <w:spacing w:line="300" w:lineRule="exact"/>
              <w:jc w:val="left"/>
              <w:rPr>
                <w:rFonts w:ascii="方正书宋_GBK" w:eastAsia="方正书宋_GBK" w:cs="Times New Roman"/>
              </w:rPr>
            </w:pPr>
          </w:p>
        </w:tc>
        <w:tc>
          <w:tcPr>
            <w:tcW w:w="851" w:type="dxa"/>
            <w:vAlign w:val="center"/>
          </w:tcPr>
          <w:p w14:paraId="7DBA7F2F">
            <w:pPr>
              <w:spacing w:line="300" w:lineRule="exact"/>
              <w:jc w:val="right"/>
              <w:rPr>
                <w:rFonts w:ascii="方正书宋_GBK" w:eastAsia="方正书宋_GBK" w:cs="方正书宋_GBK"/>
              </w:rPr>
            </w:pPr>
          </w:p>
        </w:tc>
        <w:tc>
          <w:tcPr>
            <w:tcW w:w="992" w:type="dxa"/>
            <w:vAlign w:val="center"/>
          </w:tcPr>
          <w:p w14:paraId="72F19A7C">
            <w:pPr>
              <w:spacing w:line="300" w:lineRule="exact"/>
              <w:jc w:val="right"/>
              <w:rPr>
                <w:rFonts w:ascii="方正书宋_GBK" w:eastAsia="方正书宋_GBK" w:cs="方正书宋_GBK"/>
              </w:rPr>
            </w:pPr>
          </w:p>
        </w:tc>
        <w:tc>
          <w:tcPr>
            <w:tcW w:w="992" w:type="dxa"/>
            <w:vAlign w:val="center"/>
          </w:tcPr>
          <w:p w14:paraId="72595B33">
            <w:pPr>
              <w:spacing w:line="300" w:lineRule="exact"/>
              <w:jc w:val="right"/>
              <w:rPr>
                <w:rFonts w:ascii="方正书宋_GBK" w:eastAsia="方正书宋_GBK" w:cs="方正书宋_GBK"/>
              </w:rPr>
            </w:pPr>
          </w:p>
        </w:tc>
        <w:tc>
          <w:tcPr>
            <w:tcW w:w="992" w:type="dxa"/>
            <w:vAlign w:val="center"/>
          </w:tcPr>
          <w:p w14:paraId="3CD3966F">
            <w:pPr>
              <w:spacing w:line="300" w:lineRule="exact"/>
              <w:jc w:val="right"/>
              <w:rPr>
                <w:rFonts w:ascii="方正书宋_GBK" w:eastAsia="方正书宋_GBK" w:cs="方正书宋_GBK"/>
              </w:rPr>
            </w:pPr>
          </w:p>
        </w:tc>
        <w:tc>
          <w:tcPr>
            <w:tcW w:w="993" w:type="dxa"/>
            <w:vAlign w:val="center"/>
          </w:tcPr>
          <w:p w14:paraId="00780C5A">
            <w:pPr>
              <w:spacing w:line="300" w:lineRule="exact"/>
              <w:jc w:val="right"/>
              <w:rPr>
                <w:rFonts w:ascii="方正书宋_GBK" w:eastAsia="方正书宋_GBK" w:cs="方正书宋_GBK"/>
              </w:rPr>
            </w:pPr>
          </w:p>
        </w:tc>
        <w:tc>
          <w:tcPr>
            <w:tcW w:w="1134" w:type="dxa"/>
            <w:vAlign w:val="center"/>
          </w:tcPr>
          <w:p w14:paraId="774882AC">
            <w:pPr>
              <w:spacing w:line="300" w:lineRule="exact"/>
              <w:jc w:val="right"/>
              <w:rPr>
                <w:rFonts w:ascii="方正书宋_GBK" w:eastAsia="方正书宋_GBK" w:cs="方正书宋_GBK"/>
              </w:rPr>
            </w:pPr>
          </w:p>
        </w:tc>
        <w:tc>
          <w:tcPr>
            <w:tcW w:w="850" w:type="dxa"/>
            <w:vAlign w:val="center"/>
          </w:tcPr>
          <w:p w14:paraId="4E8AC3B0">
            <w:pPr>
              <w:spacing w:line="300" w:lineRule="exact"/>
              <w:jc w:val="right"/>
              <w:rPr>
                <w:rFonts w:ascii="方正书宋_GBK" w:eastAsia="方正书宋_GBK" w:cs="方正书宋_GBK"/>
              </w:rPr>
            </w:pPr>
          </w:p>
        </w:tc>
        <w:tc>
          <w:tcPr>
            <w:tcW w:w="893" w:type="dxa"/>
            <w:vAlign w:val="center"/>
          </w:tcPr>
          <w:p w14:paraId="49989C6F">
            <w:pPr>
              <w:spacing w:line="300" w:lineRule="exact"/>
              <w:jc w:val="right"/>
              <w:rPr>
                <w:rFonts w:ascii="方正书宋_GBK" w:eastAsia="方正书宋_GBK" w:cs="方正书宋_GBK"/>
              </w:rPr>
            </w:pPr>
          </w:p>
        </w:tc>
      </w:tr>
      <w:tr w14:paraId="66B66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4C7A74F5">
            <w:pPr>
              <w:spacing w:line="300" w:lineRule="exact"/>
              <w:jc w:val="left"/>
              <w:rPr>
                <w:rFonts w:ascii="方正书宋_GBK" w:eastAsia="方正书宋_GBK" w:cs="Times New Roman"/>
              </w:rPr>
            </w:pPr>
          </w:p>
        </w:tc>
        <w:tc>
          <w:tcPr>
            <w:tcW w:w="1134" w:type="dxa"/>
            <w:vAlign w:val="center"/>
          </w:tcPr>
          <w:p w14:paraId="7A1073A4">
            <w:pPr>
              <w:spacing w:line="300" w:lineRule="exact"/>
              <w:jc w:val="right"/>
              <w:rPr>
                <w:rFonts w:ascii="方正书宋_GBK" w:eastAsia="方正书宋_GBK" w:cs="方正书宋_GBK"/>
              </w:rPr>
            </w:pPr>
          </w:p>
        </w:tc>
        <w:tc>
          <w:tcPr>
            <w:tcW w:w="1559" w:type="dxa"/>
            <w:vAlign w:val="center"/>
          </w:tcPr>
          <w:p w14:paraId="471DD9E5">
            <w:pPr>
              <w:spacing w:line="300" w:lineRule="exact"/>
              <w:jc w:val="left"/>
              <w:rPr>
                <w:rFonts w:ascii="方正书宋_GBK" w:eastAsia="方正书宋_GBK" w:cs="Times New Roman"/>
              </w:rPr>
            </w:pPr>
          </w:p>
        </w:tc>
        <w:tc>
          <w:tcPr>
            <w:tcW w:w="1417" w:type="dxa"/>
            <w:vAlign w:val="center"/>
          </w:tcPr>
          <w:p w14:paraId="1A067844">
            <w:pPr>
              <w:spacing w:line="300" w:lineRule="exact"/>
              <w:jc w:val="left"/>
              <w:rPr>
                <w:rFonts w:ascii="方正书宋_GBK" w:eastAsia="方正书宋_GBK" w:cs="方正书宋_GBK"/>
              </w:rPr>
            </w:pPr>
          </w:p>
        </w:tc>
        <w:tc>
          <w:tcPr>
            <w:tcW w:w="709" w:type="dxa"/>
            <w:vAlign w:val="center"/>
          </w:tcPr>
          <w:p w14:paraId="5E9E11C7">
            <w:pPr>
              <w:spacing w:line="300" w:lineRule="exact"/>
              <w:jc w:val="left"/>
              <w:rPr>
                <w:rFonts w:ascii="方正书宋_GBK" w:eastAsia="方正书宋_GBK" w:cs="Times New Roman"/>
              </w:rPr>
            </w:pPr>
          </w:p>
        </w:tc>
        <w:tc>
          <w:tcPr>
            <w:tcW w:w="851" w:type="dxa"/>
            <w:vAlign w:val="center"/>
          </w:tcPr>
          <w:p w14:paraId="19C772D3">
            <w:pPr>
              <w:spacing w:line="300" w:lineRule="exact"/>
              <w:jc w:val="right"/>
              <w:rPr>
                <w:rFonts w:ascii="方正书宋_GBK" w:eastAsia="方正书宋_GBK" w:cs="方正书宋_GBK"/>
              </w:rPr>
            </w:pPr>
          </w:p>
        </w:tc>
        <w:tc>
          <w:tcPr>
            <w:tcW w:w="992" w:type="dxa"/>
            <w:vAlign w:val="center"/>
          </w:tcPr>
          <w:p w14:paraId="57F06DCA">
            <w:pPr>
              <w:spacing w:line="300" w:lineRule="exact"/>
              <w:jc w:val="right"/>
              <w:rPr>
                <w:rFonts w:ascii="方正书宋_GBK" w:eastAsia="方正书宋_GBK" w:cs="方正书宋_GBK"/>
              </w:rPr>
            </w:pPr>
          </w:p>
        </w:tc>
        <w:tc>
          <w:tcPr>
            <w:tcW w:w="992" w:type="dxa"/>
            <w:vAlign w:val="center"/>
          </w:tcPr>
          <w:p w14:paraId="1E2A7D2B">
            <w:pPr>
              <w:spacing w:line="300" w:lineRule="exact"/>
              <w:jc w:val="right"/>
              <w:rPr>
                <w:rFonts w:ascii="方正书宋_GBK" w:eastAsia="方正书宋_GBK" w:cs="方正书宋_GBK"/>
              </w:rPr>
            </w:pPr>
          </w:p>
        </w:tc>
        <w:tc>
          <w:tcPr>
            <w:tcW w:w="992" w:type="dxa"/>
            <w:vAlign w:val="center"/>
          </w:tcPr>
          <w:p w14:paraId="207EDCD0">
            <w:pPr>
              <w:spacing w:line="300" w:lineRule="exact"/>
              <w:jc w:val="right"/>
              <w:rPr>
                <w:rFonts w:ascii="方正书宋_GBK" w:eastAsia="方正书宋_GBK" w:cs="方正书宋_GBK"/>
              </w:rPr>
            </w:pPr>
          </w:p>
        </w:tc>
        <w:tc>
          <w:tcPr>
            <w:tcW w:w="993" w:type="dxa"/>
            <w:vAlign w:val="center"/>
          </w:tcPr>
          <w:p w14:paraId="5E82DE39">
            <w:pPr>
              <w:spacing w:line="300" w:lineRule="exact"/>
              <w:jc w:val="right"/>
              <w:rPr>
                <w:rFonts w:ascii="方正书宋_GBK" w:eastAsia="方正书宋_GBK" w:cs="方正书宋_GBK"/>
              </w:rPr>
            </w:pPr>
          </w:p>
        </w:tc>
        <w:tc>
          <w:tcPr>
            <w:tcW w:w="1134" w:type="dxa"/>
            <w:vAlign w:val="center"/>
          </w:tcPr>
          <w:p w14:paraId="7CBE3DF3">
            <w:pPr>
              <w:spacing w:line="300" w:lineRule="exact"/>
              <w:jc w:val="right"/>
              <w:rPr>
                <w:rFonts w:ascii="方正书宋_GBK" w:eastAsia="方正书宋_GBK" w:cs="方正书宋_GBK"/>
              </w:rPr>
            </w:pPr>
          </w:p>
        </w:tc>
        <w:tc>
          <w:tcPr>
            <w:tcW w:w="850" w:type="dxa"/>
            <w:vAlign w:val="center"/>
          </w:tcPr>
          <w:p w14:paraId="3CA16405">
            <w:pPr>
              <w:spacing w:line="300" w:lineRule="exact"/>
              <w:jc w:val="right"/>
              <w:rPr>
                <w:rFonts w:ascii="方正书宋_GBK" w:eastAsia="方正书宋_GBK" w:cs="方正书宋_GBK"/>
              </w:rPr>
            </w:pPr>
          </w:p>
        </w:tc>
        <w:tc>
          <w:tcPr>
            <w:tcW w:w="893" w:type="dxa"/>
            <w:vAlign w:val="center"/>
          </w:tcPr>
          <w:p w14:paraId="5F13F04F">
            <w:pPr>
              <w:spacing w:line="300" w:lineRule="exact"/>
              <w:jc w:val="right"/>
              <w:rPr>
                <w:rFonts w:ascii="方正书宋_GBK" w:eastAsia="方正书宋_GBK" w:cs="方正书宋_GBK"/>
              </w:rPr>
            </w:pPr>
          </w:p>
        </w:tc>
      </w:tr>
      <w:tr w14:paraId="1C64A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351FFA8F">
            <w:pPr>
              <w:spacing w:line="300" w:lineRule="exact"/>
              <w:jc w:val="left"/>
              <w:rPr>
                <w:rFonts w:ascii="方正书宋_GBK" w:eastAsia="方正书宋_GBK" w:cs="Times New Roman"/>
              </w:rPr>
            </w:pPr>
          </w:p>
        </w:tc>
        <w:tc>
          <w:tcPr>
            <w:tcW w:w="1134" w:type="dxa"/>
            <w:vAlign w:val="center"/>
          </w:tcPr>
          <w:p w14:paraId="3E227BCC">
            <w:pPr>
              <w:spacing w:line="300" w:lineRule="exact"/>
              <w:jc w:val="right"/>
              <w:rPr>
                <w:rFonts w:ascii="方正书宋_GBK" w:eastAsia="方正书宋_GBK" w:cs="方正书宋_GBK"/>
              </w:rPr>
            </w:pPr>
          </w:p>
        </w:tc>
        <w:tc>
          <w:tcPr>
            <w:tcW w:w="1559" w:type="dxa"/>
            <w:vAlign w:val="center"/>
          </w:tcPr>
          <w:p w14:paraId="156C2D42">
            <w:pPr>
              <w:spacing w:line="300" w:lineRule="exact"/>
              <w:jc w:val="left"/>
              <w:rPr>
                <w:rFonts w:ascii="方正书宋_GBK" w:eastAsia="方正书宋_GBK" w:cs="Times New Roman"/>
              </w:rPr>
            </w:pPr>
          </w:p>
        </w:tc>
        <w:tc>
          <w:tcPr>
            <w:tcW w:w="1417" w:type="dxa"/>
            <w:vAlign w:val="center"/>
          </w:tcPr>
          <w:p w14:paraId="1931336D">
            <w:pPr>
              <w:spacing w:line="300" w:lineRule="exact"/>
              <w:jc w:val="left"/>
              <w:rPr>
                <w:rFonts w:ascii="方正书宋_GBK" w:eastAsia="方正书宋_GBK" w:cs="方正书宋_GBK"/>
              </w:rPr>
            </w:pPr>
          </w:p>
        </w:tc>
        <w:tc>
          <w:tcPr>
            <w:tcW w:w="709" w:type="dxa"/>
            <w:vAlign w:val="center"/>
          </w:tcPr>
          <w:p w14:paraId="1FF4E6EC">
            <w:pPr>
              <w:spacing w:line="300" w:lineRule="exact"/>
              <w:jc w:val="left"/>
              <w:rPr>
                <w:rFonts w:ascii="方正书宋_GBK" w:eastAsia="方正书宋_GBK" w:cs="Times New Roman"/>
              </w:rPr>
            </w:pPr>
          </w:p>
        </w:tc>
        <w:tc>
          <w:tcPr>
            <w:tcW w:w="851" w:type="dxa"/>
            <w:vAlign w:val="center"/>
          </w:tcPr>
          <w:p w14:paraId="69A39C79">
            <w:pPr>
              <w:spacing w:line="300" w:lineRule="exact"/>
              <w:jc w:val="right"/>
              <w:rPr>
                <w:rFonts w:ascii="方正书宋_GBK" w:eastAsia="方正书宋_GBK" w:cs="方正书宋_GBK"/>
              </w:rPr>
            </w:pPr>
          </w:p>
        </w:tc>
        <w:tc>
          <w:tcPr>
            <w:tcW w:w="992" w:type="dxa"/>
            <w:vAlign w:val="center"/>
          </w:tcPr>
          <w:p w14:paraId="7782E154">
            <w:pPr>
              <w:spacing w:line="300" w:lineRule="exact"/>
              <w:jc w:val="right"/>
              <w:rPr>
                <w:rFonts w:ascii="方正书宋_GBK" w:eastAsia="方正书宋_GBK" w:cs="方正书宋_GBK"/>
              </w:rPr>
            </w:pPr>
          </w:p>
        </w:tc>
        <w:tc>
          <w:tcPr>
            <w:tcW w:w="992" w:type="dxa"/>
            <w:vAlign w:val="center"/>
          </w:tcPr>
          <w:p w14:paraId="535109F4">
            <w:pPr>
              <w:spacing w:line="300" w:lineRule="exact"/>
              <w:jc w:val="right"/>
              <w:rPr>
                <w:rFonts w:ascii="方正书宋_GBK" w:eastAsia="方正书宋_GBK" w:cs="方正书宋_GBK"/>
              </w:rPr>
            </w:pPr>
          </w:p>
        </w:tc>
        <w:tc>
          <w:tcPr>
            <w:tcW w:w="992" w:type="dxa"/>
            <w:vAlign w:val="center"/>
          </w:tcPr>
          <w:p w14:paraId="150BC9A6">
            <w:pPr>
              <w:spacing w:line="300" w:lineRule="exact"/>
              <w:jc w:val="right"/>
              <w:rPr>
                <w:rFonts w:ascii="方正书宋_GBK" w:eastAsia="方正书宋_GBK" w:cs="方正书宋_GBK"/>
              </w:rPr>
            </w:pPr>
          </w:p>
        </w:tc>
        <w:tc>
          <w:tcPr>
            <w:tcW w:w="993" w:type="dxa"/>
            <w:vAlign w:val="center"/>
          </w:tcPr>
          <w:p w14:paraId="7BCFFE1B">
            <w:pPr>
              <w:spacing w:line="300" w:lineRule="exact"/>
              <w:jc w:val="right"/>
              <w:rPr>
                <w:rFonts w:ascii="方正书宋_GBK" w:eastAsia="方正书宋_GBK" w:cs="方正书宋_GBK"/>
              </w:rPr>
            </w:pPr>
          </w:p>
        </w:tc>
        <w:tc>
          <w:tcPr>
            <w:tcW w:w="1134" w:type="dxa"/>
            <w:vAlign w:val="center"/>
          </w:tcPr>
          <w:p w14:paraId="2B67E5A0">
            <w:pPr>
              <w:spacing w:line="300" w:lineRule="exact"/>
              <w:jc w:val="right"/>
              <w:rPr>
                <w:rFonts w:ascii="方正书宋_GBK" w:eastAsia="方正书宋_GBK" w:cs="方正书宋_GBK"/>
              </w:rPr>
            </w:pPr>
          </w:p>
        </w:tc>
        <w:tc>
          <w:tcPr>
            <w:tcW w:w="850" w:type="dxa"/>
            <w:vAlign w:val="center"/>
          </w:tcPr>
          <w:p w14:paraId="5FC4FFD1">
            <w:pPr>
              <w:spacing w:line="300" w:lineRule="exact"/>
              <w:jc w:val="right"/>
              <w:rPr>
                <w:rFonts w:ascii="方正书宋_GBK" w:eastAsia="方正书宋_GBK" w:cs="方正书宋_GBK"/>
              </w:rPr>
            </w:pPr>
          </w:p>
        </w:tc>
        <w:tc>
          <w:tcPr>
            <w:tcW w:w="893" w:type="dxa"/>
            <w:vAlign w:val="center"/>
          </w:tcPr>
          <w:p w14:paraId="2599176C">
            <w:pPr>
              <w:spacing w:line="300" w:lineRule="exact"/>
              <w:jc w:val="right"/>
              <w:rPr>
                <w:rFonts w:ascii="方正书宋_GBK" w:eastAsia="方正书宋_GBK" w:cs="方正书宋_GBK"/>
              </w:rPr>
            </w:pPr>
          </w:p>
        </w:tc>
      </w:tr>
    </w:tbl>
    <w:p w14:paraId="13863D60">
      <w:pPr>
        <w:numPr>
          <w:ilvl w:val="0"/>
          <w:numId w:val="1"/>
        </w:numPr>
        <w:autoSpaceDE w:val="0"/>
        <w:autoSpaceDN w:val="0"/>
        <w:adjustRightInd w:val="0"/>
        <w:ind w:firstLine="640" w:firstLineChars="200"/>
        <w:jc w:val="left"/>
        <w:rPr>
          <w:rFonts w:hint="eastAsia" w:ascii="黑体" w:hAnsi="黑体" w:eastAsia="黑体" w:cs="黑体"/>
          <w:sz w:val="32"/>
          <w:szCs w:val="32"/>
        </w:rPr>
      </w:pPr>
      <w:r>
        <w:rPr>
          <w:rFonts w:hint="eastAsia" w:ascii="黑体" w:hAnsi="黑体" w:eastAsia="黑体" w:cs="黑体"/>
          <w:sz w:val="32"/>
          <w:szCs w:val="32"/>
        </w:rPr>
        <w:t>国有资产信息</w:t>
      </w:r>
    </w:p>
    <w:p w14:paraId="7841D18B">
      <w:pPr>
        <w:ind w:firstLine="640" w:firstLineChars="200"/>
        <w:outlineLvl w:val="0"/>
        <w:rPr>
          <w:rFonts w:hint="eastAsia" w:ascii="Times New Roman" w:hAnsi="Times New Roman" w:eastAsia="仿宋" w:cs="仿宋"/>
          <w:sz w:val="32"/>
          <w:szCs w:val="32"/>
        </w:rPr>
      </w:pPr>
      <w:r>
        <w:rPr>
          <w:rFonts w:hint="eastAsia" w:ascii="Times New Roman" w:hAnsi="Times New Roman" w:eastAsia="仿宋" w:cs="仿宋"/>
          <w:sz w:val="32"/>
          <w:szCs w:val="32"/>
        </w:rPr>
        <w:t>中共</w:t>
      </w:r>
      <w:r>
        <w:rPr>
          <w:rFonts w:hint="eastAsia" w:ascii="Times New Roman" w:hAnsi="Times New Roman" w:eastAsia="仿宋" w:cs="仿宋"/>
          <w:sz w:val="32"/>
          <w:szCs w:val="32"/>
          <w:lang w:eastAsia="zh-CN"/>
        </w:rPr>
        <w:t>隆尧县委</w:t>
      </w:r>
      <w:r>
        <w:rPr>
          <w:rFonts w:hint="eastAsia" w:ascii="Times New Roman" w:hAnsi="Times New Roman" w:eastAsia="仿宋" w:cs="仿宋"/>
          <w:sz w:val="32"/>
          <w:szCs w:val="32"/>
        </w:rPr>
        <w:t>宣传部上年末固定资产金额为</w:t>
      </w:r>
      <w:r>
        <w:rPr>
          <w:rFonts w:hint="eastAsia" w:ascii="Times New Roman" w:hAnsi="Times New Roman" w:eastAsia="仿宋" w:cs="仿宋"/>
          <w:sz w:val="32"/>
          <w:szCs w:val="32"/>
          <w:lang w:val="en-US" w:eastAsia="zh-CN"/>
        </w:rPr>
        <w:t>17.571857</w:t>
      </w:r>
      <w:r>
        <w:rPr>
          <w:rFonts w:hint="eastAsia" w:ascii="Times New Roman" w:hAnsi="Times New Roman" w:eastAsia="仿宋" w:cs="仿宋"/>
          <w:sz w:val="32"/>
          <w:szCs w:val="32"/>
        </w:rPr>
        <w:t>万元（详见下表），本年度</w:t>
      </w:r>
      <w:r>
        <w:rPr>
          <w:rFonts w:hint="eastAsia" w:ascii="Times New Roman" w:hAnsi="Times New Roman" w:eastAsia="仿宋" w:cs="仿宋"/>
          <w:sz w:val="32"/>
          <w:szCs w:val="32"/>
          <w:lang w:eastAsia="zh-CN"/>
        </w:rPr>
        <w:t>我</w:t>
      </w:r>
      <w:r>
        <w:rPr>
          <w:rFonts w:hint="eastAsia" w:ascii="Times New Roman" w:hAnsi="Times New Roman" w:eastAsia="仿宋" w:cs="仿宋"/>
          <w:sz w:val="32"/>
          <w:szCs w:val="32"/>
        </w:rPr>
        <w:t>单位</w:t>
      </w:r>
      <w:r>
        <w:rPr>
          <w:rFonts w:hint="eastAsia" w:ascii="Times New Roman" w:hAnsi="Times New Roman" w:eastAsia="仿宋" w:cs="仿宋"/>
          <w:sz w:val="32"/>
          <w:szCs w:val="32"/>
          <w:lang w:eastAsia="zh-CN"/>
        </w:rPr>
        <w:t>拟</w:t>
      </w:r>
      <w:r>
        <w:rPr>
          <w:rFonts w:hint="eastAsia" w:ascii="Times New Roman" w:hAnsi="Times New Roman" w:eastAsia="仿宋" w:cs="仿宋"/>
          <w:sz w:val="32"/>
          <w:szCs w:val="32"/>
        </w:rPr>
        <w:t>购置固定资产总额为</w:t>
      </w:r>
      <w:r>
        <w:rPr>
          <w:rFonts w:hint="eastAsia" w:ascii="Times New Roman" w:hAnsi="Times New Roman" w:eastAsia="仿宋" w:cs="仿宋"/>
          <w:sz w:val="32"/>
          <w:szCs w:val="32"/>
          <w:lang w:val="en-US" w:eastAsia="zh-CN"/>
        </w:rPr>
        <w:t>1.5</w:t>
      </w:r>
      <w:r>
        <w:rPr>
          <w:rFonts w:hint="eastAsia" w:ascii="Times New Roman" w:hAnsi="Times New Roman" w:eastAsia="仿宋" w:cs="仿宋"/>
          <w:sz w:val="32"/>
          <w:szCs w:val="32"/>
        </w:rPr>
        <w:t>万元，主要为</w:t>
      </w:r>
      <w:r>
        <w:rPr>
          <w:rFonts w:hint="eastAsia" w:ascii="Times New Roman" w:hAnsi="Times New Roman" w:eastAsia="仿宋" w:cs="仿宋"/>
          <w:sz w:val="32"/>
          <w:szCs w:val="32"/>
          <w:lang w:eastAsia="zh-CN"/>
        </w:rPr>
        <w:t>摄影器材</w:t>
      </w:r>
      <w:r>
        <w:rPr>
          <w:rFonts w:hint="eastAsia" w:ascii="Times New Roman" w:hAnsi="Times New Roman" w:eastAsia="仿宋" w:cs="仿宋"/>
          <w:sz w:val="32"/>
          <w:szCs w:val="32"/>
        </w:rPr>
        <w:t>等。</w:t>
      </w:r>
    </w:p>
    <w:tbl>
      <w:tblPr>
        <w:tblStyle w:val="7"/>
        <w:tblW w:w="11855" w:type="dxa"/>
        <w:jc w:val="center"/>
        <w:tblLayout w:type="fixed"/>
        <w:tblCellMar>
          <w:top w:w="0" w:type="dxa"/>
          <w:left w:w="108" w:type="dxa"/>
          <w:bottom w:w="0" w:type="dxa"/>
          <w:right w:w="108" w:type="dxa"/>
        </w:tblCellMar>
      </w:tblPr>
      <w:tblGrid>
        <w:gridCol w:w="5886"/>
        <w:gridCol w:w="2532"/>
        <w:gridCol w:w="3437"/>
      </w:tblGrid>
      <w:tr w14:paraId="5329DC25">
        <w:tblPrEx>
          <w:tblCellMar>
            <w:top w:w="0" w:type="dxa"/>
            <w:left w:w="108" w:type="dxa"/>
            <w:bottom w:w="0" w:type="dxa"/>
            <w:right w:w="108" w:type="dxa"/>
          </w:tblCellMar>
        </w:tblPrEx>
        <w:trPr>
          <w:trHeight w:val="705" w:hRule="atLeast"/>
          <w:jc w:val="center"/>
        </w:trPr>
        <w:tc>
          <w:tcPr>
            <w:tcW w:w="11855" w:type="dxa"/>
            <w:gridSpan w:val="3"/>
            <w:tcBorders>
              <w:top w:val="nil"/>
              <w:left w:val="nil"/>
              <w:bottom w:val="nil"/>
              <w:right w:val="nil"/>
            </w:tcBorders>
            <w:shd w:val="clear" w:color="auto" w:fill="auto"/>
            <w:vAlign w:val="center"/>
          </w:tcPr>
          <w:p w14:paraId="003251B0">
            <w:pPr>
              <w:widowControl/>
              <w:spacing w:line="600" w:lineRule="exact"/>
              <w:ind w:firstLine="200"/>
              <w:jc w:val="center"/>
              <w:rPr>
                <w:rFonts w:ascii="Times New Roman" w:hAnsi="Times New Roman" w:eastAsia="仿宋_GB2312" w:cs="Times New Roman"/>
                <w:b/>
                <w:bCs/>
                <w:kern w:val="0"/>
                <w:sz w:val="32"/>
                <w:szCs w:val="32"/>
              </w:rPr>
            </w:pPr>
          </w:p>
          <w:p w14:paraId="1E506697">
            <w:pPr>
              <w:widowControl/>
              <w:spacing w:line="600" w:lineRule="exact"/>
              <w:ind w:firstLine="200"/>
              <w:jc w:val="center"/>
              <w:rPr>
                <w:rFonts w:ascii="Times New Roman" w:hAnsi="Times New Roman" w:eastAsia="仿宋_GB2312" w:cs="Times New Roman"/>
                <w:b/>
                <w:bCs/>
                <w:kern w:val="0"/>
                <w:sz w:val="32"/>
                <w:szCs w:val="32"/>
              </w:rPr>
            </w:pPr>
            <w:r>
              <w:rPr>
                <w:rFonts w:ascii="Times New Roman" w:hAnsi="Times New Roman" w:eastAsia="仿宋_GB2312" w:cs="Times New Roman"/>
                <w:b/>
                <w:bCs/>
                <w:kern w:val="0"/>
                <w:sz w:val="32"/>
                <w:szCs w:val="32"/>
              </w:rPr>
              <w:t>固定资产占用情况表</w:t>
            </w:r>
          </w:p>
        </w:tc>
      </w:tr>
      <w:tr w14:paraId="3A14744D">
        <w:tblPrEx>
          <w:tblCellMar>
            <w:top w:w="0" w:type="dxa"/>
            <w:left w:w="108" w:type="dxa"/>
            <w:bottom w:w="0" w:type="dxa"/>
            <w:right w:w="108" w:type="dxa"/>
          </w:tblCellMar>
        </w:tblPrEx>
        <w:trPr>
          <w:trHeight w:val="510" w:hRule="atLeast"/>
          <w:jc w:val="center"/>
        </w:trPr>
        <w:tc>
          <w:tcPr>
            <w:tcW w:w="11855" w:type="dxa"/>
            <w:gridSpan w:val="3"/>
            <w:tcBorders>
              <w:top w:val="nil"/>
              <w:left w:val="nil"/>
              <w:bottom w:val="nil"/>
              <w:right w:val="nil"/>
            </w:tcBorders>
            <w:shd w:val="clear" w:color="auto" w:fill="auto"/>
            <w:vAlign w:val="center"/>
          </w:tcPr>
          <w:p w14:paraId="126C0014">
            <w:pPr>
              <w:widowControl/>
              <w:spacing w:line="600" w:lineRule="exact"/>
              <w:rPr>
                <w:rFonts w:ascii="Times New Roman" w:hAnsi="Times New Roman" w:eastAsia="仿宋_GB2312" w:cs="Times New Roman"/>
                <w:kern w:val="0"/>
                <w:sz w:val="28"/>
                <w:szCs w:val="28"/>
              </w:rPr>
            </w:pPr>
            <w:r>
              <w:rPr>
                <w:rFonts w:ascii="Times New Roman" w:hAnsi="Times New Roman" w:eastAsia="仿宋_GB2312" w:cs="Times New Roman"/>
                <w:kern w:val="0"/>
                <w:sz w:val="28"/>
                <w:szCs w:val="28"/>
              </w:rPr>
              <w:t>编制部门：中共</w:t>
            </w:r>
            <w:r>
              <w:rPr>
                <w:rFonts w:hint="eastAsia" w:ascii="Times New Roman" w:hAnsi="Times New Roman" w:eastAsia="仿宋_GB2312" w:cs="Times New Roman"/>
                <w:kern w:val="0"/>
                <w:sz w:val="28"/>
                <w:szCs w:val="28"/>
                <w:lang w:eastAsia="zh-CN"/>
              </w:rPr>
              <w:t>隆尧县委</w:t>
            </w:r>
            <w:r>
              <w:rPr>
                <w:rFonts w:ascii="Times New Roman" w:hAnsi="Times New Roman" w:eastAsia="仿宋_GB2312" w:cs="Times New Roman"/>
                <w:kern w:val="0"/>
                <w:sz w:val="28"/>
                <w:szCs w:val="28"/>
              </w:rPr>
              <w:t xml:space="preserve">宣传部                 截止时间：2020年12月31日  </w:t>
            </w:r>
          </w:p>
        </w:tc>
      </w:tr>
      <w:tr w14:paraId="3EC0C506">
        <w:tblPrEx>
          <w:tblCellMar>
            <w:top w:w="0" w:type="dxa"/>
            <w:left w:w="108" w:type="dxa"/>
            <w:bottom w:w="0" w:type="dxa"/>
            <w:right w:w="108" w:type="dxa"/>
          </w:tblCellMar>
        </w:tblPrEx>
        <w:trPr>
          <w:trHeight w:val="645" w:hRule="atLeast"/>
          <w:jc w:val="center"/>
        </w:trPr>
        <w:tc>
          <w:tcPr>
            <w:tcW w:w="5886" w:type="dxa"/>
            <w:tcBorders>
              <w:top w:val="single" w:color="auto" w:sz="4" w:space="0"/>
              <w:left w:val="single" w:color="auto" w:sz="4" w:space="0"/>
              <w:bottom w:val="single" w:color="auto" w:sz="4" w:space="0"/>
              <w:right w:val="single" w:color="auto" w:sz="4" w:space="0"/>
            </w:tcBorders>
            <w:shd w:val="clear" w:color="auto" w:fill="auto"/>
            <w:vAlign w:val="center"/>
          </w:tcPr>
          <w:p w14:paraId="0F6B75B7">
            <w:pPr>
              <w:widowControl/>
              <w:spacing w:line="600" w:lineRule="exact"/>
              <w:ind w:firstLine="200"/>
              <w:jc w:val="center"/>
              <w:rPr>
                <w:rFonts w:ascii="Times New Roman" w:hAnsi="Times New Roman" w:eastAsia="仿宋_GB2312" w:cs="Times New Roman"/>
                <w:b/>
                <w:bCs/>
                <w:kern w:val="0"/>
                <w:sz w:val="28"/>
                <w:szCs w:val="28"/>
              </w:rPr>
            </w:pPr>
            <w:r>
              <w:rPr>
                <w:rFonts w:ascii="Times New Roman" w:hAnsi="Times New Roman" w:eastAsia="仿宋_GB2312" w:cs="Times New Roman"/>
                <w:b/>
                <w:bCs/>
                <w:kern w:val="0"/>
                <w:sz w:val="28"/>
                <w:szCs w:val="28"/>
              </w:rPr>
              <w:t>项   目</w:t>
            </w:r>
          </w:p>
        </w:tc>
        <w:tc>
          <w:tcPr>
            <w:tcW w:w="2532" w:type="dxa"/>
            <w:tcBorders>
              <w:top w:val="single" w:color="auto" w:sz="4" w:space="0"/>
              <w:left w:val="nil"/>
              <w:bottom w:val="single" w:color="auto" w:sz="4" w:space="0"/>
              <w:right w:val="single" w:color="auto" w:sz="4" w:space="0"/>
            </w:tcBorders>
            <w:shd w:val="clear" w:color="auto" w:fill="auto"/>
            <w:vAlign w:val="center"/>
          </w:tcPr>
          <w:p w14:paraId="035E525B">
            <w:pPr>
              <w:widowControl/>
              <w:spacing w:line="600" w:lineRule="exact"/>
              <w:ind w:firstLine="843" w:firstLineChars="300"/>
              <w:jc w:val="both"/>
              <w:rPr>
                <w:rFonts w:ascii="Times New Roman" w:hAnsi="Times New Roman" w:eastAsia="仿宋_GB2312" w:cs="Times New Roman"/>
                <w:b/>
                <w:bCs/>
                <w:kern w:val="0"/>
                <w:sz w:val="28"/>
                <w:szCs w:val="28"/>
              </w:rPr>
            </w:pPr>
            <w:r>
              <w:rPr>
                <w:rFonts w:ascii="Times New Roman" w:hAnsi="Times New Roman" w:eastAsia="仿宋_GB2312" w:cs="Times New Roman"/>
                <w:b/>
                <w:bCs/>
                <w:kern w:val="0"/>
                <w:sz w:val="28"/>
                <w:szCs w:val="28"/>
              </w:rPr>
              <w:t>数</w:t>
            </w:r>
            <w:r>
              <w:rPr>
                <w:rFonts w:hint="eastAsia" w:ascii="Times New Roman" w:hAnsi="Times New Roman" w:eastAsia="仿宋_GB2312" w:cs="Times New Roman"/>
                <w:b/>
                <w:bCs/>
                <w:kern w:val="0"/>
                <w:sz w:val="28"/>
                <w:szCs w:val="28"/>
                <w:lang w:val="en-US" w:eastAsia="zh-CN"/>
              </w:rPr>
              <w:t xml:space="preserve"> </w:t>
            </w:r>
            <w:r>
              <w:rPr>
                <w:rFonts w:ascii="Times New Roman" w:hAnsi="Times New Roman" w:eastAsia="仿宋_GB2312" w:cs="Times New Roman"/>
                <w:b/>
                <w:bCs/>
                <w:kern w:val="0"/>
                <w:sz w:val="28"/>
                <w:szCs w:val="28"/>
              </w:rPr>
              <w:t>量</w:t>
            </w:r>
          </w:p>
        </w:tc>
        <w:tc>
          <w:tcPr>
            <w:tcW w:w="3437" w:type="dxa"/>
            <w:tcBorders>
              <w:top w:val="single" w:color="auto" w:sz="4" w:space="0"/>
              <w:left w:val="nil"/>
              <w:bottom w:val="single" w:color="auto" w:sz="4" w:space="0"/>
              <w:right w:val="single" w:color="auto" w:sz="4" w:space="0"/>
            </w:tcBorders>
            <w:shd w:val="clear" w:color="auto" w:fill="auto"/>
            <w:vAlign w:val="center"/>
          </w:tcPr>
          <w:p w14:paraId="7B5ACAFA">
            <w:pPr>
              <w:widowControl/>
              <w:spacing w:line="600" w:lineRule="exact"/>
              <w:rPr>
                <w:rFonts w:ascii="Times New Roman" w:hAnsi="Times New Roman" w:eastAsia="仿宋_GB2312" w:cs="Times New Roman"/>
                <w:b/>
                <w:bCs/>
                <w:kern w:val="0"/>
                <w:sz w:val="28"/>
                <w:szCs w:val="28"/>
              </w:rPr>
            </w:pPr>
            <w:r>
              <w:rPr>
                <w:rFonts w:ascii="Times New Roman" w:hAnsi="Times New Roman" w:eastAsia="仿宋_GB2312" w:cs="Times New Roman"/>
                <w:b/>
                <w:bCs/>
                <w:kern w:val="0"/>
                <w:sz w:val="28"/>
                <w:szCs w:val="28"/>
              </w:rPr>
              <w:t>价值（金额单位：万元）</w:t>
            </w:r>
          </w:p>
        </w:tc>
      </w:tr>
      <w:tr w14:paraId="51FD466B">
        <w:tblPrEx>
          <w:tblCellMar>
            <w:top w:w="0" w:type="dxa"/>
            <w:left w:w="108" w:type="dxa"/>
            <w:bottom w:w="0" w:type="dxa"/>
            <w:right w:w="108" w:type="dxa"/>
          </w:tblCellMar>
        </w:tblPrEx>
        <w:trPr>
          <w:trHeight w:val="645" w:hRule="atLeast"/>
          <w:jc w:val="center"/>
        </w:trPr>
        <w:tc>
          <w:tcPr>
            <w:tcW w:w="5886" w:type="dxa"/>
            <w:tcBorders>
              <w:top w:val="nil"/>
              <w:left w:val="single" w:color="auto" w:sz="4" w:space="0"/>
              <w:bottom w:val="single" w:color="auto" w:sz="4" w:space="0"/>
              <w:right w:val="single" w:color="auto" w:sz="4" w:space="0"/>
            </w:tcBorders>
            <w:shd w:val="clear" w:color="auto" w:fill="auto"/>
            <w:vAlign w:val="center"/>
          </w:tcPr>
          <w:p w14:paraId="738D4DF4">
            <w:pPr>
              <w:widowControl/>
              <w:spacing w:line="600" w:lineRule="exact"/>
              <w:ind w:firstLine="200"/>
              <w:jc w:val="center"/>
              <w:rPr>
                <w:rFonts w:ascii="Times New Roman" w:hAnsi="Times New Roman" w:eastAsia="仿宋_GB2312" w:cs="Times New Roman"/>
                <w:kern w:val="0"/>
                <w:sz w:val="28"/>
                <w:szCs w:val="28"/>
              </w:rPr>
            </w:pPr>
            <w:r>
              <w:rPr>
                <w:rFonts w:ascii="Times New Roman" w:hAnsi="Times New Roman" w:eastAsia="仿宋_GB2312" w:cs="Times New Roman"/>
                <w:kern w:val="0"/>
                <w:sz w:val="28"/>
                <w:szCs w:val="28"/>
              </w:rPr>
              <w:t>资产总额</w:t>
            </w:r>
          </w:p>
        </w:tc>
        <w:tc>
          <w:tcPr>
            <w:tcW w:w="2532" w:type="dxa"/>
            <w:tcBorders>
              <w:top w:val="nil"/>
              <w:left w:val="nil"/>
              <w:bottom w:val="single" w:color="auto" w:sz="4" w:space="0"/>
              <w:right w:val="single" w:color="auto" w:sz="4" w:space="0"/>
            </w:tcBorders>
            <w:shd w:val="clear" w:color="auto" w:fill="auto"/>
            <w:vAlign w:val="center"/>
          </w:tcPr>
          <w:p w14:paraId="1C8A0124">
            <w:pPr>
              <w:widowControl/>
              <w:spacing w:line="600" w:lineRule="exact"/>
              <w:ind w:firstLine="200"/>
              <w:rPr>
                <w:rFonts w:ascii="Times New Roman" w:hAnsi="Times New Roman" w:eastAsia="仿宋_GB2312" w:cs="Times New Roman"/>
                <w:kern w:val="0"/>
                <w:sz w:val="28"/>
                <w:szCs w:val="28"/>
              </w:rPr>
            </w:pPr>
          </w:p>
        </w:tc>
        <w:tc>
          <w:tcPr>
            <w:tcW w:w="3437" w:type="dxa"/>
            <w:tcBorders>
              <w:top w:val="nil"/>
              <w:left w:val="nil"/>
              <w:bottom w:val="single" w:color="auto" w:sz="4" w:space="0"/>
              <w:right w:val="single" w:color="auto" w:sz="4" w:space="0"/>
            </w:tcBorders>
            <w:shd w:val="clear" w:color="auto" w:fill="auto"/>
            <w:vAlign w:val="center"/>
          </w:tcPr>
          <w:p w14:paraId="37004996">
            <w:pPr>
              <w:widowControl/>
              <w:spacing w:line="600" w:lineRule="exact"/>
              <w:ind w:firstLine="200"/>
              <w:jc w:val="center"/>
              <w:rPr>
                <w:rFonts w:hint="default" w:ascii="Times New Roman" w:hAnsi="Times New Roman" w:eastAsia="仿宋_GB2312" w:cs="Times New Roman"/>
                <w:kern w:val="0"/>
                <w:sz w:val="28"/>
                <w:szCs w:val="28"/>
                <w:highlight w:val="yellow"/>
                <w:lang w:val="en-US" w:eastAsia="zh-CN"/>
              </w:rPr>
            </w:pPr>
            <w:r>
              <w:rPr>
                <w:rFonts w:hint="eastAsia" w:ascii="Times New Roman" w:hAnsi="Times New Roman" w:eastAsia="仿宋_GB2312" w:cs="Times New Roman"/>
                <w:kern w:val="0"/>
                <w:sz w:val="28"/>
                <w:szCs w:val="28"/>
                <w:lang w:val="en-US" w:eastAsia="zh-CN"/>
              </w:rPr>
              <w:t>17.571857</w:t>
            </w:r>
          </w:p>
        </w:tc>
      </w:tr>
      <w:tr w14:paraId="17DA4FE1">
        <w:tblPrEx>
          <w:tblCellMar>
            <w:top w:w="0" w:type="dxa"/>
            <w:left w:w="108" w:type="dxa"/>
            <w:bottom w:w="0" w:type="dxa"/>
            <w:right w:w="108" w:type="dxa"/>
          </w:tblCellMar>
        </w:tblPrEx>
        <w:trPr>
          <w:trHeight w:val="645" w:hRule="atLeast"/>
          <w:jc w:val="center"/>
        </w:trPr>
        <w:tc>
          <w:tcPr>
            <w:tcW w:w="5886" w:type="dxa"/>
            <w:tcBorders>
              <w:top w:val="nil"/>
              <w:left w:val="single" w:color="auto" w:sz="4" w:space="0"/>
              <w:bottom w:val="single" w:color="auto" w:sz="4" w:space="0"/>
              <w:right w:val="single" w:color="auto" w:sz="4" w:space="0"/>
            </w:tcBorders>
            <w:shd w:val="clear" w:color="auto" w:fill="auto"/>
            <w:vAlign w:val="center"/>
          </w:tcPr>
          <w:p w14:paraId="7803CB02">
            <w:pPr>
              <w:widowControl/>
              <w:spacing w:line="600" w:lineRule="exact"/>
              <w:ind w:firstLine="200"/>
              <w:rPr>
                <w:rFonts w:ascii="Times New Roman" w:hAnsi="Times New Roman" w:eastAsia="仿宋_GB2312" w:cs="Times New Roman"/>
                <w:kern w:val="0"/>
                <w:sz w:val="28"/>
                <w:szCs w:val="28"/>
              </w:rPr>
            </w:pPr>
            <w:r>
              <w:rPr>
                <w:rFonts w:ascii="Times New Roman" w:hAnsi="Times New Roman" w:eastAsia="仿宋_GB2312" w:cs="Times New Roman"/>
                <w:kern w:val="0"/>
                <w:sz w:val="28"/>
                <w:szCs w:val="28"/>
              </w:rPr>
              <w:t>1、房屋（平方米）</w:t>
            </w:r>
          </w:p>
        </w:tc>
        <w:tc>
          <w:tcPr>
            <w:tcW w:w="2532" w:type="dxa"/>
            <w:tcBorders>
              <w:top w:val="nil"/>
              <w:left w:val="nil"/>
              <w:bottom w:val="single" w:color="auto" w:sz="4" w:space="0"/>
              <w:right w:val="single" w:color="auto" w:sz="4" w:space="0"/>
            </w:tcBorders>
            <w:shd w:val="clear" w:color="auto" w:fill="auto"/>
            <w:vAlign w:val="center"/>
          </w:tcPr>
          <w:p w14:paraId="1126F5E7">
            <w:pPr>
              <w:spacing w:line="600" w:lineRule="exact"/>
              <w:ind w:firstLine="200"/>
              <w:rPr>
                <w:rFonts w:ascii="Times New Roman" w:hAnsi="Times New Roman" w:eastAsia="仿宋_GB2312" w:cs="Times New Roman"/>
                <w:sz w:val="28"/>
                <w:szCs w:val="28"/>
              </w:rPr>
            </w:pPr>
          </w:p>
        </w:tc>
        <w:tc>
          <w:tcPr>
            <w:tcW w:w="3437" w:type="dxa"/>
            <w:tcBorders>
              <w:top w:val="nil"/>
              <w:left w:val="nil"/>
              <w:bottom w:val="single" w:color="auto" w:sz="4" w:space="0"/>
              <w:right w:val="single" w:color="auto" w:sz="4" w:space="0"/>
            </w:tcBorders>
            <w:shd w:val="clear" w:color="auto" w:fill="auto"/>
            <w:vAlign w:val="center"/>
          </w:tcPr>
          <w:p w14:paraId="350BA066">
            <w:pPr>
              <w:spacing w:line="600" w:lineRule="exact"/>
              <w:ind w:firstLine="200"/>
              <w:jc w:val="center"/>
              <w:rPr>
                <w:rFonts w:ascii="Times New Roman" w:hAnsi="Times New Roman" w:eastAsia="仿宋_GB2312" w:cs="Times New Roman"/>
                <w:sz w:val="28"/>
                <w:szCs w:val="28"/>
                <w:highlight w:val="yellow"/>
              </w:rPr>
            </w:pPr>
          </w:p>
        </w:tc>
      </w:tr>
      <w:tr w14:paraId="51B9E29F">
        <w:tblPrEx>
          <w:tblCellMar>
            <w:top w:w="0" w:type="dxa"/>
            <w:left w:w="108" w:type="dxa"/>
            <w:bottom w:w="0" w:type="dxa"/>
            <w:right w:w="108" w:type="dxa"/>
          </w:tblCellMar>
        </w:tblPrEx>
        <w:trPr>
          <w:trHeight w:val="645" w:hRule="atLeast"/>
          <w:jc w:val="center"/>
        </w:trPr>
        <w:tc>
          <w:tcPr>
            <w:tcW w:w="5886" w:type="dxa"/>
            <w:tcBorders>
              <w:top w:val="nil"/>
              <w:left w:val="single" w:color="auto" w:sz="4" w:space="0"/>
              <w:bottom w:val="single" w:color="auto" w:sz="4" w:space="0"/>
              <w:right w:val="single" w:color="auto" w:sz="4" w:space="0"/>
            </w:tcBorders>
            <w:shd w:val="clear" w:color="auto" w:fill="auto"/>
            <w:vAlign w:val="center"/>
          </w:tcPr>
          <w:p w14:paraId="4A235548">
            <w:pPr>
              <w:widowControl/>
              <w:spacing w:line="600" w:lineRule="exact"/>
              <w:ind w:firstLine="200"/>
              <w:rPr>
                <w:rFonts w:ascii="Times New Roman" w:hAnsi="Times New Roman" w:eastAsia="仿宋_GB2312" w:cs="Times New Roman"/>
                <w:kern w:val="0"/>
                <w:sz w:val="28"/>
                <w:szCs w:val="28"/>
              </w:rPr>
            </w:pPr>
            <w:r>
              <w:rPr>
                <w:rFonts w:ascii="Times New Roman" w:hAnsi="Times New Roman" w:eastAsia="仿宋_GB2312" w:cs="Times New Roman"/>
                <w:kern w:val="0"/>
                <w:sz w:val="28"/>
                <w:szCs w:val="28"/>
              </w:rPr>
              <w:t xml:space="preserve">   其中：办公用房（平方米）</w:t>
            </w:r>
          </w:p>
        </w:tc>
        <w:tc>
          <w:tcPr>
            <w:tcW w:w="2532" w:type="dxa"/>
            <w:tcBorders>
              <w:top w:val="nil"/>
              <w:left w:val="nil"/>
              <w:bottom w:val="single" w:color="auto" w:sz="4" w:space="0"/>
              <w:right w:val="single" w:color="auto" w:sz="4" w:space="0"/>
            </w:tcBorders>
            <w:shd w:val="clear" w:color="auto" w:fill="auto"/>
            <w:vAlign w:val="center"/>
          </w:tcPr>
          <w:p w14:paraId="75333AB7">
            <w:pPr>
              <w:spacing w:line="600" w:lineRule="exact"/>
              <w:ind w:firstLine="200"/>
              <w:jc w:val="center"/>
              <w:rPr>
                <w:rFonts w:ascii="Times New Roman" w:hAnsi="Times New Roman" w:eastAsia="仿宋_GB2312" w:cs="Times New Roman"/>
                <w:sz w:val="28"/>
                <w:szCs w:val="28"/>
              </w:rPr>
            </w:pPr>
          </w:p>
        </w:tc>
        <w:tc>
          <w:tcPr>
            <w:tcW w:w="3437" w:type="dxa"/>
            <w:tcBorders>
              <w:top w:val="nil"/>
              <w:left w:val="nil"/>
              <w:bottom w:val="single" w:color="auto" w:sz="4" w:space="0"/>
              <w:right w:val="single" w:color="auto" w:sz="4" w:space="0"/>
            </w:tcBorders>
            <w:shd w:val="clear" w:color="auto" w:fill="auto"/>
            <w:vAlign w:val="center"/>
          </w:tcPr>
          <w:p w14:paraId="4804F7D6">
            <w:pPr>
              <w:spacing w:line="600" w:lineRule="exact"/>
              <w:ind w:firstLine="200"/>
              <w:jc w:val="center"/>
              <w:rPr>
                <w:rFonts w:ascii="Times New Roman" w:hAnsi="Times New Roman" w:eastAsia="仿宋_GB2312" w:cs="Times New Roman"/>
                <w:sz w:val="28"/>
                <w:szCs w:val="28"/>
                <w:highlight w:val="yellow"/>
              </w:rPr>
            </w:pPr>
          </w:p>
        </w:tc>
      </w:tr>
      <w:tr w14:paraId="2F3E57BD">
        <w:tblPrEx>
          <w:tblCellMar>
            <w:top w:w="0" w:type="dxa"/>
            <w:left w:w="108" w:type="dxa"/>
            <w:bottom w:w="0" w:type="dxa"/>
            <w:right w:w="108" w:type="dxa"/>
          </w:tblCellMar>
        </w:tblPrEx>
        <w:trPr>
          <w:trHeight w:val="645" w:hRule="atLeast"/>
          <w:jc w:val="center"/>
        </w:trPr>
        <w:tc>
          <w:tcPr>
            <w:tcW w:w="5886" w:type="dxa"/>
            <w:tcBorders>
              <w:top w:val="nil"/>
              <w:left w:val="single" w:color="auto" w:sz="4" w:space="0"/>
              <w:bottom w:val="single" w:color="auto" w:sz="4" w:space="0"/>
              <w:right w:val="single" w:color="auto" w:sz="4" w:space="0"/>
            </w:tcBorders>
            <w:shd w:val="clear" w:color="auto" w:fill="auto"/>
            <w:vAlign w:val="center"/>
          </w:tcPr>
          <w:p w14:paraId="77EF2103">
            <w:pPr>
              <w:widowControl/>
              <w:spacing w:line="600" w:lineRule="exact"/>
              <w:ind w:firstLine="200"/>
              <w:rPr>
                <w:rFonts w:ascii="Times New Roman" w:hAnsi="Times New Roman" w:eastAsia="仿宋_GB2312" w:cs="Times New Roman"/>
                <w:kern w:val="0"/>
                <w:sz w:val="28"/>
                <w:szCs w:val="28"/>
              </w:rPr>
            </w:pPr>
            <w:r>
              <w:rPr>
                <w:rFonts w:ascii="Times New Roman" w:hAnsi="Times New Roman" w:eastAsia="仿宋_GB2312" w:cs="Times New Roman"/>
                <w:kern w:val="0"/>
                <w:sz w:val="28"/>
                <w:szCs w:val="28"/>
              </w:rPr>
              <w:t>2、车辆（台、辆）</w:t>
            </w:r>
          </w:p>
        </w:tc>
        <w:tc>
          <w:tcPr>
            <w:tcW w:w="2532" w:type="dxa"/>
            <w:tcBorders>
              <w:top w:val="nil"/>
              <w:left w:val="nil"/>
              <w:bottom w:val="single" w:color="auto" w:sz="4" w:space="0"/>
              <w:right w:val="single" w:color="auto" w:sz="4" w:space="0"/>
            </w:tcBorders>
            <w:shd w:val="clear" w:color="auto" w:fill="auto"/>
            <w:vAlign w:val="center"/>
          </w:tcPr>
          <w:p w14:paraId="735F92A8">
            <w:pPr>
              <w:spacing w:line="600" w:lineRule="exact"/>
              <w:ind w:firstLine="200"/>
              <w:jc w:val="center"/>
              <w:rPr>
                <w:rFonts w:ascii="Times New Roman" w:hAnsi="Times New Roman" w:eastAsia="仿宋_GB2312" w:cs="Times New Roman"/>
                <w:sz w:val="28"/>
                <w:szCs w:val="28"/>
              </w:rPr>
            </w:pPr>
          </w:p>
        </w:tc>
        <w:tc>
          <w:tcPr>
            <w:tcW w:w="3437" w:type="dxa"/>
            <w:tcBorders>
              <w:top w:val="nil"/>
              <w:left w:val="nil"/>
              <w:bottom w:val="single" w:color="auto" w:sz="4" w:space="0"/>
              <w:right w:val="single" w:color="auto" w:sz="4" w:space="0"/>
            </w:tcBorders>
            <w:shd w:val="clear" w:color="auto" w:fill="auto"/>
            <w:vAlign w:val="center"/>
          </w:tcPr>
          <w:p w14:paraId="375FFBC2">
            <w:pPr>
              <w:spacing w:line="600" w:lineRule="exact"/>
              <w:ind w:firstLine="200"/>
              <w:jc w:val="center"/>
              <w:rPr>
                <w:rFonts w:ascii="Times New Roman" w:hAnsi="Times New Roman" w:eastAsia="仿宋_GB2312" w:cs="Times New Roman"/>
                <w:sz w:val="28"/>
                <w:szCs w:val="28"/>
                <w:highlight w:val="yellow"/>
              </w:rPr>
            </w:pPr>
          </w:p>
        </w:tc>
      </w:tr>
      <w:tr w14:paraId="27533667">
        <w:tblPrEx>
          <w:tblCellMar>
            <w:top w:w="0" w:type="dxa"/>
            <w:left w:w="108" w:type="dxa"/>
            <w:bottom w:w="0" w:type="dxa"/>
            <w:right w:w="108" w:type="dxa"/>
          </w:tblCellMar>
        </w:tblPrEx>
        <w:trPr>
          <w:trHeight w:val="645" w:hRule="atLeast"/>
          <w:jc w:val="center"/>
        </w:trPr>
        <w:tc>
          <w:tcPr>
            <w:tcW w:w="5886" w:type="dxa"/>
            <w:tcBorders>
              <w:top w:val="nil"/>
              <w:left w:val="single" w:color="auto" w:sz="4" w:space="0"/>
              <w:bottom w:val="single" w:color="auto" w:sz="4" w:space="0"/>
              <w:right w:val="single" w:color="auto" w:sz="4" w:space="0"/>
            </w:tcBorders>
            <w:shd w:val="clear" w:color="auto" w:fill="auto"/>
            <w:vAlign w:val="center"/>
          </w:tcPr>
          <w:p w14:paraId="24D2C699">
            <w:pPr>
              <w:widowControl/>
              <w:spacing w:line="600" w:lineRule="exact"/>
              <w:ind w:firstLine="200"/>
              <w:rPr>
                <w:rFonts w:ascii="Times New Roman" w:hAnsi="Times New Roman" w:eastAsia="仿宋_GB2312" w:cs="Times New Roman"/>
                <w:kern w:val="0"/>
                <w:sz w:val="28"/>
                <w:szCs w:val="28"/>
              </w:rPr>
            </w:pPr>
            <w:r>
              <w:rPr>
                <w:rFonts w:ascii="Times New Roman" w:hAnsi="Times New Roman" w:eastAsia="仿宋_GB2312" w:cs="Times New Roman"/>
                <w:kern w:val="0"/>
                <w:sz w:val="28"/>
                <w:szCs w:val="28"/>
              </w:rPr>
              <w:t>3、单价在20万元以上的设备</w:t>
            </w:r>
          </w:p>
        </w:tc>
        <w:tc>
          <w:tcPr>
            <w:tcW w:w="2532" w:type="dxa"/>
            <w:tcBorders>
              <w:top w:val="nil"/>
              <w:left w:val="nil"/>
              <w:bottom w:val="single" w:color="auto" w:sz="4" w:space="0"/>
              <w:right w:val="single" w:color="auto" w:sz="4" w:space="0"/>
            </w:tcBorders>
            <w:shd w:val="clear" w:color="auto" w:fill="auto"/>
            <w:vAlign w:val="center"/>
          </w:tcPr>
          <w:p w14:paraId="4F5F517C">
            <w:pPr>
              <w:spacing w:line="600" w:lineRule="exact"/>
              <w:ind w:firstLine="200"/>
              <w:jc w:val="center"/>
              <w:rPr>
                <w:rFonts w:ascii="Times New Roman" w:hAnsi="Times New Roman" w:eastAsia="仿宋_GB2312" w:cs="Times New Roman"/>
                <w:sz w:val="28"/>
                <w:szCs w:val="28"/>
              </w:rPr>
            </w:pPr>
          </w:p>
        </w:tc>
        <w:tc>
          <w:tcPr>
            <w:tcW w:w="3437" w:type="dxa"/>
            <w:tcBorders>
              <w:top w:val="nil"/>
              <w:left w:val="nil"/>
              <w:bottom w:val="single" w:color="auto" w:sz="4" w:space="0"/>
              <w:right w:val="single" w:color="auto" w:sz="4" w:space="0"/>
            </w:tcBorders>
            <w:shd w:val="clear" w:color="auto" w:fill="auto"/>
            <w:vAlign w:val="center"/>
          </w:tcPr>
          <w:p w14:paraId="72C51D4D">
            <w:pPr>
              <w:spacing w:line="600" w:lineRule="exact"/>
              <w:ind w:firstLine="200"/>
              <w:jc w:val="center"/>
              <w:rPr>
                <w:rFonts w:ascii="Times New Roman" w:hAnsi="Times New Roman" w:eastAsia="仿宋_GB2312" w:cs="Times New Roman"/>
                <w:sz w:val="28"/>
                <w:szCs w:val="28"/>
                <w:highlight w:val="yellow"/>
              </w:rPr>
            </w:pPr>
          </w:p>
        </w:tc>
      </w:tr>
      <w:tr w14:paraId="1CDEB4FE">
        <w:tblPrEx>
          <w:tblCellMar>
            <w:top w:w="0" w:type="dxa"/>
            <w:left w:w="108" w:type="dxa"/>
            <w:bottom w:w="0" w:type="dxa"/>
            <w:right w:w="108" w:type="dxa"/>
          </w:tblCellMar>
        </w:tblPrEx>
        <w:trPr>
          <w:trHeight w:val="645" w:hRule="atLeast"/>
          <w:jc w:val="center"/>
        </w:trPr>
        <w:tc>
          <w:tcPr>
            <w:tcW w:w="5886" w:type="dxa"/>
            <w:tcBorders>
              <w:top w:val="nil"/>
              <w:left w:val="single" w:color="auto" w:sz="4" w:space="0"/>
              <w:bottom w:val="single" w:color="auto" w:sz="4" w:space="0"/>
              <w:right w:val="single" w:color="auto" w:sz="4" w:space="0"/>
            </w:tcBorders>
            <w:shd w:val="clear" w:color="auto" w:fill="auto"/>
            <w:vAlign w:val="center"/>
          </w:tcPr>
          <w:p w14:paraId="5A56B144">
            <w:pPr>
              <w:widowControl/>
              <w:spacing w:line="600" w:lineRule="exact"/>
              <w:ind w:firstLine="200"/>
              <w:rPr>
                <w:rFonts w:hint="eastAsia" w:ascii="Times New Roman" w:hAnsi="Times New Roman" w:eastAsia="仿宋_GB2312" w:cs="Times New Roman"/>
                <w:kern w:val="0"/>
                <w:sz w:val="28"/>
                <w:szCs w:val="28"/>
                <w:lang w:eastAsia="zh-CN"/>
              </w:rPr>
            </w:pPr>
            <w:r>
              <w:rPr>
                <w:rFonts w:ascii="Times New Roman" w:hAnsi="Times New Roman" w:eastAsia="仿宋_GB2312" w:cs="Times New Roman"/>
                <w:kern w:val="0"/>
                <w:sz w:val="28"/>
                <w:szCs w:val="28"/>
              </w:rPr>
              <w:t>4、其他固定资产</w:t>
            </w:r>
          </w:p>
        </w:tc>
        <w:tc>
          <w:tcPr>
            <w:tcW w:w="2532" w:type="dxa"/>
            <w:tcBorders>
              <w:top w:val="nil"/>
              <w:left w:val="nil"/>
              <w:bottom w:val="single" w:color="auto" w:sz="4" w:space="0"/>
              <w:right w:val="single" w:color="auto" w:sz="4" w:space="0"/>
            </w:tcBorders>
            <w:shd w:val="clear" w:color="auto" w:fill="auto"/>
            <w:vAlign w:val="center"/>
          </w:tcPr>
          <w:p w14:paraId="2D3DF4D7">
            <w:pPr>
              <w:spacing w:line="600" w:lineRule="exact"/>
              <w:ind w:firstLine="200"/>
              <w:rPr>
                <w:rFonts w:ascii="Times New Roman" w:hAnsi="Times New Roman" w:eastAsia="仿宋_GB2312" w:cs="Times New Roman"/>
                <w:sz w:val="28"/>
                <w:szCs w:val="28"/>
              </w:rPr>
            </w:pPr>
          </w:p>
        </w:tc>
        <w:tc>
          <w:tcPr>
            <w:tcW w:w="3437" w:type="dxa"/>
            <w:tcBorders>
              <w:top w:val="nil"/>
              <w:left w:val="nil"/>
              <w:bottom w:val="single" w:color="auto" w:sz="4" w:space="0"/>
              <w:right w:val="single" w:color="auto" w:sz="4" w:space="0"/>
            </w:tcBorders>
            <w:shd w:val="clear" w:color="auto" w:fill="auto"/>
            <w:vAlign w:val="center"/>
          </w:tcPr>
          <w:p w14:paraId="0D666129">
            <w:pPr>
              <w:spacing w:line="600" w:lineRule="exact"/>
              <w:ind w:firstLine="200"/>
              <w:jc w:val="center"/>
              <w:rPr>
                <w:rFonts w:hint="default"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17.571857</w:t>
            </w:r>
          </w:p>
        </w:tc>
      </w:tr>
    </w:tbl>
    <w:p w14:paraId="659E71DF">
      <w:pPr>
        <w:autoSpaceDE w:val="0"/>
        <w:autoSpaceDN w:val="0"/>
        <w:adjustRightInd w:val="0"/>
        <w:spacing w:line="600" w:lineRule="exact"/>
        <w:rPr>
          <w:rFonts w:ascii="Times New Roman" w:hAnsi="Times New Roman" w:eastAsia="仿宋_GB2312" w:cs="Times New Roman"/>
          <w:sz w:val="32"/>
          <w:szCs w:val="32"/>
        </w:rPr>
      </w:pPr>
    </w:p>
    <w:p w14:paraId="0436BB5B">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八、名词解释</w:t>
      </w:r>
    </w:p>
    <w:p w14:paraId="3D7D1726">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仿宋"/>
          <w:sz w:val="32"/>
          <w:szCs w:val="32"/>
        </w:rPr>
        <w:t>、一般公共预算拨款收入：指</w:t>
      </w:r>
      <w:r>
        <w:rPr>
          <w:rFonts w:hint="eastAsia" w:ascii="Times New Roman" w:hAnsi="Times New Roman" w:eastAsia="仿宋" w:cs="仿宋"/>
          <w:sz w:val="32"/>
          <w:szCs w:val="32"/>
          <w:lang w:eastAsia="zh-CN"/>
        </w:rPr>
        <w:t>县</w:t>
      </w:r>
      <w:r>
        <w:rPr>
          <w:rFonts w:hint="eastAsia" w:ascii="Times New Roman" w:hAnsi="Times New Roman" w:eastAsia="仿宋" w:cs="仿宋"/>
          <w:sz w:val="32"/>
          <w:szCs w:val="32"/>
        </w:rPr>
        <w:t>级财政当年拨付的资金。</w:t>
      </w:r>
    </w:p>
    <w:p w14:paraId="3DC1BCB4">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仿宋"/>
          <w:sz w:val="32"/>
          <w:szCs w:val="32"/>
        </w:rPr>
        <w:t>、事业收入：指事业单位开展专业业务活动及辅助活动所取得的收入。</w:t>
      </w:r>
    </w:p>
    <w:p w14:paraId="283A7751">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仿宋"/>
          <w:sz w:val="32"/>
          <w:szCs w:val="32"/>
        </w:rPr>
        <w:t>、其他收入：指除“一般公共预算拨款收入”、“事业收入”等以外的收入。主要是按规定动用的租房收入、存款利息收入等。</w:t>
      </w:r>
    </w:p>
    <w:p w14:paraId="508845BB">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4</w:t>
      </w:r>
      <w:r>
        <w:rPr>
          <w:rFonts w:hint="eastAsia" w:ascii="Times New Roman" w:hAnsi="Times New Roman" w:eastAsia="仿宋" w:cs="仿宋"/>
          <w:sz w:val="32"/>
          <w:szCs w:val="32"/>
        </w:rPr>
        <w:t>、基本支出：指为保障机构正常运转、完成日常工作任务而发生的人员支出和公用支出。</w:t>
      </w:r>
    </w:p>
    <w:p w14:paraId="1D7FB514">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5</w:t>
      </w:r>
      <w:r>
        <w:rPr>
          <w:rFonts w:hint="eastAsia" w:ascii="Times New Roman" w:hAnsi="Times New Roman" w:eastAsia="仿宋" w:cs="仿宋"/>
          <w:sz w:val="32"/>
          <w:szCs w:val="32"/>
        </w:rPr>
        <w:t>、项目支出：指在基本支出之外为完成特定行政任务和事业发展目标所发生的支出。</w:t>
      </w:r>
    </w:p>
    <w:p w14:paraId="7B1A722E">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6</w:t>
      </w:r>
      <w:r>
        <w:rPr>
          <w:rFonts w:hint="eastAsia" w:ascii="Times New Roman" w:hAnsi="Times New Roman" w:eastAsia="仿宋" w:cs="仿宋"/>
          <w:sz w:val="32"/>
          <w:szCs w:val="32"/>
        </w:rPr>
        <w:t>、上缴上级支出：指下级单位上缴上级的支出。</w:t>
      </w:r>
    </w:p>
    <w:p w14:paraId="0AAA618C">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7</w:t>
      </w:r>
      <w:r>
        <w:rPr>
          <w:rFonts w:hint="eastAsia" w:ascii="Times New Roman" w:hAnsi="Times New Roman" w:eastAsia="仿宋" w:cs="仿宋"/>
          <w:sz w:val="32"/>
          <w:szCs w:val="32"/>
        </w:rPr>
        <w:t>、“三公”经费：纳入</w:t>
      </w:r>
      <w:r>
        <w:rPr>
          <w:rFonts w:hint="eastAsia" w:ascii="Times New Roman" w:hAnsi="Times New Roman" w:eastAsia="仿宋" w:cs="仿宋"/>
          <w:sz w:val="32"/>
          <w:szCs w:val="32"/>
          <w:lang w:eastAsia="zh-CN"/>
        </w:rPr>
        <w:t>县</w:t>
      </w:r>
      <w:r>
        <w:rPr>
          <w:rFonts w:hint="eastAsia" w:ascii="Times New Roman" w:hAnsi="Times New Roman" w:eastAsia="仿宋" w:cs="仿宋"/>
          <w:sz w:val="32"/>
          <w:szCs w:val="32"/>
        </w:rPr>
        <w:t>级财政预算管理的“三公”经费，是指</w:t>
      </w:r>
      <w:r>
        <w:rPr>
          <w:rFonts w:hint="eastAsia" w:ascii="Times New Roman" w:hAnsi="Times New Roman" w:eastAsia="仿宋" w:cs="仿宋"/>
          <w:sz w:val="32"/>
          <w:szCs w:val="32"/>
          <w:lang w:eastAsia="zh-CN"/>
        </w:rPr>
        <w:t>县</w:t>
      </w:r>
      <w:r>
        <w:rPr>
          <w:rFonts w:hint="eastAsia" w:ascii="Times New Roman" w:hAnsi="Times New Roman" w:eastAsia="仿宋" w:cs="仿宋"/>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2974581A">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8</w:t>
      </w:r>
      <w:r>
        <w:rPr>
          <w:rFonts w:hint="eastAsia" w:ascii="Times New Roman" w:hAnsi="Times New Roman" w:eastAsia="仿宋" w:cs="仿宋"/>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14:paraId="701EF205">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9</w:t>
      </w:r>
      <w:r>
        <w:rPr>
          <w:rFonts w:hint="eastAsia" w:ascii="Times New Roman" w:hAnsi="Times New Roman" w:eastAsia="仿宋" w:cs="仿宋"/>
          <w:sz w:val="32"/>
          <w:szCs w:val="32"/>
        </w:rPr>
        <w:t>、上年结转：指以前年度尚未完成、结转到本年仍按原规定用途继续使用的资金。</w:t>
      </w:r>
    </w:p>
    <w:p w14:paraId="6CA3BA02">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10</w:t>
      </w:r>
      <w:r>
        <w:rPr>
          <w:rFonts w:hint="eastAsia" w:ascii="Times New Roman" w:hAnsi="Times New Roman" w:eastAsia="仿宋" w:cs="仿宋"/>
          <w:sz w:val="32"/>
          <w:szCs w:val="32"/>
        </w:rPr>
        <w:t>、事业单位经营支出：指事业单位在专业业务活动及其辅助活动之外开展非独立核算经营活动发生的支出。</w:t>
      </w:r>
    </w:p>
    <w:p w14:paraId="73C44F62">
      <w:pPr>
        <w:ind w:firstLine="643" w:firstLineChars="200"/>
        <w:rPr>
          <w:rFonts w:ascii="宋体-方正超大字符集" w:hAnsi="宋体-方正超大字符集" w:eastAsia="宋体-方正超大字符集" w:cs="Times New Roman"/>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14:paraId="7795587D">
      <w:pPr>
        <w:ind w:firstLine="640" w:firstLineChars="200"/>
        <w:rPr>
          <w:rFonts w:ascii="Times New Roman" w:hAnsi="Times New Roman" w:eastAsia="仿宋" w:cs="Times New Roman"/>
          <w:sz w:val="32"/>
          <w:szCs w:val="32"/>
        </w:rPr>
      </w:pPr>
      <w:r>
        <w:rPr>
          <w:rFonts w:hint="eastAsia" w:ascii="Times New Roman" w:hAnsi="Times New Roman" w:eastAsia="仿宋" w:cs="仿宋"/>
          <w:sz w:val="32"/>
          <w:szCs w:val="32"/>
        </w:rPr>
        <w:t>我部门无其他需要说明的事项。</w:t>
      </w:r>
    </w:p>
    <w:sectPr>
      <w:footerReference r:id="rId4"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仿宋_GBK">
    <w:panose1 w:val="03000509000000000000"/>
    <w:charset w:val="86"/>
    <w:family w:val="script"/>
    <w:pitch w:val="default"/>
    <w:sig w:usb0="00000001" w:usb1="080E0000" w:usb2="00000000" w:usb3="00000000" w:csb0="00040000" w:csb1="00000000"/>
  </w:font>
  <w:font w:name="方正书宋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宋体-方正超大字符集">
    <w:altName w:val="宋体"/>
    <w:panose1 w:val="03000509000000000000"/>
    <w:charset w:val="86"/>
    <w:family w:val="script"/>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776A93">
    <w:pPr>
      <w:pStyle w:val="2"/>
      <w:framePr w:wrap="around" w:vAnchor="text" w:hAnchor="margin" w:xAlign="outside" w:y="1"/>
      <w:rPr>
        <w:rStyle w:val="15"/>
      </w:rPr>
    </w:pPr>
    <w:r>
      <w:rPr>
        <w:rStyle w:val="15"/>
      </w:rPr>
      <w:fldChar w:fldCharType="begin"/>
    </w:r>
    <w:r>
      <w:rPr>
        <w:rStyle w:val="15"/>
      </w:rPr>
      <w:instrText xml:space="preserve">PAGE  </w:instrText>
    </w:r>
    <w:r>
      <w:rPr>
        <w:rStyle w:val="15"/>
      </w:rPr>
      <w:fldChar w:fldCharType="separate"/>
    </w:r>
    <w:r>
      <w:rPr>
        <w:rStyle w:val="15"/>
      </w:rPr>
      <w:t>8</w:t>
    </w:r>
    <w:r>
      <w:rPr>
        <w:rStyle w:val="15"/>
      </w:rPr>
      <w:fldChar w:fldCharType="end"/>
    </w:r>
  </w:p>
  <w:p w14:paraId="7F105CE8">
    <w:pPr>
      <w:pStyle w:val="2"/>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2A99BB">
    <w:pPr>
      <w:pStyle w:val="2"/>
      <w:framePr w:wrap="around" w:vAnchor="text" w:hAnchor="margin" w:xAlign="outside" w:y="1"/>
      <w:rPr>
        <w:rStyle w:val="15"/>
      </w:rPr>
    </w:pPr>
    <w:r>
      <w:rPr>
        <w:rStyle w:val="15"/>
      </w:rPr>
      <w:fldChar w:fldCharType="begin"/>
    </w:r>
    <w:r>
      <w:rPr>
        <w:rStyle w:val="15"/>
      </w:rPr>
      <w:instrText xml:space="preserve">PAGE  </w:instrText>
    </w:r>
    <w:r>
      <w:rPr>
        <w:rStyle w:val="15"/>
      </w:rPr>
      <w:fldChar w:fldCharType="separate"/>
    </w:r>
    <w:r>
      <w:rPr>
        <w:rStyle w:val="15"/>
      </w:rPr>
      <w:t>17</w:t>
    </w:r>
    <w:r>
      <w:rPr>
        <w:rStyle w:val="15"/>
      </w:rPr>
      <w:fldChar w:fldCharType="end"/>
    </w:r>
  </w:p>
  <w:p w14:paraId="7ABD0FCF">
    <w:pPr>
      <w:pStyle w:val="2"/>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D670F4C"/>
    <w:multiLevelType w:val="singleLevel"/>
    <w:tmpl w:val="AD670F4C"/>
    <w:lvl w:ilvl="0" w:tentative="0">
      <w:start w:val="7"/>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oNotHyphenateCaps/>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E0MDAzYmNjM2NmMzFjZTY0ZTE1NGYzNDAxODAyZjUifQ=="/>
  </w:docVars>
  <w:rsids>
    <w:rsidRoot w:val="00EE71BA"/>
    <w:rsid w:val="000C7140"/>
    <w:rsid w:val="00130B83"/>
    <w:rsid w:val="00323B29"/>
    <w:rsid w:val="0037182B"/>
    <w:rsid w:val="00380E4E"/>
    <w:rsid w:val="003812C5"/>
    <w:rsid w:val="0039059E"/>
    <w:rsid w:val="003908A4"/>
    <w:rsid w:val="004F746B"/>
    <w:rsid w:val="007F0341"/>
    <w:rsid w:val="009A521C"/>
    <w:rsid w:val="009C37B2"/>
    <w:rsid w:val="00AD0498"/>
    <w:rsid w:val="00C83F8D"/>
    <w:rsid w:val="00D27E12"/>
    <w:rsid w:val="00D607DA"/>
    <w:rsid w:val="00DC6EE5"/>
    <w:rsid w:val="00DF594F"/>
    <w:rsid w:val="00EE71BA"/>
    <w:rsid w:val="00F867E4"/>
    <w:rsid w:val="00F87E4C"/>
    <w:rsid w:val="09D0098B"/>
    <w:rsid w:val="0B496169"/>
    <w:rsid w:val="0CB87CF7"/>
    <w:rsid w:val="0E327C97"/>
    <w:rsid w:val="12B851EB"/>
    <w:rsid w:val="2F64737E"/>
    <w:rsid w:val="322F1693"/>
    <w:rsid w:val="33A85765"/>
    <w:rsid w:val="3A482251"/>
    <w:rsid w:val="3C8914C6"/>
    <w:rsid w:val="4A2E099A"/>
    <w:rsid w:val="4BE31185"/>
    <w:rsid w:val="4C600BA2"/>
    <w:rsid w:val="5D8F1489"/>
    <w:rsid w:val="62364238"/>
    <w:rsid w:val="64DE76AC"/>
    <w:rsid w:val="66B37324"/>
    <w:rsid w:val="6E6E6340"/>
    <w:rsid w:val="776B5206"/>
    <w:rsid w:val="7F7B6188"/>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name="toc 1"/>
    <w:lsdException w:qFormat="1" w:unhideWhenUsed="0" w:uiPriority="99" w:name="toc 2"/>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qFormat="1" w:unhideWhenUsed="0"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qFormat="1" w:unhideWhenUsed="0"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character" w:default="1" w:styleId="9">
    <w:name w:val="Default Paragraph Font"/>
    <w:semiHidden/>
    <w:qFormat/>
    <w:uiPriority w:val="99"/>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1"/>
    <w:qFormat/>
    <w:uiPriority w:val="99"/>
    <w:pPr>
      <w:tabs>
        <w:tab w:val="center" w:pos="4153"/>
        <w:tab w:val="right" w:pos="8306"/>
      </w:tabs>
      <w:snapToGrid w:val="0"/>
      <w:jc w:val="left"/>
    </w:pPr>
    <w:rPr>
      <w:rFonts w:ascii="Times New Roman" w:hAnsi="Times New Roman" w:cs="Times New Roman"/>
      <w:kern w:val="0"/>
      <w:sz w:val="18"/>
      <w:szCs w:val="18"/>
    </w:rPr>
  </w:style>
  <w:style w:type="paragraph" w:styleId="3">
    <w:name w:val="header"/>
    <w:basedOn w:val="1"/>
    <w:link w:val="12"/>
    <w:qFormat/>
    <w:uiPriority w:val="99"/>
    <w:pPr>
      <w:pBdr>
        <w:bottom w:val="single" w:color="auto" w:sz="6" w:space="1"/>
      </w:pBdr>
      <w:tabs>
        <w:tab w:val="center" w:pos="4153"/>
        <w:tab w:val="right" w:pos="8306"/>
      </w:tabs>
      <w:snapToGrid w:val="0"/>
      <w:jc w:val="center"/>
    </w:pPr>
    <w:rPr>
      <w:rFonts w:ascii="Times New Roman" w:hAnsi="Times New Roman" w:cs="Times New Roman"/>
      <w:kern w:val="0"/>
      <w:sz w:val="18"/>
      <w:szCs w:val="18"/>
    </w:rPr>
  </w:style>
  <w:style w:type="paragraph" w:styleId="4">
    <w:name w:val="toc 1"/>
    <w:basedOn w:val="1"/>
    <w:next w:val="1"/>
    <w:semiHidden/>
    <w:qFormat/>
    <w:uiPriority w:val="99"/>
    <w:rPr>
      <w:rFonts w:ascii="Times New Roman" w:hAnsi="Times New Roman" w:cs="Times New Roman"/>
    </w:rPr>
  </w:style>
  <w:style w:type="paragraph" w:styleId="5">
    <w:name w:val="footnote text"/>
    <w:basedOn w:val="1"/>
    <w:link w:val="13"/>
    <w:semiHidden/>
    <w:qFormat/>
    <w:uiPriority w:val="99"/>
    <w:pPr>
      <w:snapToGrid w:val="0"/>
      <w:jc w:val="left"/>
    </w:pPr>
    <w:rPr>
      <w:sz w:val="18"/>
      <w:szCs w:val="18"/>
    </w:rPr>
  </w:style>
  <w:style w:type="paragraph" w:styleId="6">
    <w:name w:val="toc 2"/>
    <w:basedOn w:val="1"/>
    <w:next w:val="1"/>
    <w:semiHidden/>
    <w:qFormat/>
    <w:uiPriority w:val="99"/>
    <w:pPr>
      <w:ind w:left="420" w:leftChars="200"/>
    </w:pPr>
    <w:rPr>
      <w:rFonts w:ascii="Times New Roman" w:hAnsi="Times New Roman" w:cs="Times New Roman"/>
    </w:rPr>
  </w:style>
  <w:style w:type="table" w:styleId="8">
    <w:name w:val="Table Grid"/>
    <w:basedOn w:val="7"/>
    <w:qFormat/>
    <w:locked/>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0">
    <w:name w:val="footnote reference"/>
    <w:basedOn w:val="9"/>
    <w:semiHidden/>
    <w:qFormat/>
    <w:uiPriority w:val="99"/>
    <w:rPr>
      <w:vertAlign w:val="superscript"/>
    </w:rPr>
  </w:style>
  <w:style w:type="character" w:customStyle="1" w:styleId="11">
    <w:name w:val="Footer Char"/>
    <w:basedOn w:val="9"/>
    <w:link w:val="2"/>
    <w:semiHidden/>
    <w:qFormat/>
    <w:locked/>
    <w:uiPriority w:val="99"/>
    <w:rPr>
      <w:rFonts w:ascii="Times New Roman" w:hAnsi="Times New Roman" w:eastAsia="宋体" w:cs="Times New Roman"/>
      <w:sz w:val="18"/>
      <w:szCs w:val="18"/>
    </w:rPr>
  </w:style>
  <w:style w:type="character" w:customStyle="1" w:styleId="12">
    <w:name w:val="Header Char"/>
    <w:basedOn w:val="9"/>
    <w:link w:val="3"/>
    <w:semiHidden/>
    <w:qFormat/>
    <w:locked/>
    <w:uiPriority w:val="99"/>
    <w:rPr>
      <w:rFonts w:ascii="Times New Roman" w:hAnsi="Times New Roman" w:eastAsia="宋体" w:cs="Times New Roman"/>
      <w:sz w:val="18"/>
      <w:szCs w:val="18"/>
    </w:rPr>
  </w:style>
  <w:style w:type="character" w:customStyle="1" w:styleId="13">
    <w:name w:val="Footnote Text Char"/>
    <w:basedOn w:val="9"/>
    <w:link w:val="5"/>
    <w:semiHidden/>
    <w:qFormat/>
    <w:uiPriority w:val="99"/>
    <w:rPr>
      <w:rFonts w:ascii="Calibri" w:hAnsi="Calibri" w:cs="Calibri"/>
      <w:sz w:val="18"/>
      <w:szCs w:val="18"/>
    </w:rPr>
  </w:style>
  <w:style w:type="paragraph" w:customStyle="1" w:styleId="14">
    <w:name w:val="Char"/>
    <w:basedOn w:val="1"/>
    <w:qFormat/>
    <w:uiPriority w:val="99"/>
    <w:rPr>
      <w:rFonts w:ascii="Times New Roman" w:hAnsi="Times New Roman" w:cs="Times New Roman"/>
    </w:rPr>
  </w:style>
  <w:style w:type="character" w:customStyle="1" w:styleId="15">
    <w:name w:val="页码1"/>
    <w:qFormat/>
    <w:uiPriority w:val="99"/>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Template>
  <Company>Microsoft</Company>
  <Pages>18</Pages>
  <Words>8775</Words>
  <Characters>8953</Characters>
  <Lines>0</Lines>
  <Paragraphs>0</Paragraphs>
  <TotalTime>10</TotalTime>
  <ScaleCrop>false</ScaleCrop>
  <LinksUpToDate>false</LinksUpToDate>
  <CharactersWithSpaces>8986</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2020-02-06T08:34:00Z</dcterms:created>
  <dc:creator>guest</dc:creator>
  <cp:lastModifiedBy>月影乌瞳金丝虎</cp:lastModifiedBy>
  <cp:lastPrinted>2020-01-10T15:53:00Z</cp:lastPrinted>
  <dcterms:modified xsi:type="dcterms:W3CDTF">2025-01-02T14:53:46Z</dcterms:modified>
  <dc:title>o</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B381238A630146429B38EDE5BBA82B40</vt:lpwstr>
  </property>
  <property fmtid="{D5CDD505-2E9C-101B-9397-08002B2CF9AE}" pid="4" name="KSOTemplateDocerSaveRecord">
    <vt:lpwstr>eyJoZGlkIjoiZDJhM2RkMDQ4NTc1MGM0ZmI4N2VmYWFhMmY4YjZmMDQiLCJ1c2VySWQiOiI1NjU3OTIxNjQifQ==</vt:lpwstr>
  </property>
</Properties>
</file>