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keepNext w:val="0"/>
        <w:keepLines w:val="0"/>
        <w:pageBreakBefore w:val="0"/>
        <w:widowControl w:val="0"/>
        <w:kinsoku/>
        <w:wordWrap/>
        <w:overflowPunct/>
        <w:topLinePunct w:val="0"/>
        <w:autoSpaceDE/>
        <w:autoSpaceDN/>
        <w:bidi w:val="0"/>
        <w:adjustRightInd/>
        <w:snapToGrid w:val="0"/>
        <w:spacing w:line="600" w:lineRule="exact"/>
        <w:jc w:val="left"/>
        <w:rPr>
          <w:rFonts w:ascii="Times New Roman" w:eastAsia="仿宋" w:cs="Times New Roman" w:hAnsi="Times New Roman"/>
          <w:sz w:val="32"/>
          <w:szCs w:val="32"/>
          <w:lang w:val="en-US" w:eastAsia="zh-CN"/>
        </w:rPr>
      </w:pPr>
    </w:p>
    <w:tbl>
      <w:tblPr>
        <w:jc w:val="center"/>
        <w:tblW w:w="9592"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846"/>
        <w:gridCol w:w="1084"/>
        <w:gridCol w:w="3012"/>
        <w:gridCol w:w="4650"/>
      </w:tblGrid>
      <w:tr>
        <w:trPr>
          <w:trHeight w:val="940"/>
        </w:trPr>
        <w:tc>
          <w:tcPr>
            <w:tcW w:w="9592" w:type="dxa"/>
            <w:gridSpan w:val="4"/>
            <w:tcBorders>
              <w:top w:val="nil"/>
              <w:left w:val="nil"/>
              <w:bottom w:val="nil"/>
              <w:right w:val="nil"/>
            </w:tcBorders>
            <w:noWrap/>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ascii="Times New Roman" w:eastAsia="方正小标宋简体" w:cs="Times New Roman" w:hAnsi="Times New Roman"/>
                <w:i w:val="0"/>
                <w:color w:val="000000"/>
                <w:sz w:val="32"/>
                <w:szCs w:val="32"/>
                <w:u w:val="none"/>
              </w:rPr>
            </w:pPr>
            <w:r>
              <w:rPr>
                <w:rFonts w:ascii="Times New Roman" w:eastAsia="方正小标宋简体" w:cs="Times New Roman" w:hAnsi="Times New Roman"/>
                <w:i w:val="0"/>
                <w:color w:val="000000"/>
                <w:spacing w:val="6"/>
                <w:w w:val="100"/>
                <w:kern w:val="0"/>
                <w:sz w:val="44"/>
                <w:szCs w:val="44"/>
                <w:u w:val="none"/>
                <w:lang w:val="en-US" w:eastAsia="zh-CN"/>
                <w:fitText w:val="9602" w:id="785002775"/>
              </w:rPr>
              <w:t>隆尧县</w:t>
            </w:r>
            <w:r>
              <w:rPr>
                <w:rFonts w:ascii="Times New Roman" w:eastAsia="方正小标宋简体" w:cs="Times New Roman" w:hAnsi="Times New Roman"/>
                <w:i w:val="0"/>
                <w:color w:val="000000"/>
                <w:spacing w:val="6"/>
                <w:w w:val="100"/>
                <w:kern w:val="0"/>
                <w:sz w:val="44"/>
                <w:szCs w:val="44"/>
                <w:u w:val="none"/>
                <w:lang w:val="en-US" w:eastAsia="zh-CN"/>
                <w:fitText w:val="9602" w:id="785002775"/>
              </w:rPr>
              <w:t>魏家庄</w:t>
            </w:r>
            <w:bookmarkStart w:id="0" w:name="_GoBack"/>
            <w:bookmarkEnd w:id="0"/>
            <w:r>
              <w:rPr>
                <w:rFonts w:ascii="Times New Roman" w:eastAsia="方正小标宋简体" w:cs="Times New Roman" w:hAnsi="Times New Roman"/>
                <w:i w:val="0"/>
                <w:color w:val="000000"/>
                <w:spacing w:val="6"/>
                <w:w w:val="100"/>
                <w:kern w:val="0"/>
                <w:sz w:val="44"/>
                <w:szCs w:val="44"/>
                <w:u w:val="none"/>
                <w:lang w:val="en-US" w:eastAsia="zh-CN"/>
                <w:fitText w:val="9602" w:id="785002775"/>
              </w:rPr>
              <w:t>镇行政处罚下放事项清单</w:t>
            </w:r>
            <w:r>
              <w:rPr>
                <w:rFonts w:ascii="Times New Roman" w:eastAsia="方正小标宋简体" w:cs="Times New Roman" w:hAnsi="Times New Roman" w:hint="eastAsia"/>
                <w:i w:val="0"/>
                <w:color w:val="000000"/>
                <w:spacing w:val="6"/>
                <w:w w:val="100"/>
                <w:kern w:val="0"/>
                <w:sz w:val="44"/>
                <w:szCs w:val="44"/>
                <w:u w:val="none"/>
                <w:lang w:val="en-US" w:eastAsia="zh-CN"/>
                <w:fitText w:val="9602" w:id="785002775"/>
              </w:rPr>
              <w:t>（</w:t>
            </w:r>
            <w:r>
              <w:rPr>
                <w:rFonts w:ascii="Times New Roman" w:eastAsia="方正小标宋简体" w:cs="Times New Roman" w:hAnsi="Times New Roman"/>
                <w:i w:val="0"/>
                <w:color w:val="000000"/>
                <w:spacing w:val="6"/>
                <w:w w:val="100"/>
                <w:kern w:val="0"/>
                <w:sz w:val="44"/>
                <w:szCs w:val="44"/>
                <w:u w:val="none"/>
                <w:lang w:val="en-US" w:eastAsia="zh-CN"/>
                <w:fitText w:val="9602" w:id="785002775"/>
              </w:rPr>
              <w:t>2024年版</w:t>
            </w:r>
            <w:r>
              <w:rPr>
                <w:rFonts w:ascii="Times New Roman" w:eastAsia="方正小标宋简体" w:cs="Times New Roman" w:hAnsi="Times New Roman" w:hint="eastAsia"/>
                <w:i w:val="0"/>
                <w:color w:val="000000"/>
                <w:spacing w:val="4"/>
                <w:w w:val="100"/>
                <w:kern w:val="0"/>
                <w:sz w:val="44"/>
                <w:szCs w:val="44"/>
                <w:u w:val="none"/>
                <w:lang w:val="en-US" w:eastAsia="zh-CN"/>
                <w:fitText w:val="9602" w:id="785002775"/>
              </w:rPr>
              <w:t>）</w:t>
            </w:r>
          </w:p>
        </w:tc>
      </w:tr>
      <w:tr>
        <w:trPr>
          <w:trHeight w:val="525"/>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ascii="Times New Roman" w:eastAsia="黑体" w:cs="Times New Roman" w:hAnsi="Times New Roman"/>
                <w:i w:val="0"/>
                <w:color w:val="000000"/>
                <w:sz w:val="22"/>
                <w:szCs w:val="22"/>
                <w:u w:val="none"/>
              </w:rPr>
            </w:pPr>
            <w:r>
              <w:rPr>
                <w:rFonts w:ascii="Times New Roman" w:eastAsia="黑体" w:cs="Times New Roman" w:hAnsi="Times New Roman"/>
                <w:i w:val="0"/>
                <w:color w:val="000000"/>
                <w:spacing w:val="-6"/>
                <w:kern w:val="0"/>
                <w:sz w:val="22"/>
                <w:szCs w:val="22"/>
                <w:u w:val="none"/>
                <w:lang w:val="en-US" w:eastAsia="zh-CN"/>
              </w:rPr>
              <w:t>序号</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ascii="Times New Roman" w:eastAsia="黑体" w:cs="Times New Roman" w:hAnsi="Times New Roman"/>
                <w:i w:val="0"/>
                <w:color w:val="000000"/>
                <w:sz w:val="22"/>
                <w:szCs w:val="22"/>
                <w:u w:val="none"/>
              </w:rPr>
            </w:pPr>
            <w:r>
              <w:rPr>
                <w:rFonts w:ascii="Times New Roman" w:eastAsia="黑体" w:cs="Times New Roman" w:hAnsi="Times New Roman"/>
                <w:i w:val="0"/>
                <w:color w:val="000000"/>
                <w:spacing w:val="-6"/>
                <w:kern w:val="0"/>
                <w:sz w:val="22"/>
                <w:szCs w:val="22"/>
                <w:u w:val="none"/>
                <w:lang w:val="en-US" w:eastAsia="zh-CN"/>
              </w:rPr>
              <w:t>领域类别</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ascii="Times New Roman" w:eastAsia="黑体" w:cs="Times New Roman" w:hAnsi="Times New Roman"/>
                <w:i w:val="0"/>
                <w:color w:val="000000"/>
                <w:sz w:val="22"/>
                <w:szCs w:val="22"/>
                <w:u w:val="none"/>
              </w:rPr>
            </w:pPr>
            <w:r>
              <w:rPr>
                <w:rFonts w:ascii="Times New Roman" w:eastAsia="黑体" w:cs="Times New Roman" w:hAnsi="Times New Roman"/>
                <w:i w:val="0"/>
                <w:color w:val="000000"/>
                <w:spacing w:val="-6"/>
                <w:kern w:val="0"/>
                <w:sz w:val="22"/>
                <w:szCs w:val="22"/>
                <w:u w:val="none"/>
                <w:lang w:val="en-US" w:eastAsia="zh-CN"/>
              </w:rPr>
              <w:t>事项名称</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ascii="Times New Roman" w:eastAsia="黑体" w:cs="Times New Roman" w:hAnsi="Times New Roman"/>
                <w:i w:val="0"/>
                <w:color w:val="000000"/>
                <w:sz w:val="22"/>
                <w:szCs w:val="22"/>
                <w:u w:val="none"/>
              </w:rPr>
            </w:pPr>
            <w:r>
              <w:rPr>
                <w:rFonts w:ascii="Times New Roman" w:eastAsia="黑体" w:cs="Times New Roman" w:hAnsi="Times New Roman"/>
                <w:i w:val="0"/>
                <w:color w:val="000000"/>
                <w:spacing w:val="-6"/>
                <w:kern w:val="0"/>
                <w:sz w:val="22"/>
                <w:szCs w:val="22"/>
                <w:u w:val="none"/>
                <w:lang w:val="en-US" w:eastAsia="zh-CN"/>
              </w:rPr>
              <w:t>设定依据</w:t>
            </w:r>
          </w:p>
        </w:tc>
      </w:tr>
      <w:tr>
        <w:trPr>
          <w:cantSplit/>
          <w:trHeight w:val="1793"/>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1</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城市管理</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对栽培、整修或者其他作业遗留的渣土、枝叶等杂物，临街树木、绿篱、花坛（池）、草坪等管理单位或者个人逾期未清除的行政处罚</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《河北省城市市容和环境卫生条例》（2023年11月30日修正）第十五条第二款</w:t>
            </w:r>
          </w:p>
        </w:tc>
      </w:tr>
      <w:tr>
        <w:trPr>
          <w:cantSplit/>
          <w:trHeight w:val="2230"/>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2</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城市管理</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对未按规定利用悬挂物、充气装置、实物造型等载体设置广告或期满后未及时撤除，或者不及时整修、清洗、更换影响市容的户外广告牌或不予加固、拆除有安全隐患的广告牌、招牌的行政处罚</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《河北省城市市容和环境卫生条例》（2023年11月30日修正）第十八条</w:t>
            </w:r>
          </w:p>
        </w:tc>
      </w:tr>
      <w:tr>
        <w:trPr>
          <w:cantSplit/>
          <w:trHeight w:val="1160"/>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3</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城市管理</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对擅自在城市的道路两侧和公共场地堆放物料等行为的行政处罚</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《河北省城市市容和环境卫生条例》（2023年11月30日修正）第二十二条第二款</w:t>
            </w:r>
          </w:p>
        </w:tc>
      </w:tr>
      <w:tr>
        <w:trPr>
          <w:cantSplit/>
          <w:trHeight w:val="800"/>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4</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城市管理</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对不按照规定清理垃圾、粪便、积雪的行政处罚</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《河北省城市市容和环境卫生条例》（2023年11月30日修正）第三十二条</w:t>
            </w:r>
          </w:p>
        </w:tc>
      </w:tr>
      <w:tr>
        <w:trPr>
          <w:cantSplit/>
          <w:trHeight w:val="1161"/>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5</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城市管理</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对从事车辆清洗、维修经营活动，未在室内进行，占用道路、绿地、公共场所等的行政处罚</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《河北省城市市容和环境卫生条例》（2023年11月30日修正）第三十八条</w:t>
            </w:r>
          </w:p>
        </w:tc>
      </w:tr>
      <w:tr>
        <w:trPr>
          <w:cantSplit/>
          <w:trHeight w:val="824"/>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6</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城市管理</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对影响环境卫生行为的行政处罚</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《河北省城市市容和环境卫生条例》（2023年11月30日修正）第四十条</w:t>
            </w:r>
          </w:p>
        </w:tc>
      </w:tr>
      <w:tr>
        <w:trPr>
          <w:cantSplit/>
          <w:trHeight w:val="1232"/>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7</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城市管理</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对在树木上设置广告牌、标语牌或者牵拉绳索、架设电线，以树承重等行为的行政处罚</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《河北省城市园林绿化管理办法》（2023年1月20日修正）第四十九条</w:t>
            </w:r>
          </w:p>
        </w:tc>
      </w:tr>
      <w:tr>
        <w:trPr>
          <w:cantSplit/>
          <w:trHeight w:val="1032"/>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8</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文化旅游</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对单位、个人擅自安装和使用卫星地面接收设施的行政处罚</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《卫星电视广播地面接收设施管理规定》（2018年9月18日修订）第十条第三款</w:t>
            </w:r>
          </w:p>
        </w:tc>
      </w:tr>
    </w:tbl>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pacing w:val="-6"/>
          <w:kern w:val="0"/>
          <w:sz w:val="22"/>
          <w:szCs w:val="22"/>
          <w:u w:val="none"/>
          <w:lang w:val="en-US" w:eastAsia="zh-CN"/>
        </w:rPr>
        <w:sectPr>
          <w:footerReference w:type="default" r:id="rId2"/>
          <w:pgSz w:w="11906" w:h="16838"/>
          <w:pgMar w:top="2041" w:right="1474" w:bottom="1474" w:left="1474" w:header="851" w:footer="992" w:gutter="0"/>
          <w:pgNumType/>
          <w:cols w:num="1" w:space="720"/>
          <w:docGrid w:type="lines" w:linePitch="312" w:charSpace="0"/>
        </w:sectPr>
      </w:pPr>
    </w:p>
    <w:tbl>
      <w:tblPr>
        <w:jc w:val="center"/>
        <w:tblW w:w="9592"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846"/>
        <w:gridCol w:w="1084"/>
        <w:gridCol w:w="3012"/>
        <w:gridCol w:w="4650"/>
      </w:tblGrid>
      <w:tr>
        <w:trPr>
          <w:cantSplit/>
          <w:trHeight w:val="1013"/>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9</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文化旅游</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对擅自从事营业性演出经营活动等行为的行政处罚</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《营业性演出管理条例》（2020年11月29日修订）第四十三条第一款</w:t>
            </w:r>
          </w:p>
        </w:tc>
      </w:tr>
      <w:tr>
        <w:trPr>
          <w:cantSplit/>
          <w:trHeight w:val="975"/>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10</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文化旅游</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对擅自从事电影摄制、发行、放映活动的行政处罚</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《中华人民共和国电影产业促进法》（2016年11月7日公布）第四十七条</w:t>
            </w:r>
          </w:p>
        </w:tc>
      </w:tr>
      <w:tr>
        <w:trPr>
          <w:cantSplit/>
          <w:trHeight w:val="1986"/>
        </w:trPr>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11</w:t>
            </w:r>
          </w:p>
        </w:tc>
        <w:tc>
          <w:tcPr>
            <w:tcW w:w="10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生态环境</w:t>
            </w:r>
          </w:p>
        </w:tc>
        <w:tc>
          <w:tcPr>
            <w:tcW w:w="301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对露天焚烧秸秆、落叶、枯草等产生烟尘污染的行政处罚</w:t>
            </w:r>
          </w:p>
        </w:tc>
        <w:tc>
          <w:tcPr>
            <w:tcW w:w="46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《中华人民共和国大气污染防治法》（2018年10月26日修正）第一百一十九条第一款</w:t>
              <w:br/>
              <w:t xml:space="preserve">《河北省大气污染防治条例》（2021年9月29日修正）第八十七条  </w:t>
              <w:br/>
              <w:t>《河北省人民代表大会常务委员会关于促进农作物秸秆综合利用和禁止露天焚烧的决定》（2018年7月27日修订）第二十四条</w:t>
            </w:r>
          </w:p>
        </w:tc>
      </w:tr>
      <w:tr>
        <w:trPr>
          <w:cantSplit/>
          <w:trHeight w:val="1382"/>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12</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生态环境</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对农业经营主体因未妥善采取综合利用措施，对农产品采收后的秸秆及树叶、荒草予以处理，致使露天焚烧的行政处罚</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《河北省人民代表大会常务委员会关于促进农作物秸秆综合利用和禁止露天焚烧的决定》（2018年7月27日修订）第二十五条</w:t>
            </w:r>
          </w:p>
        </w:tc>
      </w:tr>
      <w:tr>
        <w:trPr>
          <w:cantSplit/>
          <w:trHeight w:val="1447"/>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13</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水利</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对未经批准擅自取水、未依照批准的取水许可规定条件取水的行政处罚</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《中华人民共和国水法》（2016年7月2日修正）第六十九条</w:t>
              <w:br/>
              <w:t>《取水许可和水资源费征收管理条例》（2017年3月1日修订）第二十四条</w:t>
            </w:r>
          </w:p>
        </w:tc>
      </w:tr>
      <w:tr>
        <w:trPr>
          <w:cantSplit/>
          <w:trHeight w:val="1432"/>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14</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水利</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对凿井施工等单位承揽未取得取水申请批准文件的取水井工程或者为其建设取水配套设施的行政处罚</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《河北省地下水管理条例》（ 2018年9月20日修订）第五十七条</w:t>
            </w:r>
          </w:p>
        </w:tc>
      </w:tr>
      <w:tr>
        <w:trPr>
          <w:cantSplit/>
          <w:trHeight w:val="1275"/>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15</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农业农村</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对农村村民未经批准或者采取欺骗手段骗取批准非法占用土地建住宅的行政处罚</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 xml:space="preserve">《中华人民共和国土地管理法》（2019年8月26日修正）第七十八条 </w:t>
              <w:br/>
              <w:t>《河北省土地管理条例》（2022年3月30日修订）第六十八条</w:t>
            </w:r>
          </w:p>
        </w:tc>
      </w:tr>
      <w:tr>
        <w:trPr>
          <w:cantSplit/>
          <w:trHeight w:val="1058"/>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16</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民族事务</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对未按照要求生产、经营清真食品的行政处罚</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《河北省清真食品管理条例》（1999年11月29日公布）第十七条第（一）（二）（三）（四）（六）（七）（八）项</w:t>
            </w:r>
          </w:p>
        </w:tc>
      </w:tr>
      <w:tr>
        <w:trPr>
          <w:cantSplit/>
          <w:trHeight w:val="1208"/>
        </w:trPr>
        <w:tc>
          <w:tcPr>
            <w:tcW w:w="846"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lang w:val="en-US"/>
              </w:rPr>
            </w:pPr>
            <w:r>
              <w:rPr>
                <w:rFonts w:ascii="Times New Roman" w:eastAsia="仿宋_GB2312" w:cs="Times New Roman" w:hAnsi="Times New Roman"/>
                <w:i w:val="0"/>
                <w:color w:val="000000"/>
                <w:spacing w:val="-6"/>
                <w:kern w:val="0"/>
                <w:sz w:val="22"/>
                <w:szCs w:val="22"/>
                <w:u w:val="none"/>
                <w:lang w:val="en-US" w:eastAsia="zh-CN"/>
              </w:rPr>
              <w:t>17</w:t>
            </w:r>
          </w:p>
        </w:tc>
        <w:tc>
          <w:tcPr>
            <w:tcW w:w="1084"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宗教事务</w:t>
            </w:r>
          </w:p>
        </w:tc>
        <w:tc>
          <w:tcPr>
            <w:tcW w:w="301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对假冒宗教教职人员进行宗教活动或者骗取钱财等违法活动的行政处罚</w:t>
            </w:r>
          </w:p>
        </w:tc>
        <w:tc>
          <w:tcPr>
            <w:tcW w:w="46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ascii="Times New Roman" w:eastAsia="仿宋_GB2312" w:cs="Times New Roman" w:hAnsi="Times New Roman"/>
                <w:i w:val="0"/>
                <w:color w:val="000000"/>
                <w:sz w:val="22"/>
                <w:szCs w:val="22"/>
                <w:u w:val="none"/>
              </w:rPr>
            </w:pPr>
            <w:r>
              <w:rPr>
                <w:rFonts w:ascii="Times New Roman" w:eastAsia="仿宋_GB2312" w:cs="Times New Roman" w:hAnsi="Times New Roman"/>
                <w:i w:val="0"/>
                <w:color w:val="000000"/>
                <w:spacing w:val="-6"/>
                <w:kern w:val="0"/>
                <w:sz w:val="22"/>
                <w:szCs w:val="22"/>
                <w:u w:val="none"/>
                <w:lang w:val="en-US" w:eastAsia="zh-CN"/>
              </w:rPr>
              <w:t>《宗教事务条例》（2017年8月26日修订）第七十四条</w:t>
            </w:r>
          </w:p>
        </w:tc>
      </w:tr>
    </w:tbl>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cs="Times New Roman" w:hAnsi="Times New Roman"/>
          <w:lang w:val="en-US" w:eastAsia="zh-CN"/>
        </w:rPr>
      </w:pPr>
    </w:p>
    <w:p>
      <w:pPr>
        <w:rPr>
          <w:rFonts w:ascii="Times New Roman" w:eastAsia="仿宋_GB2312" w:cs="Times New Roman" w:hAnsi="Times New Roman"/>
          <w:sz w:val="32"/>
          <w:szCs w:val="32"/>
          <w:lang w:val="en-US" w:eastAsia="zh-CN"/>
        </w:rPr>
      </w:pPr>
    </w:p>
    <w:sectPr>
      <w:footerReference w:type="default" r:id="rId3"/>
      <w:pgSz w:w="11906" w:h="16838"/>
      <w:pgMar w:top="2041" w:right="1474" w:bottom="1474" w:left="1474" w:header="851" w:footer="992" w:gutter="0"/>
      <w:pgNumType/>
      <w:cols w:num="1" w:space="720"/>
      <w:docGrid w:type="lines" w:linePitch="312" w:charSpace="0"/>
    </w:sectPr>
  </w:body>
</w:document>
</file>

<file path=word/fontTable.xml><?xml version="1.0" encoding="utf-8"?>
<w:fonts xmlns:w="http://schemas.openxmlformats.org/wordprocessingml/2006/main" xmlns:r="http://schemas.openxmlformats.org/officeDocument/2006/relationships">
  <w:font w:name="宋体">
    <w:altName w:val="方正书宋_GBK"/>
    <w:panose1 w:val="02010600030101010101"/>
    <w:charset w:val="86"/>
    <w:family w:val="auto"/>
    <w:pitch w:val="variable"/>
    <w:sig w:usb0="00000203" w:usb1="288F0000" w:usb2="00000006" w:usb3="00000000" w:csb0="00040001" w:csb1="00000000"/>
  </w:font>
  <w:font w:name="Times New Roman">
    <w:altName w:val="DejaVu Sans"/>
    <w:panose1 w:val="02020603050405020304"/>
    <w:charset w:val="CC"/>
    <w:family w:val="roman"/>
    <w:pitch w:val="variable"/>
    <w:sig w:usb0="E0002EFF" w:usb1="C000785B" w:usb2="00000009" w:usb3="00000000" w:csb0="400001FF" w:csb1="FFFF0000"/>
  </w:font>
  <w:font w:name="仿宋">
    <w:altName w:val="永中仿宋"/>
    <w:panose1 w:val="02010609060101010101"/>
    <w:charset w:val="86"/>
    <w:family w:val="auto"/>
    <w:pitch w:val="variable"/>
    <w:sig w:usb0="800002BF" w:usb1="38CF7CFA" w:usb2="00000016" w:usb3="00000000" w:csb0="00040001" w:csb1="00000000"/>
  </w:font>
  <w:font w:name="方正小标宋简体">
    <w:altName w:val="文泉驿微米黑"/>
    <w:panose1 w:val="02010601030101010101"/>
    <w:charset w:val="86"/>
    <w:family w:val="auto"/>
    <w:pitch w:val="variable"/>
    <w:sig w:usb0="00000001" w:usb1="080E0000" w:usb2="00000000" w:usb3="00000000" w:csb0="00040000" w:csb1="00000000"/>
  </w:font>
  <w:font w:name="黑体">
    <w:altName w:val="方正黑体_GBK"/>
    <w:panose1 w:val="02010609060101010101"/>
    <w:charset w:val="86"/>
    <w:family w:val="auto"/>
    <w:pitch w:val="variable"/>
    <w:sig w:usb0="800002BF" w:usb1="38CF7CFA" w:usb2="00000016" w:usb3="00000000" w:csb0="00040001" w:csb1="00000000"/>
  </w:font>
  <w:font w:name="仿宋_GB2312">
    <w:altName w:val="永中仿宋"/>
    <w:panose1 w:val="02010609030101010101"/>
    <w:charset w:val="86"/>
    <w:family w:val="auto"/>
    <w:pitch w:val="variable"/>
    <w:sig w:usb0="00000001" w:usb1="080E0000" w:usb2="00000000" w:usb3="00000000" w:csb0="00040000" w:csb1="00000000"/>
  </w:font>
  <w:font w:name="Lucida Sans">
    <w:altName w:val="DejaVu Sans"/>
    <w:panose1 w:val="020B0602030504020204"/>
    <w:charset w:val="00"/>
    <w:family w:val="auto"/>
    <w:pitch w:val="variable"/>
    <w:sig w:usb0="00000003" w:usb1="00000000" w:usb2="00000000" w:usb3="00000000" w:csb0="20000001" w:csb1="00000000"/>
  </w:font>
  <w:font w:name="Calibri">
    <w:altName w:val="DejaVu Sans"/>
    <w:panose1 w:val="020F0502020204030204"/>
    <w:charset w:val="00"/>
    <w:family w:val="swiss"/>
    <w:pitch w:val="variable"/>
    <w:sig w:usb0="E4002EFF" w:usb1="C000247B" w:usb2="00000009" w:usb3="00000000" w:csb0="200001FF" w:csb1="00000000"/>
  </w:font>
  <w:font w:name="Arial">
    <w:altName w:val="DejaVu Sans"/>
    <w:panose1 w:val="020B0604020202020204"/>
    <w:charset w:val="01"/>
    <w:family w:val="swiss"/>
    <w:pitch w:val="variable"/>
    <w:sig w:usb0="E0002EFF" w:usb1="C000785B" w:usb2="00000009" w:usb3="00000000" w:csb0="400001FF" w:csb1="FFFF0000"/>
  </w:font>
  <w:font w:name="文泉驿微米黑">
    <w:panose1 w:val="020B0606030804020204"/>
    <w:charset w:val="86"/>
    <w:family w:val="auto"/>
    <w:pitch w:val="variable"/>
    <w:sig w:usb0="E10002EF" w:usb1="6BDFFCFB" w:usb2="00800036" w:usb3="00000000" w:csb0="603E019F" w:csb1="DFD70000"/>
  </w:font>
  <w:font w:name="小标宋">
    <w:altName w:val="文泉驿微米黑"/>
    <w:panose1 w:val="03000509000000000000"/>
    <w:charset w:val="86"/>
    <w:family w:val="auto"/>
    <w:pitch w:val="variable"/>
    <w:sig w:usb0="00000000" w:usb1="00000000" w:usb2="00000010" w:usb3="00000000" w:csb0="00040000"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tabs>
        <w:tab w:val="center" w:pos="4153"/>
        <w:tab w:val="right" w:pos="8306"/>
      </w:tabs>
    </w:pPr>
    <w:r>
      <w:rPr>
        <w:sz w:val="18"/>
      </w:rPr>
      <mc:AlternateContent>
        <mc:Choice Requires="wps">
          <w:drawing>
            <wp:anchor distT="0" distB="0" distL="114298" distR="114298" simplePos="0" relativeHeight="12" behindDoc="0" locked="0" layoutInCell="1" hidden="0" allowOverlap="1">
              <wp:simplePos x="0" y="0"/>
              <wp:positionH relativeFrom="margin">
                <wp:align>outside</wp:align>
              </wp:positionH>
              <wp:positionV relativeFrom="paragraph">
                <wp:posOffset>0</wp:posOffset>
              </wp:positionV>
              <wp:extent cx="622300" cy="271552"/>
              <wp:effectExtent l="0" t="0" r="0" b="0"/>
              <wp:wrapNone/>
              <wp:docPr id="1" name="文本框 1"/>
              <wp:cNvGraphicFramePr>
                <a:graphicFrameLocks noChangeAspect="0"/>
              </wp:cNvGraphicFramePr>
              <a:graphic>
                <a:graphicData uri="http://schemas.microsoft.com/office/word/2010/wordprocessingShape">
                  <wps:wsp>
                    <wps:cNvSpPr/>
                    <wps:spPr>
                      <a:xfrm rot="0">
                        <a:off x="0" y="0"/>
                        <a:ext cx="622300" cy="271552"/>
                      </a:xfrm>
                      <a:prstGeom prst="rect"/>
                      <a:noFill/>
                      <a:ln w="15875" cmpd="sng" cap="flat">
                        <a:noFill/>
                        <a:prstDash val="solid"/>
                        <a:round/>
                      </a:ln>
                    </wps:spPr>
                    <wps:txbx id="2">
                      <w:txbxContent>
                        <w:p>
                          <w:pPr>
                            <w:pStyle w:val="16"/>
                            <w:tabs>
                              <w:tab w:val="center" w:pos="4153"/>
                              <w:tab w:val="right" w:pos="8306"/>
                            </w:tabs>
                            <w:rPr>
                              <w:rFonts w:ascii="宋体" w:eastAsia="宋体" w:cs="宋体" w:hAnsi="宋体" w:hint="eastAsia"/>
                              <w:sz w:val="28"/>
                              <w:szCs w:val="32"/>
                            </w:rPr>
                          </w:pPr>
                          <w:r>
                            <w:rPr>
                              <w:rFonts w:ascii="宋体" w:eastAsia="宋体" w:cs="宋体" w:hAnsi="宋体" w:hint="eastAsia"/>
                              <w:sz w:val="28"/>
                              <w:szCs w:val="32"/>
                            </w:rPr>
                            <w:t xml:space="preserve">— </w:t>
                          </w:r>
                          <w:r>
                            <w:rPr>
                              <w:rFonts w:ascii="宋体" w:eastAsia="宋体" w:cs="宋体" w:hAnsi="宋体" w:hint="eastAsia"/>
                              <w:sz w:val="28"/>
                              <w:szCs w:val="32"/>
                            </w:rPr>
                            <w:fldChar w:fldCharType="begin"/>
                          </w:r>
                          <w:r>
                            <w:rPr>
                              <w:rFonts w:ascii="宋体" w:eastAsia="宋体" w:cs="宋体" w:hAnsi="宋体" w:hint="eastAsia"/>
                              <w:sz w:val="28"/>
                              <w:szCs w:val="32"/>
                            </w:rPr>
                            <w:instrText xml:space="preserve"> PAGE  \* MERGEFORMAT </w:instrText>
                          </w:r>
                          <w:r>
                            <w:rPr>
                              <w:rFonts w:ascii="宋体" w:eastAsia="宋体" w:cs="宋体" w:hAnsi="宋体" w:hint="eastAsia"/>
                              <w:sz w:val="28"/>
                              <w:szCs w:val="32"/>
                            </w:rPr>
                            <w:fldChar w:fldCharType="separate"/>
                          </w:r>
                          <w:r>
                            <w:rPr>
                              <w:rFonts w:ascii="宋体" w:eastAsia="宋体" w:cs="宋体" w:hAnsi="宋体" w:hint="eastAsia"/>
                              <w:sz w:val="28"/>
                              <w:szCs w:val="32"/>
                            </w:rPr>
                            <w:t>3</w:t>
                          </w:r>
                          <w:r>
                            <w:rPr>
                              <w:rFonts w:ascii="宋体" w:eastAsia="宋体" w:cs="宋体" w:hAnsi="宋体" w:hint="eastAsia"/>
                              <w:sz w:val="28"/>
                              <w:szCs w:val="32"/>
                            </w:rPr>
                            <w:fldChar w:fldCharType="end"/>
                          </w:r>
                          <w:r>
                            <w:rPr>
                              <w:rFonts w:ascii="宋体" w:eastAsia="宋体" w:cs="宋体" w:hAnsi="宋体" w:hint="eastAsia"/>
                              <w:sz w:val="28"/>
                              <w:szCs w:val="32"/>
                            </w:rPr>
                            <w:t xml:space="preserve"> —</w:t>
                          </w:r>
                        </w:p>
                      </w:txbxContent>
                    </wps:txbx>
                    <wps:bodyPr vert="horz" wrap="none" lIns="0" tIns="0" rIns="0" bIns="0" anchor="t" anchorCtr="0" upright="0">
                      <a:spAutoFit/>
                    </wps:bodyPr>
                  </wps:wsp>
                </a:graphicData>
              </a:graphic>
            </wp:anchor>
          </w:drawing>
        </mc:Choice>
        <mc:Fallback>
          <w:pict>
            <v:shape type="#_x0000_t202" id="文本框 1 3" o:spid="_x0000_s3" filled="f" stroked="f" strokeweight="1.25pt" style="position:absolute;margin-left:0.0pt;margin-top:0.0pt;width:49.000015pt;height:21.38209pt;z-index:12;mso-position-horizontal:outside;mso-position-horizontal-relative:margin;mso-position-vertical:absolute;mso-wrap-distance-left:8.999863pt;mso-wrap-distance-right:8.999863pt;mso-wrap-style:none;">
              <v:stroke color="#000000"/>
              <v:textbox id="848" inset="0mm,0mm,0mm,0mm" o:insetmode="custom" style="layout-flow:horizontal;v-text-anchor:top;mso-fit-shape-to-text:t;">
                <w:txbxContent>
                  <w:p>
                    <w:pPr>
                      <w:pStyle w:val="16"/>
                      <w:tabs>
                        <w:tab w:val="center" w:pos="4153"/>
                        <w:tab w:val="right" w:pos="8306"/>
                      </w:tabs>
                      <w:rPr>
                        <w:rFonts w:ascii="宋体" w:eastAsia="宋体" w:cs="宋体" w:hAnsi="宋体" w:hint="eastAsia"/>
                        <w:sz w:val="28"/>
                        <w:szCs w:val="32"/>
                      </w:rPr>
                    </w:pPr>
                    <w:r>
                      <w:rPr>
                        <w:rFonts w:ascii="宋体" w:eastAsia="宋体" w:cs="宋体" w:hAnsi="宋体" w:hint="eastAsia"/>
                        <w:sz w:val="28"/>
                        <w:szCs w:val="32"/>
                      </w:rPr>
                      <w:t xml:space="preserve">— </w:t>
                    </w:r>
                    <w:r>
                      <w:rPr>
                        <w:rFonts w:ascii="宋体" w:eastAsia="宋体" w:cs="宋体" w:hAnsi="宋体" w:hint="eastAsia"/>
                        <w:sz w:val="28"/>
                        <w:szCs w:val="32"/>
                      </w:rPr>
                      <w:fldChar w:fldCharType="begin"/>
                    </w:r>
                    <w:r>
                      <w:rPr>
                        <w:rFonts w:ascii="宋体" w:eastAsia="宋体" w:cs="宋体" w:hAnsi="宋体" w:hint="eastAsia"/>
                        <w:sz w:val="28"/>
                        <w:szCs w:val="32"/>
                      </w:rPr>
                      <w:instrText xml:space="preserve"> PAGE  \* MERGEFORMAT </w:instrText>
                    </w:r>
                    <w:r>
                      <w:rPr>
                        <w:rFonts w:ascii="宋体" w:eastAsia="宋体" w:cs="宋体" w:hAnsi="宋体" w:hint="eastAsia"/>
                        <w:sz w:val="28"/>
                        <w:szCs w:val="32"/>
                      </w:rPr>
                      <w:fldChar w:fldCharType="separate"/>
                    </w:r>
                    <w:r>
                      <w:rPr>
                        <w:rFonts w:ascii="宋体" w:eastAsia="宋体" w:cs="宋体" w:hAnsi="宋体" w:hint="eastAsia"/>
                        <w:sz w:val="28"/>
                        <w:szCs w:val="32"/>
                      </w:rPr>
                      <w:t>3</w:t>
                    </w:r>
                    <w:r>
                      <w:rPr>
                        <w:rFonts w:ascii="宋体" w:eastAsia="宋体" w:cs="宋体" w:hAnsi="宋体" w:hint="eastAsia"/>
                        <w:sz w:val="28"/>
                        <w:szCs w:val="32"/>
                      </w:rPr>
                      <w:fldChar w:fldCharType="end"/>
                    </w:r>
                    <w:r>
                      <w:rPr>
                        <w:rFonts w:ascii="宋体" w:eastAsia="宋体" w:cs="宋体" w:hAnsi="宋体" w:hint="eastAsia"/>
                        <w:sz w:val="28"/>
                        <w:szCs w:val="32"/>
                      </w:rPr>
                      <w:t xml:space="preserve"> —</w:t>
                    </w:r>
                  </w:p>
                </w:txbxContent>
              </v:textbox>
            </v:shape>
          </w:pict>
        </mc:Fallback>
      </mc:AlternateConten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tabs>
        <w:tab w:val="center" w:pos="4153"/>
        <w:tab w:val="right" w:pos="8306"/>
      </w:tabs>
    </w:pP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pPr>
      <w:widowControl w:val="0"/>
      <w:jc w:val="both"/>
    </w:pPr>
    <w:rPr>
      <w:rFonts w:ascii="Calibri" w:eastAsia="宋体" w:cs="Arial" w:hAnsi="Calibri"/>
      <w:kern w:val="2"/>
      <w:sz w:val="21"/>
      <w:szCs w:val="24"/>
      <w:lang w:val="en-US" w:eastAsia="zh-CN"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文泉驿微米黑" w:eastAsia="黑体" w:hAnsi="文泉驿微米黑"/>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styleId="15">
    <w:name w:val="Body Text"/>
    <w:basedOn w:val="0"/>
    <w:next w:val="0"/>
    <w:pPr>
      <w:spacing w:line="0" w:lineRule="atLeast"/>
    </w:pPr>
    <w:rPr>
      <w:rFonts w:eastAsia="小标宋" w:cs="Times New Roman"/>
      <w:sz w:val="44"/>
      <w:szCs w:val="32"/>
    </w:rPr>
  </w:style>
  <w:style w:type="paragraph" w:styleId="16">
    <w:name w:val="footer"/>
    <w:basedOn w:val="0"/>
    <w:pPr>
      <w:tabs>
        <w:tab w:val="center" w:pos="4153"/>
        <w:tab w:val="right" w:pos="8306"/>
      </w:tabs>
      <w:snapToGrid w:val="0"/>
      <w:jc w:val="left"/>
    </w:pPr>
    <w:rPr>
      <w:sz w:val="18"/>
    </w:rPr>
  </w:style>
  <w:style w:type="paragraph" w:styleId="17">
    <w:name w:val="header"/>
    <w:basedOn w:val="0"/>
    <w:pPr>
      <w:pBdr>
        <w:top w:val="none" w:sz="0" w:space="0" w:color="auto"/>
        <w:left w:val="none" w:sz="0" w:space="0" w:color="auto"/>
        <w:bottom w:val="none" w:sz="0" w:space="0" w:color="auto"/>
        <w:right w:val="none" w:sz="0" w:space="0" w:color="auto"/>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customProps>
</customData>
</file>

<file path=customXml/itemProps1.xml><?xml version="1.0" encoding="utf-8"?>
<ds:datastoreItem xmlns:ds="http://schemas.openxmlformats.org/officeDocument/2006/customXml" ds:itemID="{A29FBB14-9694-4F6D-9316-6F226E4572C2}">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5</TotalTime>
  <Application>Yozo_Office27021597764231179</Application>
  <Pages>2</Pages>
  <Words>0</Words>
  <Characters>1210</Characters>
  <Lines>0</Lines>
  <Paragraphs>6</Paragraphs>
  <CharactersWithSpaces>1614</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兔子姑娘</dc:creator>
  <cp:lastModifiedBy>Huawei</cp:lastModifiedBy>
  <cp:revision>1</cp:revision>
  <cp:lastPrinted>2024-12-24T01:16:00Z</cp:lastPrinted>
  <dcterms:created xsi:type="dcterms:W3CDTF">2024-12-18T07:40:00Z</dcterms:created>
  <dcterms:modified xsi:type="dcterms:W3CDTF">2024-12-31T01:47:04Z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2052-12.1.0.19770</vt:lpwstr>
  </property>
  <property fmtid="{D5CDD505-2E9C-101B-9397-08002B2CF9AE}" pid="3" name="ICV">
    <vt:lpwstr>D64DA5453805401EA9C0C892BA70ED89_13</vt:lpwstr>
  </property>
  <property fmtid="{D5CDD505-2E9C-101B-9397-08002B2CF9AE}" pid="4" name="KSOTemplateDocerSaveRecord">
    <vt:lpwstr>eyJoZGlkIjoiODNiOTlhZjQ0OTFlNGY4ZjU4YjU3NmNkZjcwZWRiMzciLCJ1c2VySWQiOiI0MTM2MDYyMTgifQ==</vt:lpwstr>
  </property>
</Properties>
</file>