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391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宋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隆尧县市场监督管理局</w:t>
      </w:r>
    </w:p>
    <w:p w14:paraId="45A8FA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2022</w:t>
      </w:r>
      <w:r>
        <w:rPr>
          <w:rFonts w:hint="eastAsia" w:ascii="方正小标宋简体" w:hAnsi="宋体" w:eastAsia="方正小标宋简体"/>
          <w:sz w:val="44"/>
          <w:szCs w:val="44"/>
        </w:rPr>
        <w:t>年政府信息公开工作年度报告</w:t>
      </w:r>
    </w:p>
    <w:p w14:paraId="6B0E17F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</w:rPr>
      </w:pPr>
    </w:p>
    <w:p w14:paraId="2A74AB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根据《中华人民共和国政府信息公开条例》《河北省实施〈中华人民共和国政府信息公开条例〉办法》等规定，发布本年度报告。报告中所列数据统计期限为2022年1月1日至12月31日。</w:t>
      </w:r>
    </w:p>
    <w:p w14:paraId="05756FE5"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firstLine="709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一、总体情况</w:t>
      </w:r>
    </w:p>
    <w:p w14:paraId="2AC92883"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firstLine="709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年我局坚持做好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人民政府网站市场监管局版块的维护、梳理和更新，深入推进市场监管局本级政府信息公开工作，确保及时准确地发布相关信息。充分利用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隆尧县人民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政府信息公开平台，及时、全面公开信息。把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政府门户网站和我局的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微信公众号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作为政府信息公开的主渠道，同时根据政府公开目录对外公开内容，及时、全面公开。 </w:t>
      </w:r>
    </w:p>
    <w:p w14:paraId="02513E68">
      <w:pPr>
        <w:pStyle w:val="8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（一）</w:t>
      </w: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进一步推进主动公开</w:t>
      </w:r>
    </w:p>
    <w:p w14:paraId="374DD07F">
      <w:pPr>
        <w:pStyle w:val="8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2022年我局主动在县政府信息公开发布平台公开信息共计553条。其中，公告公示类信息11条，工作部署类信息17条，行政执法公示类信息480条（事前公开13条、事后公开467条），规划信息类计划方案6条，部门预算3条，部门决算1条，食品药品安全监管22条，人大建议、政协提案回复3条，其他类信息10条。今年在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“隆尧县市场监督管理局”微信公众号发布决策部署、政策措施等各类动态、信息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530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条。</w:t>
      </w:r>
      <w:r>
        <w:rPr>
          <w:rFonts w:hint="eastAsia" w:ascii="仿宋" w:hAnsi="仿宋" w:eastAsia="仿宋" w:cs="仿宋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均未发生政府信息公开失泄密事件。</w:t>
      </w:r>
    </w:p>
    <w:p w14:paraId="2624899B"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依申请公开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进一步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规范。</w:t>
      </w:r>
    </w:p>
    <w:p w14:paraId="18A3162A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 xml:space="preserve">     今年未收到依申请公开事项。</w:t>
      </w:r>
    </w:p>
    <w:p w14:paraId="50D25A96"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政府信息管理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进一步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严格。</w:t>
      </w:r>
    </w:p>
    <w:p w14:paraId="3B30D337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组织专人每日登录相关网站，了解市局、县委县政府及其他政府部门动态，收集整理民众在平台上关于市场监管工作的意见建议，呈局领导和相关股室进行研究。可以公开的内容，做到依法公开。健全政府信息公开领导机制，进一步规范平台信息管理，确定专人负责日常信息审核发布，建立健全网站信息审核发布、安全管理等制度，规范信息公开流程、范围、途径，确保政务公开信息及时更新、发布规范。</w:t>
      </w:r>
    </w:p>
    <w:p w14:paraId="561CEC6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政府信息公开平台进一步优化。</w:t>
      </w:r>
    </w:p>
    <w:p w14:paraId="469FCC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进一步强化了重点信息公开，主动公开了相关法律法规和规章、行政许可及非行政许可事项、执法事项及处罚结果、市场主体发展情况等信息。统筹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利用政府信息公开平台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、政务新媒体对出台的政策文件加强了解读，丰富了政策文件解读形式，提升解读网络传播效果。</w:t>
      </w:r>
    </w:p>
    <w:p w14:paraId="760771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（五）进一步加强监督保障</w:t>
      </w: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</w:t>
      </w:r>
    </w:p>
    <w:p w14:paraId="4D4D43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结合工作实际，对政府信息公开领导小组及时调整，细化分解工作职责，确保工作扎实，稳步推进，把政务公开纳入严格执行信息发布审核机制范围，全面落实监督岗位责任。</w:t>
      </w:r>
    </w:p>
    <w:p w14:paraId="01F0D7C0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二、主动公开政府信息情况</w:t>
      </w:r>
    </w:p>
    <w:tbl>
      <w:tblPr>
        <w:tblStyle w:val="10"/>
        <w:tblW w:w="82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 w14:paraId="676164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D337E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69468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982D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386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C41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E666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08777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60C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A82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8C8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532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1BD4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D28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A82F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941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187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78A2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A6277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2800F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F29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AE4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6CF5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2558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13F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</w:tr>
      <w:tr w14:paraId="2A70A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C882C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5354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0BD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C81B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3871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893A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919C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458</w:t>
            </w:r>
          </w:p>
        </w:tc>
      </w:tr>
      <w:tr w14:paraId="091DC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981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8F0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  <w:tr w14:paraId="742D0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1CDA6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D3F0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120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FF07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66097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900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B2D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39F1ABE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tblStyle w:val="10"/>
        <w:tblW w:w="83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49"/>
        <w:gridCol w:w="628"/>
        <w:gridCol w:w="590"/>
        <w:gridCol w:w="587"/>
        <w:gridCol w:w="590"/>
        <w:gridCol w:w="596"/>
        <w:gridCol w:w="601"/>
      </w:tblGrid>
      <w:tr w14:paraId="7E5910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421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B16A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12F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2A4ADC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DEC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ECB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299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AE9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D63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11726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9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05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1DF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F804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545C15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647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3A07E0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B91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5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BC7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5931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4F1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 w14:paraId="613841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0EC3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90B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B1F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7D2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FD0F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2F39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B17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17D0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right="0" w:firstLine="210" w:firstLineChars="100"/>
              <w:jc w:val="both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60CF7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D7F7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EDD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84A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C0B7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915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2AD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9CAA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0D70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22210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701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846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7246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459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7008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B947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39FE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D7E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022B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69AA1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971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A48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4612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EB5B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0EF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603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D31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7FD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B122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1EE17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8C3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00A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AB4B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B554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291C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206F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69FF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AF64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01C7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B56D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FC739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9CB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A0B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70EB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56F1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38C6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E736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D3F9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4128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A3AB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AC74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D58C6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A4C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388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53B1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D811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3357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FD478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F67A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7160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A18D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DCB8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86465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01C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48F8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E06F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BA6F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2B0D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FD9E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7E9F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8604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518E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E5B9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94F9B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221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E7F4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CA45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812F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F47C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BA19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301A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977B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16C2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7A08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07C90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89B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FB3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1FC4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104F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FCBE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FDFA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6568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CD83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12ED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CBA7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D5976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9FA4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F72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D077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342E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DE38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97BA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90B7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0993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3232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6D8D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FBBA4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B3E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3F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CB6B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BFE7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D7C5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72BF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4894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E84F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CC7C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3732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9BC8F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4CA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976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0220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12F9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B0A1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379A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210A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B093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3CCF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7DA1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4D9DE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64C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85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DEFD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71E6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8108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E139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36BB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0E71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96DD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CA9C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3A512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F8AF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E70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4189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784C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4EC4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360B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5AA3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0BFC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565B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C8ED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</w:tr>
      <w:tr w14:paraId="4EAA0E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35FD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526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4056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D3EF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73EA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7917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C13F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CA5F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A778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B7FA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BFB76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EBBC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6A8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3309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0687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A4F9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9902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E69E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6212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7FC5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0D56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6553A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65AF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4E4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3732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F229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884A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D0F5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2416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542C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916A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9C01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5A03B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DEB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144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309D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CFDD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CF06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8E46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7C07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A07C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C3A7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1749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56549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413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749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976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4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098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5BF4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32E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B64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429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866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7EA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8D313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082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2ED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428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8B3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1FD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3EA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8E0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67E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8DA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B52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980FB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31B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00A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D9B6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46CD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1D6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FB2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2FC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B4A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87C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3C6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FE022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B0B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7FE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4A16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6D13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B6F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2399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169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1E50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579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86AE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13FD5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FB51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DE6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9657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8D1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A370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732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C9A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FF0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81BB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D2AC6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497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B1E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3FF5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1B5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default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B70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63F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eastAsia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51B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54DD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1DB576C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 w14:paraId="3827DF84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10"/>
        <w:tblW w:w="86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 w14:paraId="5F7C07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288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246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397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80700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EEF7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8300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4F9857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25A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25F0A7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49E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3D7848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32F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19E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5A2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077E11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F05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B56A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BD3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59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E95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85FA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549A4A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108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520B0A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1DA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0C437C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A3E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35D0C2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4D6B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54E7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18BE96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128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37B354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2591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13C193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42B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390F71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89C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77F93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861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6D2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D5D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D4B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C38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09B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042A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9D91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837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916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4F6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30B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154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265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F66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1BB557C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  <w:t>五、存在的主要问题及改进情况</w:t>
      </w:r>
    </w:p>
    <w:p w14:paraId="14179849"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（一）存在问题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ascii="仿宋" w:eastAsia="仿宋"/>
          <w:sz w:val="32"/>
          <w:szCs w:val="32"/>
        </w:rPr>
        <w:t> </w:t>
      </w:r>
      <w:r>
        <w:rPr>
          <w:rFonts w:ascii="仿宋" w:hAnsi="仿宋" w:eastAsia="仿宋"/>
          <w:sz w:val="32"/>
          <w:szCs w:val="32"/>
        </w:rPr>
        <w:t>一是部分</w:t>
      </w:r>
      <w:r>
        <w:rPr>
          <w:rFonts w:hint="eastAsia" w:ascii="仿宋" w:hAnsi="仿宋" w:eastAsia="仿宋"/>
          <w:sz w:val="32"/>
          <w:szCs w:val="32"/>
          <w:lang w:eastAsia="zh-CN"/>
        </w:rPr>
        <w:t>股室</w:t>
      </w:r>
      <w:r>
        <w:rPr>
          <w:rFonts w:ascii="仿宋" w:hAnsi="仿宋" w:eastAsia="仿宋"/>
          <w:sz w:val="32"/>
          <w:szCs w:val="32"/>
        </w:rPr>
        <w:t>人员对政务公开工作的重要性认识不到位，对政务公开工作不够了解，对需要公开的内容掌握不够全面。二是政策解读形式还不够丰富，对涉及单位的重大改革、重要政策的解读多以文字解读的形式为主，可阅读性不强。三是由于</w:t>
      </w:r>
      <w:r>
        <w:rPr>
          <w:rFonts w:hint="eastAsia" w:ascii="仿宋" w:hAnsi="仿宋" w:eastAsia="仿宋"/>
          <w:sz w:val="32"/>
          <w:szCs w:val="32"/>
        </w:rPr>
        <w:t>部分</w:t>
      </w:r>
      <w:r>
        <w:rPr>
          <w:rFonts w:hint="eastAsia" w:ascii="仿宋" w:hAnsi="仿宋" w:eastAsia="仿宋"/>
          <w:sz w:val="32"/>
          <w:szCs w:val="32"/>
          <w:lang w:eastAsia="zh-CN"/>
        </w:rPr>
        <w:t>股室</w:t>
      </w:r>
      <w:r>
        <w:rPr>
          <w:rFonts w:hint="eastAsia" w:ascii="仿宋" w:hAnsi="仿宋" w:eastAsia="仿宋"/>
          <w:sz w:val="32"/>
          <w:szCs w:val="32"/>
        </w:rPr>
        <w:t>提供信息不及时，造成</w:t>
      </w:r>
      <w:r>
        <w:rPr>
          <w:rFonts w:ascii="仿宋" w:hAnsi="仿宋" w:eastAsia="仿宋"/>
          <w:sz w:val="32"/>
          <w:szCs w:val="32"/>
        </w:rPr>
        <w:t>网站部分公开信息</w:t>
      </w:r>
      <w:r>
        <w:rPr>
          <w:rFonts w:hint="eastAsia" w:ascii="仿宋" w:hAnsi="仿宋" w:eastAsia="仿宋"/>
          <w:sz w:val="32"/>
          <w:szCs w:val="32"/>
        </w:rPr>
        <w:t>存在滞后</w:t>
      </w:r>
      <w:r>
        <w:rPr>
          <w:rFonts w:ascii="仿宋" w:hAnsi="仿宋" w:eastAsia="仿宋"/>
          <w:sz w:val="32"/>
          <w:szCs w:val="32"/>
        </w:rPr>
        <w:t>现象。</w:t>
      </w:r>
    </w:p>
    <w:p w14:paraId="657CDA5A"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（二）改进措施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ascii="仿宋" w:eastAsia="仿宋"/>
          <w:sz w:val="32"/>
          <w:szCs w:val="32"/>
        </w:rPr>
        <w:t> </w:t>
      </w:r>
      <w:r>
        <w:rPr>
          <w:rFonts w:hint="eastAsia" w:ascii="仿宋" w:eastAsia="仿宋"/>
          <w:sz w:val="32"/>
          <w:szCs w:val="32"/>
        </w:rPr>
        <w:t>下一步重点做好：</w:t>
      </w:r>
      <w:r>
        <w:rPr>
          <w:rFonts w:ascii="仿宋" w:hAnsi="仿宋" w:eastAsia="仿宋"/>
          <w:sz w:val="32"/>
          <w:szCs w:val="32"/>
        </w:rPr>
        <w:t>一是进一步加强组织领导，明确推进政务公开的目标任务，同时加强对全体干部职工政务公开培训，不断强化干部职工责任意识和服务意识。二是进一步丰富政策解读形式，学习借鉴其他单位的成功经验，充分发挥门户网站的作用，努力提升政策解读的规范化、多样化、实效化。三是进一步规范完善信息起草、审核、报送、发布各工作流程，确保审核无错别字再发布。</w:t>
      </w:r>
    </w:p>
    <w:p w14:paraId="1B2B8D58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六、其他需要报告的事项</w:t>
      </w:r>
    </w:p>
    <w:p w14:paraId="5B0C01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38" w:leftChars="304" w:firstLine="0" w:firstLineChars="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（一）探索改进双随机监管方式，成为全市系统首创。</w:t>
      </w:r>
    </w:p>
    <w:p w14:paraId="760058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今年，我局牵头组织开展现场抽查市场主体仪式活动。开展双随机抽查52批次，抽查市场主体503户（含省、市抽查），发现问题65起，立案3起，其中跨部门联合抽查14批次，16家单位参加、检查市场主体65家，抽查结果通过“河北省双随机监管工作平台”对外进行公示。此项工作《中国商报》《祖国杂志》《今日头条》《中国市场监管报》等多家国家级媒体纷纷报道。</w:t>
      </w:r>
    </w:p>
    <w:p w14:paraId="03E55C29">
      <w:pPr>
        <w:pStyle w:val="1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kern w:val="2"/>
          <w:sz w:val="32"/>
          <w:szCs w:val="32"/>
          <w:lang w:val="en-US" w:eastAsia="zh-CN" w:bidi="ar-SA"/>
        </w:rPr>
        <w:t>（二）建设“一站式”服务试点，打造全市系统唯一亮点。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根据市局文件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《关于开展质量基础设施“一站式”服务试点工作的通知》，将我县莲子镇市场监管所列为全市唯一基层站所“一站式”服务试点。</w:t>
      </w:r>
    </w:p>
    <w:p w14:paraId="090390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kern w:val="2"/>
          <w:sz w:val="32"/>
          <w:szCs w:val="32"/>
          <w:lang w:val="en-US" w:eastAsia="zh-CN" w:bidi="ar-SA"/>
        </w:rPr>
        <w:t>（三）加强药品安全基层监管网络建设，在省局会议上典型发言。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月份，我局就药品安全基层监管网络建设工作，在河北省人民政府药品安全领导小组办公室组织召开的“药品安全基层监管网络建设”调度会上作交流发言。隆尧县作为邢台市唯一县市区在此次调度会上发言，介绍工作进展情况、主要做法和下一步工作打算。近两年，我县药械化案件查办数量位列全市前茅，食品药品安全考核连续6年考核等次为A级。</w:t>
      </w:r>
    </w:p>
    <w:p w14:paraId="019B2F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4月8日，邢食药安办【2022】4号文件：隆尧县人民政府2021年度食品药品安全工作考核评价得分99.99（百分制），考核等次为A级；9月30日，河北省人民政府食品安全委员会办公室、河北省市场监督管理局、河北省人力资源和社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保障厅联合下发文件《关于表彰全省食品安全工作先进集体和先进个人的决定》授予隆尧县市场监督管理局全省食品安全工作先进集体荣誉称号。</w:t>
      </w:r>
    </w:p>
    <w:p w14:paraId="4340E9A2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目前暂无其他需要报告的事项。</w:t>
      </w:r>
    </w:p>
    <w:p w14:paraId="3013C0BB">
      <w:pPr>
        <w:ind w:firstLine="420" w:firstLineChars="20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91A1C9"/>
    <w:multiLevelType w:val="singleLevel"/>
    <w:tmpl w:val="9591A1C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M2NkOTMyZjU5NjY4M2QxYWU3ZDZkZTQyNjdmYmMifQ=="/>
  </w:docVars>
  <w:rsids>
    <w:rsidRoot w:val="00000000"/>
    <w:rsid w:val="225A42C3"/>
    <w:rsid w:val="39A21245"/>
    <w:rsid w:val="3D135F0A"/>
    <w:rsid w:val="63450A18"/>
    <w:rsid w:val="6EC20D20"/>
    <w:rsid w:val="78A61CE5"/>
    <w:rsid w:val="7F81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1"/>
    <w:basedOn w:val="3"/>
    <w:qFormat/>
    <w:uiPriority w:val="99"/>
    <w:pPr>
      <w:ind w:firstLine="420" w:firstLineChars="100"/>
    </w:pPr>
    <w:rPr>
      <w:rFonts w:cs="Calibri"/>
      <w:szCs w:val="21"/>
    </w:rPr>
  </w:style>
  <w:style w:type="paragraph" w:styleId="3">
    <w:name w:val="Body Text"/>
    <w:basedOn w:val="1"/>
    <w:next w:val="4"/>
    <w:qFormat/>
    <w:uiPriority w:val="0"/>
    <w:pPr>
      <w:spacing w:after="120" w:afterLines="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5">
    <w:name w:val="_Style 4"/>
    <w:basedOn w:val="1"/>
    <w:next w:val="1"/>
    <w:qFormat/>
    <w:uiPriority w:val="99"/>
    <w:pPr>
      <w:widowControl/>
      <w:wordWrap w:val="0"/>
      <w:spacing w:before="200" w:after="160"/>
      <w:ind w:left="864" w:right="864"/>
      <w:jc w:val="center"/>
    </w:pPr>
    <w:rPr>
      <w:rFonts w:ascii="宋体"/>
      <w:i/>
      <w:color w:val="404040"/>
    </w:rPr>
  </w:style>
  <w:style w:type="paragraph" w:styleId="6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7">
    <w:name w:val="Body Text Indent"/>
    <w:basedOn w:val="1"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7"/>
    <w:next w:val="1"/>
    <w:unhideWhenUsed/>
    <w:qFormat/>
    <w:uiPriority w:val="99"/>
    <w:pPr>
      <w:ind w:firstLine="420"/>
    </w:p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hint="eastAsia"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2788</Words>
  <Characters>2857</Characters>
  <Lines>0</Lines>
  <Paragraphs>0</Paragraphs>
  <TotalTime>3</TotalTime>
  <ScaleCrop>false</ScaleCrop>
  <LinksUpToDate>false</LinksUpToDate>
  <CharactersWithSpaces>2863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2023-01-20T05:59:00Z</dcterms:created>
  <dc:creator>Administrator</dc:creator>
  <cp:lastModifiedBy>宁缺毋滥</cp:lastModifiedBy>
  <cp:lastPrinted>2023-02-07T01:29:00Z</cp:lastPrinted>
  <dcterms:modified xsi:type="dcterms:W3CDTF">2024-11-27T09:22:00Z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5B8B6AE9DD71434CA55F1956D1FD3648_12</vt:lpwstr>
  </property>
</Properties>
</file>