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01000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邢台市</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隆尧县医疗保障局</w:t>
      </w:r>
    </w:p>
    <w:p w14:paraId="50EF9184">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140011A2">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长城小标宋体" w:hAnsi="长城小标宋体" w:eastAsia="长城小标宋体" w:cs="长城小标宋体"/>
          <w:b w:val="0"/>
          <w:bCs/>
          <w:i w:val="0"/>
          <w:caps w:val="0"/>
          <w:color w:val="333333"/>
          <w:spacing w:val="0"/>
          <w:sz w:val="44"/>
          <w:szCs w:val="44"/>
          <w:shd w:val="clear" w:color="auto" w:fill="FFFFFF"/>
        </w:rPr>
      </w:pPr>
    </w:p>
    <w:p w14:paraId="546B897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lang w:eastAsia="zh-CN"/>
        </w:rPr>
      </w:pPr>
      <w:r>
        <w:rPr>
          <w:rFonts w:hint="eastAsia" w:ascii="仿宋_GB2312" w:hAnsi="仿宋_GB2312" w:eastAsia="仿宋_GB2312" w:cs="仿宋_GB2312"/>
          <w:i w:val="0"/>
          <w:caps w:val="0"/>
          <w:color w:val="333333"/>
          <w:spacing w:val="0"/>
          <w:sz w:val="32"/>
          <w:szCs w:val="32"/>
        </w:rPr>
        <w:t>202</w:t>
      </w:r>
      <w:r>
        <w:rPr>
          <w:rFonts w:hint="eastAsia" w:ascii="仿宋_GB2312" w:hAnsi="仿宋_GB2312" w:eastAsia="仿宋_GB2312" w:cs="仿宋_GB2312"/>
          <w:i w:val="0"/>
          <w:caps w:val="0"/>
          <w:color w:val="333333"/>
          <w:spacing w:val="0"/>
          <w:sz w:val="32"/>
          <w:szCs w:val="32"/>
          <w:lang w:val="en-US" w:eastAsia="zh-CN"/>
        </w:rPr>
        <w:t>2</w:t>
      </w:r>
      <w:r>
        <w:rPr>
          <w:rFonts w:hint="eastAsia" w:ascii="仿宋_GB2312" w:hAnsi="仿宋_GB2312" w:eastAsia="仿宋_GB2312" w:cs="仿宋_GB2312"/>
          <w:i w:val="0"/>
          <w:caps w:val="0"/>
          <w:color w:val="333333"/>
          <w:spacing w:val="0"/>
          <w:sz w:val="32"/>
          <w:szCs w:val="32"/>
        </w:rPr>
        <w:t>年，</w:t>
      </w:r>
      <w:r>
        <w:rPr>
          <w:rFonts w:hint="eastAsia" w:ascii="仿宋_GB2312" w:hAnsi="仿宋_GB2312" w:eastAsia="仿宋_GB2312" w:cs="仿宋_GB2312"/>
          <w:i w:val="0"/>
          <w:caps w:val="0"/>
          <w:color w:val="333333"/>
          <w:spacing w:val="0"/>
          <w:sz w:val="32"/>
          <w:szCs w:val="32"/>
          <w:lang w:eastAsia="zh-CN"/>
        </w:rPr>
        <w:t>医保</w:t>
      </w:r>
      <w:r>
        <w:rPr>
          <w:rFonts w:hint="eastAsia" w:ascii="仿宋_GB2312" w:hAnsi="仿宋_GB2312" w:eastAsia="仿宋_GB2312" w:cs="仿宋_GB2312"/>
          <w:sz w:val="32"/>
          <w:szCs w:val="32"/>
          <w:lang w:eastAsia="zh-CN"/>
        </w:rPr>
        <w:t>局坚持</w:t>
      </w:r>
      <w:r>
        <w:rPr>
          <w:rFonts w:hint="eastAsia" w:ascii="仿宋_GB2312" w:hAnsi="仿宋_GB2312" w:eastAsia="仿宋_GB2312" w:cs="仿宋_GB2312"/>
          <w:sz w:val="32"/>
          <w:szCs w:val="32"/>
        </w:rPr>
        <w:t>以习近平新时代中国特色社会主义思想</w:t>
      </w:r>
      <w:r>
        <w:rPr>
          <w:rFonts w:hint="eastAsia" w:ascii="仿宋_GB2312" w:hAnsi="仿宋_GB2312" w:eastAsia="仿宋_GB2312" w:cs="仿宋_GB2312"/>
          <w:sz w:val="32"/>
          <w:szCs w:val="32"/>
          <w:lang w:eastAsia="zh-CN"/>
        </w:rPr>
        <w:t>为指导，认真贯彻落实</w:t>
      </w:r>
      <w:r>
        <w:rPr>
          <w:rFonts w:hint="eastAsia" w:ascii="仿宋_GB2312" w:hAnsi="仿宋_GB2312" w:eastAsia="仿宋_GB2312" w:cs="仿宋_GB2312"/>
          <w:sz w:val="32"/>
          <w:szCs w:val="32"/>
        </w:rPr>
        <w:t>党的十九大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十九届</w:t>
      </w:r>
      <w:r>
        <w:rPr>
          <w:rFonts w:hint="eastAsia" w:ascii="仿宋_GB2312" w:hAnsi="仿宋_GB2312" w:eastAsia="仿宋_GB2312" w:cs="仿宋_GB2312"/>
          <w:sz w:val="32"/>
          <w:szCs w:val="32"/>
          <w:lang w:eastAsia="zh-CN"/>
        </w:rPr>
        <w:t>历次全会和党的二十大精神</w:t>
      </w:r>
      <w:r>
        <w:rPr>
          <w:rFonts w:hint="eastAsia" w:ascii="仿宋_GB2312" w:hAnsi="仿宋_GB2312" w:eastAsia="仿宋_GB2312" w:cs="仿宋_GB2312"/>
          <w:sz w:val="32"/>
          <w:szCs w:val="32"/>
        </w:rPr>
        <w:t>，</w:t>
      </w:r>
      <w:r>
        <w:rPr>
          <w:rFonts w:hint="eastAsia" w:ascii="仿宋_GB2312" w:hAnsi="仿宋_GB2312" w:eastAsia="仿宋_GB2312" w:cs="仿宋_GB2312"/>
          <w:i w:val="0"/>
          <w:caps w:val="0"/>
          <w:color w:val="333333"/>
          <w:spacing w:val="0"/>
          <w:sz w:val="32"/>
          <w:szCs w:val="32"/>
        </w:rPr>
        <w:t>严格落实党中央、国务院关于全面推进政务公开工作的部署，对标《202</w:t>
      </w:r>
      <w:r>
        <w:rPr>
          <w:rFonts w:hint="eastAsia" w:ascii="仿宋_GB2312" w:hAnsi="仿宋_GB2312" w:eastAsia="仿宋_GB2312" w:cs="仿宋_GB2312"/>
          <w:i w:val="0"/>
          <w:caps w:val="0"/>
          <w:color w:val="333333"/>
          <w:spacing w:val="0"/>
          <w:sz w:val="32"/>
          <w:szCs w:val="32"/>
          <w:lang w:val="en-US" w:eastAsia="zh-CN"/>
        </w:rPr>
        <w:t>2</w:t>
      </w:r>
      <w:r>
        <w:rPr>
          <w:rFonts w:hint="eastAsia" w:ascii="仿宋_GB2312" w:hAnsi="仿宋_GB2312" w:eastAsia="仿宋_GB2312" w:cs="仿宋_GB2312"/>
          <w:i w:val="0"/>
          <w:caps w:val="0"/>
          <w:color w:val="333333"/>
          <w:spacing w:val="0"/>
          <w:sz w:val="32"/>
          <w:szCs w:val="32"/>
        </w:rPr>
        <w:t>年邢台市</w:t>
      </w:r>
      <w:r>
        <w:rPr>
          <w:rFonts w:hint="eastAsia" w:ascii="仿宋_GB2312" w:hAnsi="仿宋_GB2312" w:eastAsia="仿宋_GB2312" w:cs="仿宋_GB2312"/>
          <w:i w:val="0"/>
          <w:caps w:val="0"/>
          <w:color w:val="333333"/>
          <w:spacing w:val="0"/>
          <w:sz w:val="32"/>
          <w:szCs w:val="32"/>
          <w:lang w:eastAsia="zh-CN"/>
        </w:rPr>
        <w:t>隆尧县</w:t>
      </w:r>
      <w:r>
        <w:rPr>
          <w:rFonts w:hint="eastAsia" w:ascii="仿宋_GB2312" w:hAnsi="仿宋_GB2312" w:eastAsia="仿宋_GB2312" w:cs="仿宋_GB2312"/>
          <w:i w:val="0"/>
          <w:caps w:val="0"/>
          <w:color w:val="333333"/>
          <w:spacing w:val="0"/>
          <w:sz w:val="32"/>
          <w:szCs w:val="32"/>
        </w:rPr>
        <w:t>政务公开工作要点》，着力做好主动公开、依申请公开、公开平台建设、推进基层政务公开标准化、规范化工作</w:t>
      </w:r>
      <w:r>
        <w:rPr>
          <w:rFonts w:hint="eastAsia" w:ascii="仿宋_GB2312" w:hAnsi="仿宋_GB2312" w:eastAsia="仿宋_GB2312" w:cs="仿宋_GB2312"/>
          <w:i w:val="0"/>
          <w:caps w:val="0"/>
          <w:color w:val="333333"/>
          <w:spacing w:val="0"/>
          <w:sz w:val="32"/>
          <w:szCs w:val="32"/>
          <w:lang w:eastAsia="zh-CN"/>
        </w:rPr>
        <w:t>，圆满完成了上级下达的各项目标任务。</w:t>
      </w:r>
    </w:p>
    <w:p w14:paraId="4406776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i w:val="0"/>
          <w:caps w:val="0"/>
          <w:color w:val="333333"/>
          <w:spacing w:val="0"/>
          <w:sz w:val="32"/>
          <w:szCs w:val="32"/>
          <w:lang w:eastAsia="zh-CN"/>
        </w:rPr>
      </w:pPr>
      <w:r>
        <w:rPr>
          <w:rFonts w:hint="eastAsia" w:ascii="仿宋_GB2312" w:hAnsi="仿宋_GB2312" w:eastAsia="仿宋_GB2312" w:cs="仿宋_GB2312"/>
          <w:b/>
          <w:bCs/>
          <w:i w:val="0"/>
          <w:caps w:val="0"/>
          <w:color w:val="333333"/>
          <w:spacing w:val="0"/>
          <w:sz w:val="32"/>
          <w:szCs w:val="32"/>
          <w:lang w:eastAsia="zh-CN"/>
        </w:rPr>
        <w:t>一、总体情况</w:t>
      </w:r>
    </w:p>
    <w:p w14:paraId="4C8F2F02">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一</w:t>
      </w:r>
      <w:r>
        <w:rPr>
          <w:rFonts w:hint="eastAsia"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加强主动公开。</w:t>
      </w:r>
      <w:r>
        <w:rPr>
          <w:rFonts w:hint="eastAsia" w:ascii="仿宋_GB2312" w:hAnsi="仿宋_GB2312" w:eastAsia="仿宋_GB2312" w:cs="仿宋_GB2312"/>
          <w:i w:val="0"/>
          <w:caps w:val="0"/>
          <w:color w:val="333333"/>
          <w:spacing w:val="0"/>
          <w:sz w:val="32"/>
          <w:szCs w:val="32"/>
        </w:rPr>
        <w:t>主动公开政府信息的主要类别情况。一是对重大项目、公共资源配置、行政职权、人事信息、工作报告、</w:t>
      </w:r>
      <w:r>
        <w:rPr>
          <w:rFonts w:hint="eastAsia" w:ascii="仿宋_GB2312" w:hAnsi="仿宋_GB2312" w:eastAsia="仿宋_GB2312" w:cs="仿宋_GB2312"/>
          <w:i w:val="0"/>
          <w:caps w:val="0"/>
          <w:color w:val="333333"/>
          <w:spacing w:val="0"/>
          <w:sz w:val="32"/>
          <w:szCs w:val="32"/>
          <w:lang w:eastAsia="zh-CN"/>
        </w:rPr>
        <w:t>医疗救助</w:t>
      </w:r>
      <w:r>
        <w:rPr>
          <w:rFonts w:hint="eastAsia" w:ascii="仿宋_GB2312" w:hAnsi="仿宋_GB2312" w:eastAsia="仿宋_GB2312" w:cs="仿宋_GB2312"/>
          <w:i w:val="0"/>
          <w:caps w:val="0"/>
          <w:color w:val="333333"/>
          <w:spacing w:val="0"/>
          <w:sz w:val="32"/>
          <w:szCs w:val="32"/>
        </w:rPr>
        <w:t>等进行公开。二是对行政许可和行政处罚进行双公示。三是</w:t>
      </w:r>
      <w:r>
        <w:rPr>
          <w:rFonts w:hint="eastAsia" w:ascii="仿宋_GB2312" w:hAnsi="仿宋_GB2312" w:eastAsia="仿宋_GB2312" w:cs="仿宋_GB2312"/>
          <w:i w:val="0"/>
          <w:caps w:val="0"/>
          <w:color w:val="333333"/>
          <w:spacing w:val="0"/>
          <w:sz w:val="32"/>
          <w:szCs w:val="32"/>
          <w:lang w:eastAsia="zh-CN"/>
        </w:rPr>
        <w:t>利用</w:t>
      </w:r>
      <w:r>
        <w:rPr>
          <w:rFonts w:hint="eastAsia" w:ascii="仿宋_GB2312" w:hAnsi="仿宋_GB2312" w:eastAsia="仿宋_GB2312" w:cs="仿宋_GB2312"/>
          <w:i w:val="0"/>
          <w:caps w:val="0"/>
          <w:color w:val="333333"/>
          <w:spacing w:val="0"/>
          <w:sz w:val="32"/>
          <w:szCs w:val="32"/>
        </w:rPr>
        <w:t>公示栏公示群众反应热点问题和重大决定</w:t>
      </w:r>
      <w:r>
        <w:rPr>
          <w:rFonts w:hint="eastAsia" w:ascii="仿宋_GB2312" w:hAnsi="仿宋_GB2312" w:eastAsia="仿宋_GB2312" w:cs="仿宋_GB2312"/>
          <w:i w:val="0"/>
          <w:caps w:val="0"/>
          <w:color w:val="333333"/>
          <w:spacing w:val="0"/>
          <w:sz w:val="32"/>
          <w:szCs w:val="32"/>
          <w:lang w:eastAsia="zh-CN"/>
        </w:rPr>
        <w:t>，</w:t>
      </w:r>
      <w:r>
        <w:rPr>
          <w:rFonts w:hint="eastAsia" w:ascii="仿宋_GB2312" w:hAnsi="仿宋_GB2312" w:eastAsia="仿宋_GB2312" w:cs="仿宋_GB2312"/>
          <w:i w:val="0"/>
          <w:caps w:val="0"/>
          <w:color w:val="333333"/>
          <w:spacing w:val="0"/>
          <w:sz w:val="32"/>
          <w:szCs w:val="32"/>
        </w:rPr>
        <w:t>不断强化便民服务。</w:t>
      </w:r>
    </w:p>
    <w:p w14:paraId="10C8F2E1">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333333"/>
          <w:spacing w:val="0"/>
          <w:sz w:val="32"/>
          <w:szCs w:val="32"/>
        </w:rPr>
      </w:pPr>
      <w:r>
        <w:rPr>
          <w:rFonts w:hint="default" w:ascii="仿宋_GB2312" w:hAnsi="仿宋_GB2312" w:eastAsia="仿宋_GB2312" w:cs="仿宋_GB2312"/>
          <w:i w:val="0"/>
          <w:caps w:val="0"/>
          <w:color w:val="333333"/>
          <w:spacing w:val="0"/>
          <w:sz w:val="32"/>
          <w:szCs w:val="32"/>
        </w:rPr>
        <w:t>（二）</w:t>
      </w:r>
      <w:r>
        <w:rPr>
          <w:rFonts w:hint="eastAsia" w:ascii="仿宋_GB2312" w:hAnsi="仿宋_GB2312" w:eastAsia="仿宋_GB2312" w:cs="仿宋_GB2312"/>
          <w:i w:val="0"/>
          <w:caps w:val="0"/>
          <w:color w:val="333333"/>
          <w:spacing w:val="0"/>
          <w:sz w:val="32"/>
          <w:szCs w:val="32"/>
          <w:lang w:eastAsia="zh-CN"/>
        </w:rPr>
        <w:t>规范</w:t>
      </w:r>
      <w:r>
        <w:rPr>
          <w:rFonts w:hint="default" w:ascii="仿宋_GB2312" w:hAnsi="仿宋_GB2312" w:eastAsia="仿宋_GB2312" w:cs="仿宋_GB2312"/>
          <w:i w:val="0"/>
          <w:caps w:val="0"/>
          <w:color w:val="333333"/>
          <w:spacing w:val="0"/>
          <w:sz w:val="32"/>
          <w:szCs w:val="32"/>
        </w:rPr>
        <w:t>申请公开。2022年我局未收到申请，无依申请公开信息。</w:t>
      </w:r>
    </w:p>
    <w:p w14:paraId="394369AE">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default"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三</w:t>
      </w:r>
      <w:r>
        <w:rPr>
          <w:rFonts w:hint="default" w:ascii="仿宋_GB2312" w:hAnsi="仿宋_GB2312" w:eastAsia="仿宋_GB2312" w:cs="仿宋_GB2312"/>
          <w:i w:val="0"/>
          <w:caps w:val="0"/>
          <w:color w:val="333333"/>
          <w:spacing w:val="0"/>
          <w:sz w:val="32"/>
          <w:szCs w:val="32"/>
        </w:rPr>
        <w:t>)公开平台建设情况</w:t>
      </w:r>
      <w:r>
        <w:rPr>
          <w:rFonts w:hint="eastAsia" w:ascii="仿宋_GB2312" w:hAnsi="仿宋_GB2312" w:eastAsia="仿宋_GB2312" w:cs="仿宋_GB2312"/>
          <w:i w:val="0"/>
          <w:caps w:val="0"/>
          <w:color w:val="333333"/>
          <w:spacing w:val="0"/>
          <w:sz w:val="32"/>
          <w:szCs w:val="32"/>
          <w:lang w:eastAsia="zh-CN"/>
        </w:rPr>
        <w:t>。</w:t>
      </w:r>
      <w:r>
        <w:rPr>
          <w:rFonts w:hint="default" w:ascii="仿宋_GB2312" w:hAnsi="仿宋_GB2312" w:eastAsia="仿宋_GB2312" w:cs="仿宋_GB2312"/>
          <w:i w:val="0"/>
          <w:caps w:val="0"/>
          <w:color w:val="333333"/>
          <w:spacing w:val="0"/>
          <w:sz w:val="32"/>
          <w:szCs w:val="32"/>
        </w:rPr>
        <w:t>利用</w:t>
      </w:r>
      <w:r>
        <w:rPr>
          <w:rFonts w:hint="eastAsia" w:ascii="仿宋_GB2312" w:hAnsi="仿宋_GB2312" w:eastAsia="仿宋_GB2312" w:cs="仿宋_GB2312"/>
          <w:i w:val="0"/>
          <w:caps w:val="0"/>
          <w:color w:val="333333"/>
          <w:spacing w:val="0"/>
          <w:sz w:val="32"/>
          <w:szCs w:val="32"/>
          <w:lang w:eastAsia="zh-CN"/>
        </w:rPr>
        <w:t>隆尧</w:t>
      </w:r>
      <w:r>
        <w:rPr>
          <w:rFonts w:hint="default" w:ascii="仿宋_GB2312" w:hAnsi="仿宋_GB2312" w:eastAsia="仿宋_GB2312" w:cs="仿宋_GB2312"/>
          <w:i w:val="0"/>
          <w:caps w:val="0"/>
          <w:color w:val="333333"/>
          <w:spacing w:val="0"/>
          <w:sz w:val="32"/>
          <w:szCs w:val="32"/>
        </w:rPr>
        <w:t>县人民政府网站，做好重点信息公开和专题信息的公开。</w:t>
      </w:r>
    </w:p>
    <w:p w14:paraId="2B1B6F3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lang w:eastAsia="zh-CN"/>
        </w:rPr>
      </w:pPr>
      <w:r>
        <w:rPr>
          <w:rFonts w:hint="eastAsia"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四</w:t>
      </w:r>
      <w:r>
        <w:rPr>
          <w:rFonts w:hint="eastAsia"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加强组织协调监督保障</w:t>
      </w:r>
      <w:r>
        <w:rPr>
          <w:rFonts w:hint="eastAsia" w:ascii="仿宋_GB2312" w:hAnsi="仿宋_GB2312" w:eastAsia="仿宋_GB2312" w:cs="仿宋_GB2312"/>
          <w:i w:val="0"/>
          <w:caps w:val="0"/>
          <w:color w:val="333333"/>
          <w:spacing w:val="0"/>
          <w:sz w:val="32"/>
          <w:szCs w:val="32"/>
        </w:rPr>
        <w:t>。</w:t>
      </w:r>
      <w:r>
        <w:rPr>
          <w:rFonts w:hint="eastAsia" w:ascii="仿宋_GB2312" w:hAnsi="仿宋_GB2312" w:eastAsia="仿宋_GB2312" w:cs="仿宋_GB2312"/>
          <w:i w:val="0"/>
          <w:caps w:val="0"/>
          <w:color w:val="333333"/>
          <w:spacing w:val="0"/>
          <w:sz w:val="32"/>
          <w:szCs w:val="32"/>
          <w:lang w:eastAsia="zh-CN"/>
        </w:rPr>
        <w:t>安排专人负责日常政务公开工作，严格审核局机关和股室信息公开内容，提高本单位信息公开工作规范化。</w:t>
      </w:r>
      <w:r>
        <w:rPr>
          <w:rFonts w:hint="eastAsia" w:ascii="仿宋_GB2312" w:hAnsi="仿宋_GB2312" w:eastAsia="仿宋_GB2312" w:cs="仿宋_GB2312"/>
          <w:i w:val="0"/>
          <w:caps w:val="0"/>
          <w:color w:val="333333"/>
          <w:spacing w:val="0"/>
          <w:sz w:val="32"/>
          <w:szCs w:val="32"/>
        </w:rPr>
        <w:t>进一步完善了业务培训、考核评估、标准化建设等工作机制。就新修订的《中华人民共和国政府信息公开条例》</w:t>
      </w:r>
      <w:bookmarkStart w:id="0" w:name="_GoBack"/>
      <w:bookmarkEnd w:id="0"/>
      <w:r>
        <w:rPr>
          <w:rFonts w:hint="eastAsia" w:ascii="仿宋_GB2312" w:hAnsi="仿宋_GB2312" w:eastAsia="仿宋_GB2312" w:cs="仿宋_GB2312"/>
          <w:i w:val="0"/>
          <w:caps w:val="0"/>
          <w:color w:val="333333"/>
          <w:spacing w:val="0"/>
          <w:sz w:val="32"/>
          <w:szCs w:val="32"/>
        </w:rPr>
        <w:t>等进行学习交流，并结合本单位实际，及时修订完善配套政策措施，促进了政务公开工作业务能力进一步提升。</w:t>
      </w:r>
    </w:p>
    <w:p w14:paraId="1CA04CDC">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lang w:eastAsia="zh-CN"/>
        </w:rPr>
        <w:t>（五）严格政府信息管理</w:t>
      </w:r>
      <w:r>
        <w:rPr>
          <w:rFonts w:hint="eastAsia" w:ascii="仿宋_GB2312" w:hAnsi="仿宋_GB2312" w:eastAsia="仿宋_GB2312" w:cs="仿宋_GB2312"/>
          <w:i w:val="0"/>
          <w:caps w:val="0"/>
          <w:color w:val="333333"/>
          <w:spacing w:val="0"/>
          <w:sz w:val="32"/>
          <w:szCs w:val="32"/>
        </w:rPr>
        <w:t>。通过政府信息公开平台及时主动公开县委、县政府重点工作分工情况，按照责任股室职责分工，在医保局公示栏或隆尧县医保局微信公众号公开执行过程、落实步骤和工作结果等相关信息。制定了主动公开基本目录，结合机构改革和职能优化，依照“三定”方案，及时在隆尧县政务信息公开平台公开县医保局主要职责、机构设置和职能、联系电话，县医保局领导班子成员和科级干部分工，列清了权力清单和责任清单。主动公开部门预决算、专项资金管理和使用情况、“三公”经费情况等信息。加大医保精准扶贫、医疗救助等信息公开力度。主动公开办事指南、办理过程和办理结果。在隆尧县政务信息公开平台及时公开医保系统工作成效和突出成果</w:t>
      </w:r>
      <w:r>
        <w:rPr>
          <w:rFonts w:hint="eastAsia" w:ascii="仿宋_GB2312" w:hAnsi="仿宋_GB2312" w:eastAsia="仿宋_GB2312" w:cs="仿宋_GB2312"/>
          <w:i w:val="0"/>
          <w:caps w:val="0"/>
          <w:color w:val="333333"/>
          <w:spacing w:val="0"/>
          <w:sz w:val="32"/>
          <w:szCs w:val="32"/>
          <w:lang w:eastAsia="zh-CN"/>
        </w:rPr>
        <w:t>。</w:t>
      </w:r>
      <w:r>
        <w:rPr>
          <w:rFonts w:hint="eastAsia" w:ascii="仿宋_GB2312" w:hAnsi="仿宋_GB2312" w:eastAsia="仿宋_GB2312" w:cs="仿宋_GB2312"/>
          <w:i w:val="0"/>
          <w:caps w:val="0"/>
          <w:color w:val="333333"/>
          <w:spacing w:val="0"/>
          <w:sz w:val="32"/>
          <w:szCs w:val="32"/>
        </w:rPr>
        <w:t>在隆尧县医保局微信公众号及时公开医保系统惠民政策和最新政策等。</w:t>
      </w:r>
    </w:p>
    <w:p w14:paraId="32660F5B">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p>
    <w:p w14:paraId="695417F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6ABFB0A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3"/>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769EB7DF">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3E5DD7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0919850B">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5FECE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E0469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C91FD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E82A1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60F6826">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59001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B3DAD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9E460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宋体" w:hAnsi="宋体" w:cs="宋体"/>
                <w:color w:val="000000"/>
                <w:kern w:val="0"/>
                <w:sz w:val="20"/>
                <w:szCs w:val="20"/>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6F674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宋体" w:hAnsi="宋体" w:cs="宋体"/>
                <w:color w:val="000000"/>
                <w:kern w:val="0"/>
                <w:sz w:val="20"/>
                <w:szCs w:val="20"/>
                <w:lang w:val="en-US" w:eastAsia="zh-CN"/>
              </w:rPr>
              <w:t>0</w:t>
            </w:r>
          </w:p>
        </w:tc>
      </w:tr>
      <w:tr w14:paraId="624DE554">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42CC1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AE9C4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eastAsia="宋体"/>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90D80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eastAsia="宋体"/>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CF9AF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lang w:val="en-US" w:eastAsia="zh-CN"/>
              </w:rPr>
              <w:t>0</w:t>
            </w:r>
          </w:p>
        </w:tc>
      </w:tr>
      <w:tr w14:paraId="44FCC5F3">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13694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39E7FA5E">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4E81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DBCC5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4B216E86">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5BDE6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B1F4D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2E97DA2">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02DFD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9588999">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3EF3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014FE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144FA19F">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61EE4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CB154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4B2B4CD2">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09B89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84692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6F996C4D">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2F275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30EFFC8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71148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1146FC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68A5FFF1">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557AF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AB979DA">
            <w:pPr>
              <w:rPr>
                <w:rFonts w:hint="eastAsia" w:ascii="宋体" w:eastAsiaTheme="minorEastAsia"/>
                <w:sz w:val="24"/>
                <w:szCs w:val="24"/>
                <w:lang w:val="en-US" w:eastAsia="zh-CN"/>
              </w:rPr>
            </w:pPr>
            <w:r>
              <w:rPr>
                <w:rFonts w:hint="eastAsia" w:ascii="宋体"/>
                <w:sz w:val="24"/>
                <w:szCs w:val="24"/>
                <w:lang w:val="en-US" w:eastAsia="zh-CN"/>
              </w:rPr>
              <w:t>0</w:t>
            </w:r>
          </w:p>
        </w:tc>
      </w:tr>
    </w:tbl>
    <w:p w14:paraId="37EBD736">
      <w:pPr>
        <w:keepNext w:val="0"/>
        <w:keepLines w:val="0"/>
        <w:widowControl/>
        <w:suppressLineNumbers w:val="0"/>
        <w:jc w:val="left"/>
      </w:pPr>
    </w:p>
    <w:p w14:paraId="5624A3E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2BE5D1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14:paraId="30F4FF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F4B4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13EA4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06017D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DB087E4">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7A1552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093F4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66F1CA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7679DC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3B32E9C">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540EDDFB">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6FB74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Fonts w:hint="eastAsia" w:ascii="宋体" w:hAnsi="宋体" w:eastAsia="宋体" w:cs="宋体"/>
                <w:kern w:val="0"/>
                <w:sz w:val="20"/>
                <w:szCs w:val="20"/>
                <w:lang w:val="en-US" w:eastAsia="zh-CN" w:bidi="ar"/>
              </w:rPr>
              <w:t>商业</w:t>
            </w:r>
          </w:p>
          <w:p w14:paraId="5FFB72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7F67A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Fonts w:hint="eastAsia" w:ascii="宋体" w:hAnsi="宋体" w:eastAsia="宋体" w:cs="宋体"/>
                <w:kern w:val="0"/>
                <w:sz w:val="20"/>
                <w:szCs w:val="20"/>
                <w:lang w:val="en-US" w:eastAsia="zh-CN" w:bidi="ar"/>
              </w:rPr>
              <w:t>科研</w:t>
            </w:r>
          </w:p>
          <w:p w14:paraId="4B26AB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28D96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5BFBC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C6D3C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7BCD82E8">
            <w:pPr>
              <w:rPr>
                <w:rFonts w:hint="eastAsia" w:ascii="宋体"/>
                <w:sz w:val="24"/>
                <w:szCs w:val="24"/>
              </w:rPr>
            </w:pPr>
          </w:p>
        </w:tc>
      </w:tr>
      <w:tr w14:paraId="0EF439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4AB97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4384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697BA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FCC75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ADEE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5880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85A1B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41FFC5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667D0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0ABA3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78DA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6954F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D9875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F865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EB5D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0BF6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3EB7EB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1FD30E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D46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C3902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2078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429E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E3D44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2FB67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E087E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EA45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F812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B9884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5AD6B4">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86127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67460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76CB1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692E6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04C05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B79ED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294E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797961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4EBE26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85BE26">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757E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084C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A81D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07BC6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28F7D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516FC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FE2D9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8F8F5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C1E0B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F5403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90CFB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FD43BF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71CD8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8E80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F0468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F792A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DF312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1C6A2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E094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C0329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14698A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8EC719">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76A52FB">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60EC5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4F987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F5B6F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5F0F8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D78C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49D95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FFF1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73317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1073BC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8478B7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A8933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ED5CF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FB312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233E8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59ED6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94F6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560C4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E662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0D1B86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3F5363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332BA30">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B98670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9BB8F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0473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D3F16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A2589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7C01E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2E9B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432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51CB70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773960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3E5615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11EC55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4D26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E94CB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4651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CC730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3CD70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9D83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F63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5357F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37E527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C085C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9CDE8D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31DD0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33857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BC9FE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AF408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299A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6B3D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84EC8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0DDC56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3B30F0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86928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BC040D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251C2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75D9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9F2C3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CDB05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0A28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221A3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97D9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B4D8F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3E2B70C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0CC33C">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1BB541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FE2F6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C78A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2A7EA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5F900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668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2A72D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5936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4214B6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E0B96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CB8C9C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AA88F55">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B6026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6647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10055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50770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A2410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9C23F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37188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555E3D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4170CC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CB4828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2513A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29749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E8432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5B0C1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82670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BEC71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674E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03828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59B34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57A5676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6DFD11">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40621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3AD06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7A884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3FC7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F435A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785C4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3D9DF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C1C3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08C36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0C588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8E225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92736DC">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EA033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20F8D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A32CA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A5FF6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FDB98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39C3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18DD1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747323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57143E6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78EF17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228B1AD">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9404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62C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6CE6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363C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E365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7B467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C41F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0C73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744CE0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EAA76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567736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BE91B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7BFC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18E0A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D894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ED8F8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9704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9AEEB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2D6B61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763C6CB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28799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4DDCA3F">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54C388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5970B9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46452B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3CDA3E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E60D4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1C23A3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21FF6C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outset" w:color="auto" w:sz="8" w:space="0"/>
              <w:right w:val="single" w:color="auto" w:sz="8" w:space="0"/>
            </w:tcBorders>
            <w:shd w:val="clear" w:color="auto" w:fill="auto"/>
            <w:tcMar>
              <w:left w:w="57" w:type="dxa"/>
              <w:right w:w="57" w:type="dxa"/>
            </w:tcMar>
            <w:vAlign w:val="center"/>
          </w:tcPr>
          <w:p w14:paraId="4C56AB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7468A4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CFDE6F">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C0A2F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0CE1ED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11BA4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0578E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1936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D08A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ED9D7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7A55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464157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464186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652D9E">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C05ACFD">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594F30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3CB8B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F0E58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7A02F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F601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DC627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A10BB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5B5BAE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714119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FB018EC">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680F73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3DAD50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06F5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62AD7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3A8DE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F4A3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7C670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5E92C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04C5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6581C2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041261">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C5EE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B2079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F226B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92FA7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2F98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3BC14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3BBE1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1FFD0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r w14:paraId="03895C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CC1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AA6F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968A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49187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A383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FB5B6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4894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14:paraId="631697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rPr>
                <w:rFonts w:hint="eastAsia" w:ascii="宋体"/>
                <w:sz w:val="24"/>
                <w:szCs w:val="24"/>
              </w:rPr>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r>
    </w:tbl>
    <w:p w14:paraId="31A2404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52AB4F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6773E47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74238B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F694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68C0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6344D88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0907A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6BE9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85282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5407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124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28DDF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B2C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637D45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8649C9">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44D78CD">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09A851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7EA5A77">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17AAAB">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DBE2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8863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7F88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31102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1F946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94566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623BF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9A91D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51649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1F81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7FE31F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98FF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2B659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F2B23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21490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97BD7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78AB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D4D4E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6ABD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C5BA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3926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F92D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D62EF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E870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default" w:ascii="Calibri" w:hAnsi="Calibri" w:eastAsia="宋体" w:cs="Calibri"/>
                <w:kern w:val="0"/>
                <w:sz w:val="20"/>
                <w:szCs w:val="20"/>
                <w:lang w:val="en-US" w:eastAsia="zh-CN"/>
              </w:rPr>
              <w:t> </w:t>
            </w:r>
            <w:r>
              <w:rPr>
                <w:rFonts w:hint="eastAsia" w:ascii="Calibri" w:hAnsi="Calibri" w:cs="Calibri"/>
                <w:kern w:val="0"/>
                <w:sz w:val="20"/>
                <w:szCs w:val="20"/>
                <w:lang w:val="en-US" w:eastAsia="zh-CN"/>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484E4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both"/>
            </w:pPr>
            <w:r>
              <w:rPr>
                <w:rFonts w:hint="eastAsia" w:ascii="Calibri" w:hAnsi="Calibri" w:cs="Calibri"/>
                <w:kern w:val="0"/>
                <w:sz w:val="20"/>
                <w:szCs w:val="20"/>
                <w:lang w:val="en-US" w:eastAsia="zh-CN"/>
              </w:rPr>
              <w:t>0</w:t>
            </w:r>
            <w:r>
              <w:rPr>
                <w:rFonts w:hint="default" w:ascii="Calibri" w:hAnsi="Calibri" w:eastAsia="宋体" w:cs="Calibri"/>
                <w:kern w:val="0"/>
                <w:sz w:val="20"/>
                <w:szCs w:val="20"/>
                <w:lang w:val="en-US" w:eastAsia="zh-CN"/>
              </w:rPr>
              <w:t> </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A1ADB71">
            <w:pPr>
              <w:rPr>
                <w:rFonts w:hint="eastAsia" w:ascii="宋体" w:eastAsiaTheme="minorEastAsia"/>
                <w:sz w:val="24"/>
                <w:szCs w:val="24"/>
                <w:lang w:val="en-US" w:eastAsia="zh-CN"/>
              </w:rPr>
            </w:pPr>
            <w:r>
              <w:rPr>
                <w:rFonts w:hint="eastAsia" w:ascii="宋体"/>
                <w:sz w:val="24"/>
                <w:szCs w:val="24"/>
                <w:lang w:val="en-US" w:eastAsia="zh-CN"/>
              </w:rPr>
              <w:t>0</w:t>
            </w:r>
          </w:p>
        </w:tc>
      </w:tr>
    </w:tbl>
    <w:p w14:paraId="4F198601"/>
    <w:p w14:paraId="1C5F8A98">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14:paraId="45CE9B71">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i w:val="0"/>
          <w:caps w:val="0"/>
          <w:color w:val="333333"/>
          <w:spacing w:val="0"/>
          <w:sz w:val="32"/>
          <w:szCs w:val="32"/>
        </w:rPr>
      </w:pPr>
      <w:r>
        <w:rPr>
          <w:rFonts w:hint="eastAsia" w:ascii="仿宋_GB2312" w:hAnsi="仿宋_GB2312" w:eastAsia="仿宋_GB2312" w:cs="仿宋_GB2312"/>
          <w:b/>
          <w:bCs/>
          <w:i w:val="0"/>
          <w:caps w:val="0"/>
          <w:color w:val="333333"/>
          <w:spacing w:val="0"/>
          <w:sz w:val="32"/>
          <w:szCs w:val="32"/>
        </w:rPr>
        <w:t>五、存在的主要问题及改进情况</w:t>
      </w:r>
    </w:p>
    <w:p w14:paraId="5DFCCC2A">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lang w:eastAsia="zh-CN"/>
        </w:rPr>
        <w:t>（一）存在问题：一是</w:t>
      </w:r>
      <w:r>
        <w:rPr>
          <w:rFonts w:hint="default" w:ascii="仿宋_GB2312" w:hAnsi="仿宋_GB2312" w:eastAsia="仿宋_GB2312" w:cs="仿宋_GB2312"/>
          <w:i w:val="0"/>
          <w:caps w:val="0"/>
          <w:color w:val="333333"/>
          <w:spacing w:val="0"/>
          <w:sz w:val="32"/>
          <w:szCs w:val="32"/>
        </w:rPr>
        <w:t>对政务公开工作重视程度还不够,主动公开政府信息的责任意识有待增强;</w:t>
      </w:r>
      <w:r>
        <w:rPr>
          <w:rFonts w:hint="eastAsia" w:ascii="仿宋_GB2312" w:hAnsi="仿宋_GB2312" w:eastAsia="仿宋_GB2312" w:cs="仿宋_GB2312"/>
          <w:i w:val="0"/>
          <w:caps w:val="0"/>
          <w:color w:val="333333"/>
          <w:spacing w:val="0"/>
          <w:sz w:val="32"/>
          <w:szCs w:val="32"/>
          <w:lang w:eastAsia="zh-CN"/>
        </w:rPr>
        <w:t>二是个别</w:t>
      </w:r>
      <w:r>
        <w:rPr>
          <w:rFonts w:hint="default" w:ascii="仿宋_GB2312" w:hAnsi="仿宋_GB2312" w:eastAsia="仿宋_GB2312" w:cs="仿宋_GB2312"/>
          <w:i w:val="0"/>
          <w:caps w:val="0"/>
          <w:color w:val="333333"/>
          <w:spacing w:val="0"/>
          <w:sz w:val="32"/>
          <w:szCs w:val="32"/>
        </w:rPr>
        <w:t>信息公开不及时,对于单位发生的重要活动信息未及时形成工作动态予以公开公示。</w:t>
      </w:r>
    </w:p>
    <w:p w14:paraId="0F03FC6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lang w:eastAsia="zh-CN"/>
        </w:rPr>
        <w:t>（二）改进措施：一是进一步加强业务培训工作，</w:t>
      </w:r>
      <w:r>
        <w:rPr>
          <w:rFonts w:hint="default" w:ascii="仿宋_GB2312" w:hAnsi="仿宋_GB2312" w:eastAsia="仿宋_GB2312" w:cs="仿宋_GB2312"/>
          <w:i w:val="0"/>
          <w:caps w:val="0"/>
          <w:color w:val="333333"/>
          <w:spacing w:val="0"/>
          <w:sz w:val="32"/>
          <w:szCs w:val="32"/>
        </w:rPr>
        <w:t>提高工作人员的责任意识,增强运用规范化流程推动政府信息公开的自觉性。</w:t>
      </w:r>
    </w:p>
    <w:p w14:paraId="242A1EC5">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lang w:eastAsia="zh-CN"/>
        </w:rPr>
        <w:t>二是</w:t>
      </w:r>
      <w:r>
        <w:rPr>
          <w:rFonts w:hint="default" w:ascii="仿宋_GB2312" w:hAnsi="仿宋_GB2312" w:eastAsia="仿宋_GB2312" w:cs="仿宋_GB2312"/>
          <w:i w:val="0"/>
          <w:caps w:val="0"/>
          <w:color w:val="333333"/>
          <w:spacing w:val="0"/>
          <w:sz w:val="32"/>
          <w:szCs w:val="32"/>
        </w:rPr>
        <w:t>县医保局将继续认真贯彻落实上级全面推进政务公开工作决策部署，坚持以公开为常态、不公开为例外，紧密结合实际，加大主动公开力度，及时、准确、规范的发布政府信息,努力提高政务公开的针对性、实效性。</w:t>
      </w:r>
    </w:p>
    <w:p w14:paraId="7D0BAEA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i w:val="0"/>
          <w:caps w:val="0"/>
          <w:color w:val="333333"/>
          <w:spacing w:val="0"/>
          <w:sz w:val="32"/>
          <w:szCs w:val="32"/>
        </w:rPr>
      </w:pPr>
      <w:r>
        <w:rPr>
          <w:rFonts w:hint="eastAsia" w:ascii="仿宋_GB2312" w:hAnsi="仿宋_GB2312" w:eastAsia="仿宋_GB2312" w:cs="仿宋_GB2312"/>
          <w:b/>
          <w:bCs/>
          <w:i w:val="0"/>
          <w:caps w:val="0"/>
          <w:color w:val="333333"/>
          <w:spacing w:val="0"/>
          <w:sz w:val="32"/>
          <w:szCs w:val="32"/>
        </w:rPr>
        <w:t>六、其他需要报告的事项</w:t>
      </w:r>
    </w:p>
    <w:p w14:paraId="7A983411">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rPr>
        <w:t>无。</w:t>
      </w:r>
    </w:p>
    <w:p w14:paraId="16C00B5A">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7A4F839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47D2034E">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0A0A4371">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20329B45">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050C8561">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5FD8C9B3">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753DA26B">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7EB777AC">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711706F6">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6F7BA6ED">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p w14:paraId="02676803">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长城小标宋体">
    <w:altName w:val="宋体"/>
    <w:panose1 w:val="02010609010101010101"/>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zMTc2NmMwNjFiYTczMTM0NTg1YTczYTY2ZWIzYTQifQ=="/>
  </w:docVars>
  <w:rsids>
    <w:rsidRoot w:val="00000000"/>
    <w:rsid w:val="02AF4ABF"/>
    <w:rsid w:val="13BC7D1B"/>
    <w:rsid w:val="21DC22AA"/>
    <w:rsid w:val="25B54B80"/>
    <w:rsid w:val="2F2C18DF"/>
    <w:rsid w:val="47BC19B6"/>
    <w:rsid w:val="5D2301AC"/>
    <w:rsid w:val="78DD77A8"/>
    <w:rsid w:val="79C07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2015</Words>
  <Characters>2046</Characters>
  <Lines>0</Lines>
  <Paragraphs>0</Paragraphs>
  <TotalTime>0</TotalTime>
  <ScaleCrop>false</ScaleCrop>
  <LinksUpToDate>false</LinksUpToDate>
  <CharactersWithSpaces>2238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2022-01-24T07:20:00Z</dcterms:created>
  <dc:creator>Administrator</dc:creator>
  <cp:lastModifiedBy>奋斗</cp:lastModifiedBy>
  <dcterms:modified xsi:type="dcterms:W3CDTF">2024-11-27T08:52:20Z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342B436907E2402FA1C787A09F391C99</vt:lpwstr>
  </property>
</Properties>
</file>