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9CAF89">
      <w:pPr>
        <w:jc w:val="center"/>
        <w:rPr>
          <w:rFonts w:ascii="Arial" w:hAnsi="Arial" w:eastAsia="宋体" w:cs="Arial"/>
          <w:b/>
          <w:sz w:val="44"/>
          <w:szCs w:val="44"/>
        </w:rPr>
      </w:pPr>
      <w:r>
        <w:rPr>
          <w:rFonts w:hint="eastAsia" w:ascii="Arial" w:hAnsi="Arial" w:eastAsia="宋体" w:cs="Arial"/>
          <w:b/>
          <w:sz w:val="36"/>
          <w:szCs w:val="44"/>
        </w:rPr>
        <w:t>隆</w:t>
      </w:r>
      <w:r>
        <w:rPr>
          <w:rFonts w:hint="eastAsia" w:ascii="Arial" w:hAnsi="Arial" w:eastAsia="宋体" w:cs="Arial"/>
          <w:b/>
          <w:sz w:val="44"/>
          <w:szCs w:val="44"/>
        </w:rPr>
        <w:t>尧县市场监督管理局</w:t>
      </w:r>
    </w:p>
    <w:p w14:paraId="576CD081">
      <w:pPr>
        <w:jc w:val="center"/>
        <w:rPr>
          <w:rFonts w:ascii="宋体" w:hAnsi="宋体" w:eastAsia="宋体" w:cs="宋体"/>
          <w:b/>
          <w:sz w:val="44"/>
          <w:szCs w:val="44"/>
        </w:rPr>
      </w:pPr>
      <w:r>
        <w:rPr>
          <w:rFonts w:hint="eastAsia" w:ascii="Arial" w:hAnsi="Arial" w:eastAsia="宋体" w:cs="Arial"/>
          <w:b/>
          <w:sz w:val="44"/>
          <w:szCs w:val="44"/>
        </w:rPr>
        <w:t>2020</w:t>
      </w:r>
      <w:r>
        <w:rPr>
          <w:rFonts w:hint="eastAsia" w:ascii="宋体" w:hAnsi="宋体" w:eastAsia="宋体" w:cs="宋体"/>
          <w:b/>
          <w:sz w:val="44"/>
          <w:szCs w:val="44"/>
        </w:rPr>
        <w:t>年度整体支出绩效自评报告</w:t>
      </w:r>
    </w:p>
    <w:p w14:paraId="15028A4D">
      <w:pPr>
        <w:jc w:val="center"/>
        <w:rPr>
          <w:rFonts w:ascii="宋体" w:hAnsi="宋体" w:eastAsia="宋体" w:cs="宋体"/>
          <w:b/>
          <w:sz w:val="44"/>
          <w:szCs w:val="44"/>
        </w:rPr>
      </w:pPr>
    </w:p>
    <w:p w14:paraId="3E92CB80">
      <w:pPr>
        <w:ind w:firstLine="643" w:firstLineChars="200"/>
        <w:rPr>
          <w:rFonts w:ascii="仿宋" w:hAnsi="仿宋" w:eastAsia="仿宋" w:cs="黑体"/>
          <w:b/>
          <w:bCs/>
          <w:sz w:val="32"/>
          <w:szCs w:val="32"/>
        </w:rPr>
      </w:pPr>
      <w:r>
        <w:rPr>
          <w:rFonts w:hint="eastAsia" w:ascii="仿宋" w:hAnsi="仿宋" w:eastAsia="仿宋" w:cs="黑体"/>
          <w:b/>
          <w:bCs/>
          <w:sz w:val="32"/>
          <w:szCs w:val="32"/>
        </w:rPr>
        <w:t>一、基本情况</w:t>
      </w:r>
    </w:p>
    <w:p w14:paraId="4C385CE1">
      <w:pPr>
        <w:ind w:firstLine="640" w:firstLineChars="200"/>
        <w:outlineLvl w:val="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（一）部门职责</w:t>
      </w:r>
    </w:p>
    <w:p w14:paraId="73CD81F6">
      <w:pPr>
        <w:ind w:firstLine="640" w:firstLineChars="200"/>
        <w:outlineLvl w:val="0"/>
        <w:rPr>
          <w:rFonts w:ascii="仿宋" w:hAnsi="仿宋" w:eastAsia="仿宋"/>
          <w:b/>
          <w:color w:val="333333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（一）贯彻执行国家、省、市食品（含食品添加剂、保健食品，下同）安全、药品（含中药、民族药，下同）、医疗器械、化妆品、工商行政监督管理的法律法规和方针政策。拟订政策措施和规划，推动建立落实食品药品安全企业主体责任、乡（镇）人民政府负总责的机制，并组织实施和监督检查。（二）依法负责市场监督管理和行政执法工作。落实县政府、市工商行政管理局、市食品药品监督管理局的工作部署；拟订全县市场监督管理措施办法。（三）承担全县食品（含酒类）生产、流通、消费环节安全监督管理工作；负责食品行政许可实施办法的监督实施。参与制定食品安全风险监测方案，根据食品安全风险监测方案开展食品安全风险监测。建立完善全县食品安全隐患排查机制，制定全县食品安全检查年度计划、重大整顿治理方案并组织落实。（四）负责药品、医疗器械监督管理。监督实施国家药品、医疗器械标准，监督实施药品和医疗器械研制、生产、经营、使用方面的质量管理规范。建立药品不良反应、医疗器械不良事件和药物滥用监测体系并开展监测和处置工作。配合实施国家基本药物制度。（五）负责化妆品的监督管理和全县化妆品不良反应监测的管理。（六）监督实施中药材生产质量管理规范、中药饮片炮制规范。依法实施中药品种保护制度。（七）负责制定食品、药品、医疗器械、化妆品监督管理的稽查制度并组织实施，组织查处重大违法行为。监督实施问题产品召回和处置制度。（八）负责食品药品安全事故应急体系建设，组织和指导食品药品安全事故应急处置和调查处理工作，监督事故查处落实情况。（九）负责建立食品、药品、医疗器械、化妆品安全信息统一公布制度和重大信息直报制度，公布安全监管信息。（十）负责制定全县食品药品安全科技发展规划并组织实施，推动食品药品检验检测体系、电子监管追溯体系和信息化建设。（十一）负责食品药品安全宣传、教育培训及对外交流与合作。推进诚信体系建设。（十二）负责指导和监督全县食品药品监督管理工作，规范行政执法行为，推动完善行政执法与刑事司法衔接机制。（十三）承担县政府食品安全委员会日常工作。负责食品安全监督管理综合协调，推动健全协调联动机制。督促检查乡（镇）人民政府和县有关部门履行食品药品安全监督管理职责，并负责考核评价。（十四）依法组织指导各类市场主体的登记注册和监督管理工作，按照业务权限负责各类企业、从事经营活动的单位以及外国（地区）企业驻辖区代表机构的登记注册和监督管理。在县政府领导下，按照职责分工依法查处取缔无照经营。（十五）负责依法规范和维护市场经营秩序，监督管理市场交易行为和网络商品交易及有关服务行为。（十六）负责依法监督管理流通领域商品质量，组织开展消费维权工作，按分工查处经营假冒伪劣商品等违法行为，受理、处理消费者咨询、投诉、举报，指导12315网络体系建设工作，保护消费者、经营者合法权益。（十七）按照职责分工依法查处传销和违法直销行为，依法监督管理直销活动。（十八）根据授权依法负责垄断协议、滥用市场支配地位、滥用行政权力排除限制竞争方面的反垄断执法工作（价格垄断行为除外）；依法查处不正当竞争等经济违法行为。（十九）依法组织指导对经纪人、经纪机构及经纪活动的监督管理工作。（二十）依法实施合同行政监督管理，组织指导动产抵押登记、拍卖行为监督管理工作，查处合同欺诈等违法行为。（二十一）指导广告业发展，负责广告活动的监督管理工作。（二十二）组织指导商标管理工作，依法保护商标专用权和查处商标侵权行为，负责驰名商标、著名商标的培育推荐保护工作；负责特殊标志、官方标志的保护。（二十三）负责企业信用体系建设工作，组织指导企业、个体工商户、商品交易市场信用管理，负责工商行政管理业务信息库建设，研究分析并依法发布市场主体登记注册基础信息等相关信息，为政府决策和社会公众提供信息服务。（二十四）负责个体工商户、私营企业经营行为的服务和监督管理。（二十五）组织指导消费者协会、私营企业协会、个体劳动者协会、民用品维修行业协会、商标协会、广告协会等有关社团的工作。（二十六）负责指导非公有制企业党建工作。（二十七）承办县政府交办的其他事项。</w:t>
      </w:r>
    </w:p>
    <w:p w14:paraId="657CFF7E">
      <w:pPr>
        <w:tabs>
          <w:tab w:val="left" w:pos="7080"/>
        </w:tabs>
        <w:ind w:firstLine="640" w:firstLineChars="200"/>
        <w:outlineLvl w:val="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（二）绩效目标情况。</w:t>
      </w:r>
    </w:p>
    <w:p w14:paraId="5C2E0DAC">
      <w:pPr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宋体"/>
          <w:color w:val="555555"/>
          <w:kern w:val="0"/>
          <w:sz w:val="32"/>
          <w:szCs w:val="32"/>
        </w:rPr>
        <w:t>1、长期绩效目标。</w:t>
      </w:r>
      <w:r>
        <w:rPr>
          <w:rFonts w:hint="eastAsia" w:ascii="仿宋" w:hAnsi="仿宋" w:eastAsia="仿宋" w:cs="仿宋"/>
          <w:sz w:val="32"/>
          <w:szCs w:val="32"/>
        </w:rPr>
        <w:t>2020年，我局在县委、县政府的正确领导下，以习近平新时代中国特色社会主义思想为指导，严格落实国家局、省市局工作要求，紧紧围绕“强监管、优服务、提质量、保安全”基本目标，坚持新发展理念，坚持服务改革发展大局，坚持推动高质量发展，勇于担当作为、狠抓工作落实，全面实施“3333”工作思路：推进三个提升（素质提升、服务提升、质量提升）；严守三个底线（食品安全底线、药品安全底线、特种设备安全底线）；打造三个环境（宽松便捷的准入环境、公平有序的竞争环境、安全放心的消费环境）；抓实三项重点工作（大气环保综合治理工作、深入开展扶贫工作、省级文明县城创建工作），全面推进市场监管工作深入开展，为全县经济健康发展履职尽责、保驾护航。</w:t>
      </w:r>
    </w:p>
    <w:p w14:paraId="08B1E4F6">
      <w:pPr>
        <w:rPr>
          <w:rFonts w:ascii="仿宋" w:hAnsi="仿宋" w:eastAsia="仿宋" w:cs="宋体"/>
          <w:color w:val="555555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555555"/>
          <w:kern w:val="0"/>
          <w:sz w:val="32"/>
          <w:szCs w:val="32"/>
        </w:rPr>
        <w:t xml:space="preserve">   2、年度绩效目标。</w:t>
      </w:r>
    </w:p>
    <w:p w14:paraId="2B86EF80">
      <w:pPr>
        <w:ind w:firstLine="480" w:firstLineChars="15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楷体"/>
          <w:bCs/>
          <w:sz w:val="32"/>
          <w:szCs w:val="32"/>
        </w:rPr>
        <w:t>（1）市场监管服务发展提升。</w:t>
      </w:r>
      <w:r>
        <w:rPr>
          <w:rFonts w:hint="eastAsia" w:ascii="仿宋" w:hAnsi="仿宋" w:eastAsia="仿宋" w:cs="仿宋"/>
          <w:sz w:val="32"/>
          <w:szCs w:val="32"/>
        </w:rPr>
        <w:t>夯实市场监管工作基础，保障各项工作顺利开展。在具体工作上，确保我县市场主体总量在全市提高1-2个位次，深入开展助企融资服务活动，推动采取动产抵押、商标权质押等办法，搭建银企对接服务平台，帮助企业融资，推进企业做大做强。持续创新市场监管模式，除特种行业外实现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双随机、一公开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”监管全覆盖，积极探索事中事后监管新途径，逐步形成“企业自治、社会监督、政府监管”新模式。</w:t>
      </w:r>
    </w:p>
    <w:p w14:paraId="22C3F1EE">
      <w:pPr>
        <w:ind w:firstLine="480" w:firstLineChars="15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楷体"/>
          <w:bCs/>
          <w:sz w:val="32"/>
          <w:szCs w:val="32"/>
        </w:rPr>
        <w:t>（2）质量标准提升。</w:t>
      </w:r>
      <w:r>
        <w:rPr>
          <w:rFonts w:hint="eastAsia" w:ascii="仿宋" w:hAnsi="仿宋" w:eastAsia="仿宋" w:cs="仿宋"/>
          <w:sz w:val="32"/>
          <w:szCs w:val="32"/>
        </w:rPr>
        <w:t>做实质量提升、标准引领、计量保障“三项工程”，严格落实质量强县战略要求，助力“隆尧制造”向“隆尧创造”迈进。实施质量提升工程，落实落细质量提升行动方案，开展认证和资质认定检验检测机构监督检查专项行动。持续推进“诚信计量隆尧”建设，到2020年底我县诚信计量示范单位达到23家。实施计量保障工程，扎实做好关系国计民生计量器具检定校准，加强社会公用计量标准建设，推进我县汽配、阀门等装备制造产业产品质量标准提升，提高行业的美誉度和市场占有率，助力汽配、制钉等产业“跨出国门”做大做强。</w:t>
      </w:r>
    </w:p>
    <w:p w14:paraId="65F8D200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楷体"/>
          <w:bCs/>
          <w:sz w:val="32"/>
          <w:szCs w:val="32"/>
        </w:rPr>
        <w:t>（3）食品安全。</w:t>
      </w:r>
      <w:r>
        <w:rPr>
          <w:rFonts w:hint="eastAsia" w:ascii="仿宋" w:hAnsi="仿宋" w:eastAsia="仿宋" w:cs="仿宋"/>
          <w:sz w:val="32"/>
          <w:szCs w:val="32"/>
        </w:rPr>
        <w:t>在食品生产环节。推广国际先进质量管理体系，开展食品生产集中区的治理提升，推动规模以上食品生产企业建立和实施 HACCP 等先进管理体系。进一步推进我县地方特色食品和食品生产聚集区域企业建设，积极开展大干言豆腐小作坊整治提升。在食品流通环节。深化集中交易市场“双提升”行动；在食品批发市场健全食用农产品产地准出与市场准入衔接机制，实现追溯全覆盖；开展好食品超市（店）示范创建活动和“放心肉菜示范超市”创建活动。在餐饮环节。深化量化分级、“明厨亮灶”、清洁厨房、校园食品质量安全水平提升等活动，开展网络餐饮服务食品安全行动，实现线上线下一致性监管，确保百姓“舌尖上的安全”。</w:t>
      </w:r>
    </w:p>
    <w:p w14:paraId="468C0978"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楷体"/>
          <w:bCs/>
          <w:sz w:val="32"/>
          <w:szCs w:val="32"/>
        </w:rPr>
        <w:t>（4）药品安全。</w:t>
      </w:r>
      <w:r>
        <w:rPr>
          <w:rFonts w:hint="eastAsia" w:ascii="仿宋" w:hAnsi="仿宋" w:eastAsia="仿宋" w:cs="仿宋"/>
          <w:sz w:val="32"/>
          <w:szCs w:val="32"/>
        </w:rPr>
        <w:t>贯彻落实药品和医疗器械制度改革。强化血液制品、注射剂、植入类医疗器械等高风险产品监管。开展互联网制售假药、中药饮片、无证经营与经营使用无证医疗器械、化妆品风险排查处置等专项整治。加强药品流通环节监管。加强药品、医疗器械不良反应事件监测工作。加强中药饮片专项治理。强化行刑衔接，合力整治，确保消费者用药用械安全。</w:t>
      </w:r>
    </w:p>
    <w:p w14:paraId="403F1F8D"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楷体"/>
          <w:bCs/>
          <w:sz w:val="32"/>
          <w:szCs w:val="32"/>
        </w:rPr>
        <w:t>（5）特种设备安全。</w:t>
      </w:r>
      <w:r>
        <w:rPr>
          <w:rFonts w:hint="eastAsia" w:ascii="仿宋" w:hAnsi="仿宋" w:eastAsia="仿宋" w:cs="仿宋"/>
          <w:sz w:val="32"/>
          <w:szCs w:val="32"/>
        </w:rPr>
        <w:t>做好特种设备机关股室与基层市场监管所监管职能移交工作。强化风险防控，推进特种设备安全“双控”机制建设，开展风险识别分析和针对性隐患排查治理，加强事中事后监管。切实夯实企业主体责任，加大对特种设备生产、经营、使用（维保）和检验监测机构的监督检查力度。严厉打击特种设备违法违规行为，开展多种形式的专项培训和安全宣传活动。加强电梯安全监管，探索推动电梯“保险 + 服务”等模式应用，开展“三无”（无物业管理、无维护保养、无维修资金）电梯治理。</w:t>
      </w:r>
    </w:p>
    <w:p w14:paraId="415C47A9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（6）</w:t>
      </w:r>
      <w:r>
        <w:rPr>
          <w:rFonts w:hint="eastAsia" w:ascii="仿宋" w:hAnsi="仿宋" w:eastAsia="仿宋" w:cs="仿宋"/>
          <w:sz w:val="32"/>
          <w:szCs w:val="32"/>
        </w:rPr>
        <w:t>推行“双随机、一公开”监管，抽查覆盖企业比例不低于5%。探索开展企业信用风险分类管理，树立审慎监管、智慧监管、数字监管思维，探索“互联网 + 市场监管”新模式。</w:t>
      </w:r>
    </w:p>
    <w:p w14:paraId="22861739"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楷体"/>
          <w:bCs/>
          <w:sz w:val="32"/>
          <w:szCs w:val="32"/>
        </w:rPr>
        <w:t>（7）</w:t>
      </w:r>
      <w:r>
        <w:rPr>
          <w:rFonts w:hint="eastAsia" w:ascii="仿宋" w:hAnsi="仿宋" w:eastAsia="仿宋" w:cs="仿宋"/>
          <w:sz w:val="32"/>
          <w:szCs w:val="32"/>
        </w:rPr>
        <w:t>开展2020年网络消费专项行动，加强电子数据取证技术应用，严查虚假宣传、虚假促销、刷单炒信、假海淘、侵权假冒等网络违法经营行为。优化“三品一械”广告审查，按照不低于20% 的比例组织抽查。</w:t>
      </w:r>
    </w:p>
    <w:p w14:paraId="5E2E2A37"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楷体"/>
          <w:bCs/>
          <w:sz w:val="32"/>
          <w:szCs w:val="32"/>
        </w:rPr>
        <w:t>（8）</w:t>
      </w:r>
      <w:r>
        <w:rPr>
          <w:rFonts w:hint="eastAsia" w:ascii="仿宋" w:hAnsi="仿宋" w:eastAsia="仿宋" w:cs="仿宋"/>
          <w:bCs/>
          <w:sz w:val="32"/>
          <w:szCs w:val="32"/>
        </w:rPr>
        <w:t>散煤管控工作。</w:t>
      </w:r>
      <w:r>
        <w:rPr>
          <w:rFonts w:hint="eastAsia" w:ascii="仿宋" w:hAnsi="仿宋" w:eastAsia="仿宋" w:cs="仿宋"/>
          <w:sz w:val="32"/>
          <w:szCs w:val="32"/>
        </w:rPr>
        <w:t>严格落实生态环保战役工作要求，坚决按照上级大气污染治理的统一部署，贯彻科学治霾、协同治霾、铁腕治霾的指示要求，根据部门监管、属地管理、分级负责和“谁审批、谁监管，谁主管、谁监管”的原则，全面加强散煤生产、加工、储运、销售、使用企业监管，不断提升综合治理效能。切实提升大气污染防治效果，确保全县区域内“无散煤”的目标。</w:t>
      </w:r>
      <w:r>
        <w:rPr>
          <w:rFonts w:hint="eastAsia" w:ascii="仿宋" w:hAnsi="仿宋" w:eastAsia="仿宋" w:cs="仿宋"/>
          <w:bCs/>
          <w:sz w:val="32"/>
          <w:szCs w:val="32"/>
        </w:rPr>
        <w:t>餐饮单位油烟治理工作。</w:t>
      </w:r>
      <w:r>
        <w:rPr>
          <w:rFonts w:hint="eastAsia" w:ascii="仿宋" w:hAnsi="仿宋" w:eastAsia="仿宋" w:cs="仿宋"/>
          <w:sz w:val="32"/>
          <w:szCs w:val="32"/>
        </w:rPr>
        <w:t>根据《隆尧县餐饮油烟污染治理工作实施方案》要求，在2019年度餐饮单位安装油烟净化装置的基础上，加大巡查力度，查漏补缺，继续检查更换不达标油烟净化装置，确保油烟净化器净化效率不低于95%，油烟浓度不高于1.0 mg/m³ (每立方米1毫克)的排放要求。</w:t>
      </w:r>
      <w:r>
        <w:rPr>
          <w:rFonts w:hint="eastAsia" w:ascii="仿宋" w:hAnsi="仿宋" w:eastAsia="仿宋" w:cs="仿宋"/>
          <w:bCs/>
          <w:sz w:val="32"/>
          <w:szCs w:val="32"/>
        </w:rPr>
        <w:t>成品油监管。</w:t>
      </w:r>
      <w:r>
        <w:rPr>
          <w:rFonts w:hint="eastAsia" w:ascii="仿宋" w:hAnsi="仿宋" w:eastAsia="仿宋" w:cs="仿宋"/>
          <w:sz w:val="32"/>
          <w:szCs w:val="32"/>
        </w:rPr>
        <w:t>探索与商务部门建立联合长效监管机制，互通有无，合力攻坚，以成品油抽检为抓手，采取靶向抽检、分级管理、重点管控举措，严厉打击生产销售不合格油品和车用尿素违法行为。</w:t>
      </w:r>
    </w:p>
    <w:p w14:paraId="52010517">
      <w:pPr>
        <w:ind w:firstLine="643" w:firstLineChars="200"/>
        <w:rPr>
          <w:rFonts w:ascii="仿宋" w:hAnsi="仿宋" w:eastAsia="仿宋" w:cs="黑体"/>
          <w:b/>
          <w:bCs/>
          <w:sz w:val="32"/>
          <w:szCs w:val="32"/>
        </w:rPr>
      </w:pPr>
      <w:r>
        <w:rPr>
          <w:rFonts w:hint="eastAsia" w:ascii="仿宋" w:hAnsi="仿宋" w:eastAsia="仿宋" w:cs="黑体"/>
          <w:b/>
          <w:bCs/>
          <w:sz w:val="32"/>
          <w:szCs w:val="32"/>
        </w:rPr>
        <w:t>二、绩效目标完成情况分析</w:t>
      </w:r>
    </w:p>
    <w:p w14:paraId="1FFE6D70">
      <w:pPr>
        <w:ind w:firstLine="640" w:firstLineChars="200"/>
        <w:outlineLvl w:val="0"/>
        <w:rPr>
          <w:rFonts w:ascii="仿宋" w:hAnsi="仿宋" w:eastAsia="仿宋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（一）资金投入情况分析。</w:t>
      </w:r>
    </w:p>
    <w:p w14:paraId="43DDDFB6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1.资金收入情况分析。</w:t>
      </w:r>
    </w:p>
    <w:p w14:paraId="4AF9E895">
      <w:pPr>
        <w:widowControl/>
        <w:spacing w:line="480" w:lineRule="auto"/>
        <w:ind w:firstLine="480" w:firstLineChars="150"/>
        <w:rPr>
          <w:rFonts w:ascii="仿宋" w:hAnsi="仿宋" w:eastAsia="仿宋" w:cs="宋体"/>
          <w:color w:val="555555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555555"/>
          <w:kern w:val="0"/>
          <w:sz w:val="32"/>
          <w:szCs w:val="32"/>
        </w:rPr>
        <w:t>2020年资金收入2071.9579万元，其中农村食品药品协管员补助经费38.52万元、产品质量检测经费25万元、餐饮油烟在线装置检测设备费60万元、流通领域商品质量 抽检经费15万元、散煤治理油烟管控专项经费10万元、食品抽检经费20万元、食品快检室运行经费10万元、市场监管补助经费20万元、药品抽样经费2万元、中央工商行政管理专项经费5万元、省级质量技术监督专项补助经费6万元、省级市场监管专项补助经费16万元、食品检验检测中心运行经费40万元。</w:t>
      </w:r>
    </w:p>
    <w:p w14:paraId="3CFD27C6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2.资金执行情况分析。</w:t>
      </w:r>
    </w:p>
    <w:p w14:paraId="3EF89E89">
      <w:pPr>
        <w:pStyle w:val="5"/>
        <w:spacing w:before="0" w:beforeAutospacing="0" w:after="0" w:afterAutospacing="0" w:line="480" w:lineRule="auto"/>
        <w:ind w:firstLine="480"/>
        <w:jc w:val="both"/>
        <w:rPr>
          <w:rFonts w:ascii="仿宋" w:hAnsi="仿宋" w:eastAsia="仿宋"/>
          <w:color w:val="333333"/>
          <w:sz w:val="32"/>
          <w:szCs w:val="32"/>
        </w:rPr>
      </w:pPr>
      <w:r>
        <w:rPr>
          <w:rFonts w:hint="eastAsia" w:ascii="仿宋" w:hAnsi="仿宋" w:eastAsia="仿宋"/>
          <w:color w:val="333333"/>
          <w:sz w:val="32"/>
          <w:szCs w:val="32"/>
        </w:rPr>
        <w:t>2020</w:t>
      </w:r>
      <w:r>
        <w:rPr>
          <w:rFonts w:ascii="仿宋" w:hAnsi="仿宋" w:eastAsia="仿宋"/>
          <w:color w:val="333333"/>
          <w:sz w:val="32"/>
          <w:szCs w:val="32"/>
        </w:rPr>
        <w:t>年度财政资金全部拨付到位</w:t>
      </w:r>
      <w:r>
        <w:rPr>
          <w:rFonts w:hint="eastAsia" w:ascii="仿宋" w:hAnsi="仿宋" w:eastAsia="仿宋"/>
          <w:color w:val="333333"/>
          <w:sz w:val="32"/>
          <w:szCs w:val="32"/>
        </w:rPr>
        <w:t>，支出</w:t>
      </w:r>
      <w:r>
        <w:rPr>
          <w:rFonts w:ascii="仿宋" w:hAnsi="仿宋" w:eastAsia="仿宋"/>
          <w:color w:val="333333"/>
          <w:sz w:val="32"/>
          <w:szCs w:val="32"/>
        </w:rPr>
        <w:t>结余</w:t>
      </w:r>
      <w:r>
        <w:rPr>
          <w:rFonts w:hint="eastAsia" w:ascii="仿宋" w:hAnsi="仿宋" w:eastAsia="仿宋"/>
          <w:color w:val="333333"/>
          <w:sz w:val="32"/>
          <w:szCs w:val="32"/>
        </w:rPr>
        <w:t>12898.5元。</w:t>
      </w:r>
      <w:r>
        <w:rPr>
          <w:rFonts w:ascii="仿宋" w:hAnsi="仿宋" w:eastAsia="仿宋"/>
          <w:color w:val="333333"/>
          <w:sz w:val="32"/>
          <w:szCs w:val="32"/>
        </w:rPr>
        <w:t xml:space="preserve"> </w:t>
      </w:r>
    </w:p>
    <w:p w14:paraId="3D2FCF73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3.项目资金管理情况分析。</w:t>
      </w:r>
    </w:p>
    <w:p w14:paraId="3E7B014E">
      <w:pPr>
        <w:pStyle w:val="5"/>
        <w:spacing w:before="0" w:beforeAutospacing="0" w:after="0" w:afterAutospacing="0" w:line="480" w:lineRule="auto"/>
        <w:ind w:firstLine="480"/>
        <w:jc w:val="both"/>
        <w:rPr>
          <w:rFonts w:ascii="仿宋" w:hAnsi="仿宋" w:eastAsia="仿宋"/>
          <w:color w:val="333333"/>
          <w:sz w:val="32"/>
          <w:szCs w:val="32"/>
        </w:rPr>
      </w:pPr>
      <w:r>
        <w:rPr>
          <w:rFonts w:ascii="仿宋" w:hAnsi="仿宋" w:eastAsia="仿宋"/>
          <w:color w:val="333333"/>
          <w:sz w:val="32"/>
          <w:szCs w:val="32"/>
        </w:rPr>
        <w:t>我局严格加强专项经费和支付制度管理，实行专款专用。做好预算执行，加快预算支出进度，促进资金及时足额拨付。专项资金财政拨款到位后及时进行了项目开展和资金投入。同时注重提高资金项目的安全性，严格执行“收支两条线”的规定，防止截留、坐支、挪用和私设“小金库”，防止数据不实、虚假立项、骗取套取、挤占挪用财政资金等行为。</w:t>
      </w:r>
    </w:p>
    <w:p w14:paraId="0AEEA4C8">
      <w:pPr>
        <w:ind w:firstLine="640" w:firstLineChars="200"/>
        <w:outlineLvl w:val="0"/>
        <w:rPr>
          <w:rFonts w:ascii="仿宋" w:hAnsi="仿宋" w:eastAsia="仿宋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（二）总体绩效目标完成情况分析。</w:t>
      </w:r>
    </w:p>
    <w:p w14:paraId="0922BB67">
      <w:pPr>
        <w:ind w:firstLine="640" w:firstLineChars="200"/>
        <w:outlineLvl w:val="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shd w:val="clear" w:color="auto" w:fill="FFFFFF"/>
        </w:rPr>
        <w:t>立足地域监管实际</w:t>
      </w:r>
      <w:r>
        <w:rPr>
          <w:rFonts w:ascii="仿宋" w:hAnsi="仿宋" w:eastAsia="仿宋"/>
          <w:sz w:val="32"/>
          <w:szCs w:val="32"/>
        </w:rPr>
        <w:t>，</w:t>
      </w:r>
      <w:r>
        <w:rPr>
          <w:rFonts w:ascii="仿宋" w:hAnsi="仿宋" w:eastAsia="仿宋"/>
          <w:color w:val="000000"/>
          <w:sz w:val="32"/>
          <w:szCs w:val="32"/>
          <w:shd w:val="clear" w:color="auto" w:fill="FFFFFF"/>
        </w:rPr>
        <w:t>强化</w:t>
      </w:r>
      <w:r>
        <w:rPr>
          <w:rFonts w:hint="eastAsia" w:ascii="仿宋" w:hAnsi="仿宋" w:eastAsia="仿宋"/>
          <w:color w:val="000000"/>
          <w:sz w:val="32"/>
          <w:szCs w:val="32"/>
          <w:shd w:val="clear" w:color="auto" w:fill="FFFFFF"/>
        </w:rPr>
        <w:t>市场</w:t>
      </w:r>
      <w:r>
        <w:rPr>
          <w:rFonts w:ascii="仿宋" w:hAnsi="仿宋" w:eastAsia="仿宋"/>
          <w:color w:val="000000"/>
          <w:sz w:val="32"/>
          <w:szCs w:val="32"/>
          <w:shd w:val="clear" w:color="auto" w:fill="FFFFFF"/>
        </w:rPr>
        <w:t>监管</w:t>
      </w:r>
      <w:r>
        <w:rPr>
          <w:rFonts w:hint="eastAsia" w:ascii="仿宋" w:hAnsi="仿宋" w:eastAsia="仿宋"/>
          <w:color w:val="000000"/>
          <w:sz w:val="32"/>
          <w:szCs w:val="32"/>
          <w:shd w:val="clear" w:color="auto" w:fill="FFFFFF"/>
        </w:rPr>
        <w:t>，</w:t>
      </w:r>
      <w:r>
        <w:rPr>
          <w:rFonts w:hint="eastAsia" w:ascii="仿宋" w:hAnsi="仿宋" w:eastAsia="仿宋"/>
          <w:sz w:val="32"/>
          <w:szCs w:val="32"/>
        </w:rPr>
        <w:t>加大案件查办力度，</w:t>
      </w:r>
      <w:r>
        <w:rPr>
          <w:rFonts w:hint="eastAsia" w:ascii="仿宋" w:hAnsi="仿宋" w:eastAsia="仿宋" w:cs="仿宋"/>
          <w:sz w:val="32"/>
          <w:szCs w:val="32"/>
        </w:rPr>
        <w:t>市场监管各项工作保障水平和能力，得到进一步加强，我县市场监管形势趋稳向好，好中有新，呈现出了良好监管局面</w:t>
      </w:r>
    </w:p>
    <w:p w14:paraId="639A1D4E">
      <w:pPr>
        <w:ind w:firstLine="640" w:firstLineChars="200"/>
        <w:outlineLvl w:val="0"/>
        <w:rPr>
          <w:rFonts w:ascii="仿宋" w:hAnsi="仿宋" w:eastAsia="仿宋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（三）绩效指标完成情况分析。</w:t>
      </w:r>
    </w:p>
    <w:p w14:paraId="6B043C61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1.产出指标完成情况分析。</w:t>
      </w:r>
    </w:p>
    <w:p w14:paraId="18069DB6">
      <w:pPr>
        <w:ind w:firstLine="320" w:firstLineChars="1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（1）数量指标。</w:t>
      </w:r>
      <w:r>
        <w:rPr>
          <w:rFonts w:hint="eastAsia" w:ascii="仿宋" w:hAnsi="仿宋" w:eastAsia="仿宋" w:cs="仿宋"/>
          <w:bCs/>
          <w:sz w:val="32"/>
          <w:szCs w:val="32"/>
        </w:rPr>
        <w:t>食品生产环节。</w:t>
      </w:r>
      <w:r>
        <w:rPr>
          <w:rFonts w:hint="eastAsia" w:ascii="仿宋" w:hAnsi="仿宋" w:eastAsia="仿宋" w:cs="仿宋"/>
          <w:sz w:val="32"/>
          <w:szCs w:val="32"/>
        </w:rPr>
        <w:t>完成了辖区内97家持证食品生产企业、55家食品小作坊的风险等级划分。</w:t>
      </w:r>
      <w:r>
        <w:rPr>
          <w:rFonts w:hint="eastAsia" w:ascii="仿宋" w:hAnsi="仿宋" w:eastAsia="仿宋" w:cs="仿宋"/>
          <w:bCs/>
          <w:sz w:val="32"/>
          <w:szCs w:val="32"/>
        </w:rPr>
        <w:t>食品餐饮服务环节。</w:t>
      </w:r>
      <w:r>
        <w:rPr>
          <w:rFonts w:hint="eastAsia" w:ascii="仿宋" w:hAnsi="仿宋" w:eastAsia="仿宋" w:cs="仿宋"/>
          <w:sz w:val="32"/>
          <w:szCs w:val="32"/>
        </w:rPr>
        <w:t>开展重大活动餐饮保障7次，共排查纠正餐饮食品安全违规行为18次，现场快速检测食品320批次。</w:t>
      </w:r>
      <w:r>
        <w:rPr>
          <w:rFonts w:hint="eastAsia" w:ascii="仿宋" w:hAnsi="仿宋" w:eastAsia="仿宋" w:cs="仿宋"/>
          <w:bCs/>
          <w:sz w:val="32"/>
          <w:szCs w:val="32"/>
        </w:rPr>
        <w:t>食品检测工作。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年初，按照4份∕千人制定了县级食品抽检计划，共计2120批次。</w:t>
      </w:r>
      <w:r>
        <w:rPr>
          <w:rFonts w:hint="eastAsia" w:ascii="仿宋" w:hAnsi="仿宋" w:eastAsia="仿宋" w:cs="楷体"/>
          <w:bCs/>
          <w:sz w:val="32"/>
          <w:szCs w:val="32"/>
        </w:rPr>
        <w:t>药械、化妆品安全监管。</w:t>
      </w:r>
      <w:r>
        <w:rPr>
          <w:rFonts w:hint="eastAsia" w:ascii="仿宋" w:hAnsi="仿宋" w:eastAsia="仿宋" w:cs="仿宋"/>
          <w:sz w:val="32"/>
          <w:szCs w:val="32"/>
        </w:rPr>
        <w:t>全县549家药械生产经营使用单位，289家化妆品经营企业（含9家网络企业）、175家美容美发机构进行了全面排查。</w:t>
      </w:r>
      <w:r>
        <w:rPr>
          <w:rFonts w:hint="eastAsia" w:ascii="仿宋" w:hAnsi="仿宋" w:eastAsia="仿宋" w:cs="楷体"/>
          <w:bCs/>
          <w:sz w:val="32"/>
          <w:szCs w:val="32"/>
        </w:rPr>
        <w:t>市场主体。</w:t>
      </w:r>
      <w:r>
        <w:rPr>
          <w:rFonts w:hint="eastAsia" w:ascii="仿宋" w:hAnsi="仿宋" w:eastAsia="仿宋" w:cs="仿宋"/>
          <w:sz w:val="32"/>
          <w:szCs w:val="32"/>
        </w:rPr>
        <w:t>查出无照经营176户，立案查处78起。</w:t>
      </w: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hint="eastAsia" w:ascii="仿宋" w:hAnsi="仿宋" w:eastAsia="仿宋" w:cs="楷体"/>
          <w:bCs/>
          <w:sz w:val="32"/>
          <w:szCs w:val="32"/>
        </w:rPr>
        <w:t>“双随机、一公开”。</w:t>
      </w:r>
      <w:r>
        <w:rPr>
          <w:rFonts w:hint="eastAsia" w:ascii="仿宋" w:hAnsi="仿宋" w:eastAsia="仿宋" w:cs="仿宋"/>
          <w:sz w:val="32"/>
          <w:szCs w:val="32"/>
        </w:rPr>
        <w:t>完成内部双随机抽查28次，共计抽查市场主体454家，抽查事项共计60大项。</w:t>
      </w:r>
      <w:r>
        <w:rPr>
          <w:rFonts w:hint="eastAsia" w:ascii="仿宋" w:hAnsi="仿宋" w:eastAsia="仿宋" w:cs="楷体"/>
          <w:bCs/>
          <w:sz w:val="32"/>
          <w:szCs w:val="32"/>
        </w:rPr>
        <w:t>品牌创建及知识产权。</w:t>
      </w:r>
      <w:r>
        <w:rPr>
          <w:rFonts w:hint="eastAsia" w:ascii="仿宋" w:hAnsi="仿宋" w:eastAsia="仿宋" w:cs="仿宋"/>
          <w:sz w:val="32"/>
          <w:szCs w:val="32"/>
        </w:rPr>
        <w:t>新增商标申请1000余件，新增注册商标684件。</w:t>
      </w:r>
      <w:r>
        <w:rPr>
          <w:rFonts w:hint="eastAsia" w:ascii="仿宋" w:hAnsi="仿宋" w:eastAsia="仿宋" w:cs="楷体"/>
          <w:bCs/>
          <w:sz w:val="32"/>
          <w:szCs w:val="32"/>
        </w:rPr>
        <w:t>工业产品质量监管。</w:t>
      </w:r>
      <w:r>
        <w:rPr>
          <w:rFonts w:hint="eastAsia" w:ascii="仿宋" w:hAnsi="仿宋" w:eastAsia="仿宋" w:cs="仿宋"/>
          <w:sz w:val="32"/>
          <w:szCs w:val="32"/>
        </w:rPr>
        <w:t>完成县级工业产品质量抽检97批次，涵盖建材、铸造、食品包装、危险化学品等13个类别。</w:t>
      </w:r>
      <w:r>
        <w:rPr>
          <w:rFonts w:hint="eastAsia" w:ascii="仿宋" w:hAnsi="仿宋" w:eastAsia="仿宋" w:cs="楷体"/>
          <w:bCs/>
          <w:sz w:val="32"/>
          <w:szCs w:val="32"/>
        </w:rPr>
        <w:t>质量认证。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帮扶企业开展认证工作，通过质量体系认证企业56家。</w:t>
      </w:r>
      <w:r>
        <w:rPr>
          <w:rFonts w:hint="eastAsia" w:ascii="仿宋" w:hAnsi="仿宋" w:eastAsia="仿宋" w:cs="楷体"/>
          <w:bCs/>
          <w:sz w:val="32"/>
          <w:szCs w:val="32"/>
        </w:rPr>
        <w:t>特种设备监管。</w:t>
      </w:r>
      <w:r>
        <w:rPr>
          <w:rFonts w:hint="eastAsia" w:ascii="仿宋" w:hAnsi="仿宋" w:eastAsia="仿宋" w:cs="仿宋"/>
          <w:sz w:val="32"/>
          <w:szCs w:val="32"/>
        </w:rPr>
        <w:t>立案查处违法案件21起。</w:t>
      </w:r>
      <w:r>
        <w:rPr>
          <w:rFonts w:hint="eastAsia" w:ascii="仿宋" w:hAnsi="仿宋" w:eastAsia="仿宋" w:cs="仿宋"/>
          <w:bCs/>
          <w:sz w:val="32"/>
          <w:szCs w:val="32"/>
        </w:rPr>
        <w:t>散煤管控。</w:t>
      </w:r>
      <w:r>
        <w:rPr>
          <w:rFonts w:hint="eastAsia" w:ascii="仿宋" w:hAnsi="仿宋" w:eastAsia="仿宋" w:cs="仿宋"/>
          <w:sz w:val="32"/>
          <w:szCs w:val="32"/>
        </w:rPr>
        <w:t>共查办无照经营散煤案件2起，查扣散煤65.5吨。</w:t>
      </w:r>
      <w:r>
        <w:rPr>
          <w:rFonts w:hint="eastAsia" w:ascii="仿宋" w:hAnsi="仿宋" w:eastAsia="仿宋" w:cs="仿宋"/>
          <w:bCs/>
          <w:sz w:val="32"/>
          <w:szCs w:val="32"/>
        </w:rPr>
        <w:t>成品油质量监管。</w:t>
      </w:r>
      <w:r>
        <w:rPr>
          <w:rFonts w:hint="eastAsia" w:ascii="仿宋" w:hAnsi="仿宋" w:eastAsia="仿宋" w:cs="仿宋"/>
          <w:sz w:val="32"/>
          <w:szCs w:val="32"/>
        </w:rPr>
        <w:t>抽检成品油220个批次，3个批次不合格，其中靶向抽检13个批次。</w:t>
      </w:r>
      <w:r>
        <w:rPr>
          <w:rFonts w:hint="eastAsia" w:ascii="仿宋" w:hAnsi="仿宋" w:eastAsia="仿宋" w:cs="仿宋"/>
          <w:bCs/>
          <w:sz w:val="32"/>
          <w:szCs w:val="32"/>
        </w:rPr>
        <w:t>餐饮油烟综合治理。</w:t>
      </w:r>
      <w:r>
        <w:rPr>
          <w:rFonts w:hint="eastAsia" w:ascii="仿宋" w:hAnsi="仿宋" w:eastAsia="仿宋" w:cs="仿宋"/>
          <w:sz w:val="32"/>
          <w:szCs w:val="32"/>
        </w:rPr>
        <w:t>安装餐饮油烟净化设备1406台，发放张贴承诺书2000份，清洗记录2000份。</w:t>
      </w:r>
    </w:p>
    <w:p w14:paraId="5C0D7374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（2）质量指标。</w:t>
      </w:r>
    </w:p>
    <w:p w14:paraId="0D563A15"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食品生产环节。</w:t>
      </w:r>
      <w:r>
        <w:rPr>
          <w:rFonts w:hint="eastAsia" w:ascii="仿宋" w:hAnsi="仿宋" w:eastAsia="仿宋" w:cs="仿宋"/>
          <w:sz w:val="32"/>
          <w:szCs w:val="32"/>
        </w:rPr>
        <w:t>推动食品生产企业建立危害分析与关键控制点（HACCP）等先进质量安全管理体系工作，企业质量管理水平得到大幅提升。</w:t>
      </w:r>
      <w:r>
        <w:rPr>
          <w:rFonts w:hint="eastAsia" w:ascii="仿宋" w:hAnsi="仿宋" w:eastAsia="仿宋" w:cs="仿宋"/>
          <w:bCs/>
          <w:sz w:val="32"/>
          <w:szCs w:val="32"/>
        </w:rPr>
        <w:t>食品流通环节。</w:t>
      </w:r>
      <w:r>
        <w:rPr>
          <w:rFonts w:hint="eastAsia" w:ascii="仿宋" w:hAnsi="仿宋" w:eastAsia="仿宋" w:cs="仿宋"/>
          <w:sz w:val="32"/>
          <w:szCs w:val="32"/>
        </w:rPr>
        <w:t>通过了省级食品销售质量提升评价验收，家乐园天一超市获得了省级“放心肉菜示范超市”荣誉称号。</w:t>
      </w:r>
      <w:r>
        <w:rPr>
          <w:rFonts w:hint="eastAsia" w:ascii="仿宋" w:hAnsi="仿宋" w:eastAsia="仿宋" w:cs="仿宋"/>
          <w:bCs/>
          <w:sz w:val="32"/>
          <w:szCs w:val="32"/>
        </w:rPr>
        <w:t>食品餐饮服务环节。</w:t>
      </w:r>
      <w:r>
        <w:rPr>
          <w:rFonts w:hint="eastAsia" w:ascii="仿宋" w:hAnsi="仿宋" w:eastAsia="仿宋" w:cs="仿宋"/>
          <w:sz w:val="32"/>
          <w:szCs w:val="32"/>
        </w:rPr>
        <w:t>全县学校食堂（含托幼机构）“明厨亮灶”＋互联网达到100%，实现了全覆盖。</w:t>
      </w:r>
      <w:r>
        <w:rPr>
          <w:rFonts w:hint="eastAsia" w:ascii="仿宋" w:hAnsi="仿宋" w:eastAsia="仿宋" w:cs="仿宋"/>
          <w:bCs/>
          <w:sz w:val="32"/>
          <w:szCs w:val="32"/>
        </w:rPr>
        <w:t>食品检测工作。</w:t>
      </w:r>
      <w:r>
        <w:rPr>
          <w:rFonts w:hint="eastAsia" w:ascii="仿宋" w:hAnsi="仿宋" w:eastAsia="仿宋" w:cs="仿宋"/>
          <w:sz w:val="32"/>
          <w:szCs w:val="32"/>
        </w:rPr>
        <w:t>食品药品检验检测中心顺利通过省级认定专家评审，取得了食品检验检测机构资质认定证书（CMA证书）。</w:t>
      </w:r>
      <w:r>
        <w:rPr>
          <w:rFonts w:hint="eastAsia" w:ascii="仿宋" w:hAnsi="仿宋" w:eastAsia="仿宋" w:cs="楷体"/>
          <w:bCs/>
          <w:sz w:val="32"/>
          <w:szCs w:val="32"/>
        </w:rPr>
        <w:t>药械、化妆品安全监。</w:t>
      </w:r>
      <w:r>
        <w:rPr>
          <w:rFonts w:hint="eastAsia" w:ascii="仿宋" w:hAnsi="仿宋" w:eastAsia="仿宋" w:cs="仿宋"/>
          <w:sz w:val="32"/>
          <w:szCs w:val="32"/>
        </w:rPr>
        <w:t>上报药品不良反应1242例，上报器械不良反应470例，上报化妆品不良反应130例。</w:t>
      </w:r>
      <w:r>
        <w:rPr>
          <w:rFonts w:hint="eastAsia" w:ascii="仿宋" w:hAnsi="仿宋" w:eastAsia="仿宋" w:cs="楷体"/>
          <w:bCs/>
          <w:sz w:val="32"/>
          <w:szCs w:val="32"/>
        </w:rPr>
        <w:t>市场主体。</w:t>
      </w:r>
      <w:r>
        <w:rPr>
          <w:rFonts w:hint="eastAsia" w:ascii="仿宋" w:hAnsi="仿宋" w:eastAsia="仿宋" w:cs="仿宋"/>
          <w:sz w:val="32"/>
          <w:szCs w:val="32"/>
        </w:rPr>
        <w:t>新增市场主体9552户，其中企业1502户，个体8050户，完成率107.8%。</w:t>
      </w:r>
      <w:r>
        <w:rPr>
          <w:rFonts w:hint="eastAsia" w:ascii="仿宋" w:hAnsi="仿宋" w:eastAsia="仿宋" w:cs="楷体"/>
          <w:bCs/>
          <w:sz w:val="32"/>
          <w:szCs w:val="32"/>
        </w:rPr>
        <w:t>“双随机、一公开”。</w:t>
      </w:r>
      <w:r>
        <w:rPr>
          <w:rFonts w:hint="eastAsia" w:ascii="仿宋" w:hAnsi="仿宋" w:eastAsia="仿宋" w:cs="仿宋"/>
          <w:sz w:val="32"/>
          <w:szCs w:val="32"/>
        </w:rPr>
        <w:t>抽查结果全部在“河北省双随机监管工作平台”对外公示。</w:t>
      </w:r>
      <w:r>
        <w:rPr>
          <w:rFonts w:hint="eastAsia" w:ascii="仿宋" w:hAnsi="仿宋" w:eastAsia="仿宋" w:cs="楷体"/>
          <w:bCs/>
          <w:sz w:val="32"/>
          <w:szCs w:val="32"/>
        </w:rPr>
        <w:t>品牌创建及知识产权工作。</w:t>
      </w:r>
      <w:r>
        <w:rPr>
          <w:rFonts w:hint="eastAsia" w:ascii="仿宋" w:hAnsi="仿宋" w:eastAsia="仿宋" w:cs="仿宋"/>
          <w:sz w:val="32"/>
          <w:szCs w:val="32"/>
        </w:rPr>
        <w:t>帮扶我县企业今麦郎食品股份有限公司获得了“河北省知识产权示范企业”荣誉。</w:t>
      </w:r>
      <w:r>
        <w:rPr>
          <w:rFonts w:hint="eastAsia" w:ascii="仿宋" w:hAnsi="仿宋" w:eastAsia="仿宋" w:cs="楷体"/>
          <w:bCs/>
          <w:sz w:val="32"/>
          <w:szCs w:val="32"/>
        </w:rPr>
        <w:t>工业产品质量监管。</w:t>
      </w:r>
      <w:r>
        <w:rPr>
          <w:rFonts w:hint="eastAsia" w:ascii="仿宋" w:hAnsi="仿宋" w:eastAsia="仿宋" w:cs="仿宋"/>
          <w:sz w:val="32"/>
          <w:szCs w:val="32"/>
        </w:rPr>
        <w:t>重点工业产品抽检合格率达到100%，产品涉及学生服装、包装材料、洁净型煤等重点民生产品，抽查合格率达到100%，全县工业产品质量水平整体不断提升。</w:t>
      </w:r>
      <w:r>
        <w:rPr>
          <w:rFonts w:hint="eastAsia" w:ascii="仿宋" w:hAnsi="仿宋" w:eastAsia="仿宋" w:cs="楷体"/>
          <w:bCs/>
          <w:sz w:val="32"/>
          <w:szCs w:val="32"/>
        </w:rPr>
        <w:t>特种设备监管。</w:t>
      </w:r>
      <w:r>
        <w:rPr>
          <w:rFonts w:hint="eastAsia" w:ascii="仿宋" w:hAnsi="仿宋" w:eastAsia="仿宋" w:cs="仿宋"/>
          <w:sz w:val="32"/>
          <w:szCs w:val="32"/>
        </w:rPr>
        <w:t xml:space="preserve">完成全年日常监督检查计划的100%， </w:t>
      </w:r>
      <w:r>
        <w:rPr>
          <w:rFonts w:hint="eastAsia" w:ascii="仿宋" w:hAnsi="仿宋" w:eastAsia="仿宋" w:cs="仿宋"/>
          <w:bCs/>
          <w:sz w:val="32"/>
          <w:szCs w:val="32"/>
        </w:rPr>
        <w:t>散煤管控工作。</w:t>
      </w:r>
      <w:r>
        <w:rPr>
          <w:rFonts w:hint="eastAsia" w:ascii="仿宋" w:hAnsi="仿宋" w:eastAsia="仿宋" w:cs="仿宋"/>
          <w:sz w:val="32"/>
          <w:szCs w:val="32"/>
        </w:rPr>
        <w:t>我县原来洁净煤经营户已经全部清零。</w:t>
      </w:r>
      <w:r>
        <w:rPr>
          <w:rFonts w:hint="eastAsia" w:ascii="仿宋" w:hAnsi="仿宋" w:eastAsia="仿宋" w:cs="仿宋"/>
          <w:bCs/>
          <w:sz w:val="32"/>
          <w:szCs w:val="32"/>
        </w:rPr>
        <w:t>餐饮油烟。</w:t>
      </w:r>
      <w:r>
        <w:rPr>
          <w:rFonts w:hint="eastAsia" w:ascii="仿宋" w:hAnsi="仿宋" w:eastAsia="仿宋" w:cs="仿宋"/>
          <w:sz w:val="32"/>
          <w:szCs w:val="32"/>
        </w:rPr>
        <w:t>明确了餐饮油烟污染治理的工作目标以及各部门之间的职责分工。</w:t>
      </w:r>
    </w:p>
    <w:p w14:paraId="733CDED7">
      <w:pPr>
        <w:ind w:firstLine="480" w:firstLineChars="1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（3）时效指标。</w:t>
      </w:r>
    </w:p>
    <w:p w14:paraId="09199D17">
      <w:pPr>
        <w:ind w:firstLine="480" w:firstLineChars="15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color w:val="333333"/>
          <w:sz w:val="32"/>
          <w:szCs w:val="32"/>
        </w:rPr>
        <w:t>如期、保质、保量完成既定工作目标</w:t>
      </w:r>
      <w:r>
        <w:rPr>
          <w:rFonts w:hint="eastAsia" w:ascii="仿宋" w:hAnsi="仿宋" w:eastAsia="仿宋"/>
          <w:color w:val="333333"/>
          <w:sz w:val="32"/>
          <w:szCs w:val="32"/>
        </w:rPr>
        <w:t>。</w:t>
      </w:r>
    </w:p>
    <w:p w14:paraId="196C7129">
      <w:pPr>
        <w:pStyle w:val="5"/>
        <w:spacing w:before="0" w:beforeAutospacing="0" w:after="0" w:afterAutospacing="0" w:line="480" w:lineRule="auto"/>
        <w:ind w:firstLine="48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（4）成本指标。</w:t>
      </w:r>
    </w:p>
    <w:p w14:paraId="54813160">
      <w:pPr>
        <w:pStyle w:val="5"/>
        <w:spacing w:before="0" w:beforeAutospacing="0" w:after="0" w:afterAutospacing="0" w:line="480" w:lineRule="auto"/>
        <w:ind w:firstLine="480"/>
        <w:jc w:val="both"/>
        <w:rPr>
          <w:rFonts w:ascii="仿宋" w:hAnsi="仿宋" w:eastAsia="仿宋"/>
          <w:color w:val="333333"/>
          <w:sz w:val="32"/>
          <w:szCs w:val="32"/>
        </w:rPr>
      </w:pPr>
      <w:r>
        <w:rPr>
          <w:rFonts w:ascii="仿宋" w:hAnsi="仿宋" w:eastAsia="仿宋"/>
          <w:color w:val="333333"/>
          <w:sz w:val="32"/>
          <w:szCs w:val="32"/>
        </w:rPr>
        <w:t>在如期、保质、保量完成既定工作目标的情况下，严格控制实际所耗费的支出</w:t>
      </w:r>
      <w:r>
        <w:rPr>
          <w:rFonts w:hint="eastAsia" w:ascii="仿宋" w:hAnsi="仿宋" w:eastAsia="仿宋"/>
          <w:color w:val="333333"/>
          <w:sz w:val="32"/>
          <w:szCs w:val="32"/>
        </w:rPr>
        <w:t>，</w:t>
      </w:r>
      <w:r>
        <w:rPr>
          <w:rFonts w:ascii="仿宋" w:hAnsi="仿宋" w:eastAsia="仿宋"/>
          <w:color w:val="333333"/>
          <w:sz w:val="32"/>
          <w:szCs w:val="32"/>
        </w:rPr>
        <w:t>控制成本，减少开支。</w:t>
      </w:r>
    </w:p>
    <w:p w14:paraId="6CC44577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2.效益指标完成情况分析。</w:t>
      </w:r>
    </w:p>
    <w:p w14:paraId="13420EC2">
      <w:pPr>
        <w:pStyle w:val="5"/>
        <w:spacing w:before="0" w:beforeAutospacing="0" w:after="0" w:afterAutospacing="0" w:line="480" w:lineRule="auto"/>
        <w:ind w:firstLine="48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（1）经济效益。</w:t>
      </w:r>
    </w:p>
    <w:p w14:paraId="3A9D74FE"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帮助企业申请国际注册商标、地理标志商标奖励和专利补贴等奖励资金。今年，帮助取得地理标志商标的3个协会共申请了120万元的奖励资金，帮助今麦郎食品股份有限公司申请了2.5万元的国际商标注册补贴。</w:t>
      </w:r>
    </w:p>
    <w:p w14:paraId="21EC282E">
      <w:pPr>
        <w:pStyle w:val="5"/>
        <w:spacing w:before="0" w:beforeAutospacing="0" w:after="0" w:afterAutospacing="0" w:line="480" w:lineRule="auto"/>
        <w:ind w:firstLine="48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（2）社会效益。</w:t>
      </w:r>
    </w:p>
    <w:p w14:paraId="47BDC233">
      <w:pPr>
        <w:pStyle w:val="5"/>
        <w:spacing w:before="0" w:beforeAutospacing="0" w:after="0" w:afterAutospacing="0" w:line="480" w:lineRule="auto"/>
        <w:ind w:firstLine="480"/>
        <w:jc w:val="both"/>
        <w:rPr>
          <w:rFonts w:ascii="仿宋" w:hAnsi="仿宋" w:eastAsia="仿宋"/>
          <w:color w:val="333333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以最严谨的标准、最严格的监管、最严厉的处罚、最严肃的问责，确保人民群众“舌尖上的安全”</w:t>
      </w:r>
      <w:r>
        <w:rPr>
          <w:rFonts w:hint="eastAsia" w:ascii="仿宋" w:hAnsi="仿宋" w:eastAsia="仿宋"/>
          <w:color w:val="333333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工业产品质量监管采取了监督巡查与产品抽检相结合的监管方式，督促企业落实主体责任，提高企业质量意识，工业产品质量水平整体安全稳定</w:t>
      </w:r>
    </w:p>
    <w:p w14:paraId="536BDF06">
      <w:pPr>
        <w:pStyle w:val="5"/>
        <w:spacing w:before="0" w:beforeAutospacing="0" w:after="0" w:afterAutospacing="0" w:line="480" w:lineRule="auto"/>
        <w:ind w:firstLine="48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（3）生态效益。</w:t>
      </w:r>
    </w:p>
    <w:p w14:paraId="5EDF36FF">
      <w:pPr>
        <w:pStyle w:val="5"/>
        <w:spacing w:before="0" w:beforeAutospacing="0" w:after="0" w:afterAutospacing="0" w:line="480" w:lineRule="auto"/>
        <w:ind w:firstLine="672" w:firstLineChars="21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无</w:t>
      </w:r>
    </w:p>
    <w:p w14:paraId="3CCB21F3">
      <w:pPr>
        <w:pStyle w:val="5"/>
        <w:spacing w:before="0" w:beforeAutospacing="0" w:after="0" w:afterAutospacing="0" w:line="480" w:lineRule="auto"/>
        <w:ind w:firstLine="48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（4）可持续影响：</w:t>
      </w:r>
    </w:p>
    <w:p w14:paraId="1F81BA60">
      <w:pPr>
        <w:ind w:firstLine="640" w:firstLineChars="200"/>
        <w:rPr>
          <w:rFonts w:ascii="仿宋" w:hAnsi="仿宋" w:eastAsia="仿宋" w:cs="宋体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333333"/>
          <w:kern w:val="0"/>
          <w:sz w:val="32"/>
          <w:szCs w:val="32"/>
        </w:rPr>
        <w:t>加强市场监管，维护市场经济良好秩序，保民生，提升群众生活幸福指数。</w:t>
      </w:r>
    </w:p>
    <w:p w14:paraId="056F600B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3.满意度指标完成情况分析。</w:t>
      </w:r>
    </w:p>
    <w:p w14:paraId="2BBD4A2E">
      <w:pPr>
        <w:pStyle w:val="5"/>
        <w:spacing w:before="0" w:beforeAutospacing="0" w:after="0" w:afterAutospacing="0" w:line="480" w:lineRule="auto"/>
        <w:ind w:firstLine="480"/>
        <w:jc w:val="both"/>
        <w:rPr>
          <w:rFonts w:ascii="仿宋" w:hAnsi="仿宋" w:eastAsia="仿宋"/>
          <w:color w:val="333333"/>
          <w:sz w:val="32"/>
          <w:szCs w:val="32"/>
        </w:rPr>
      </w:pPr>
      <w:r>
        <w:rPr>
          <w:rFonts w:ascii="仿宋" w:hAnsi="仿宋" w:eastAsia="仿宋"/>
          <w:color w:val="333333"/>
          <w:sz w:val="32"/>
          <w:szCs w:val="32"/>
        </w:rPr>
        <w:t>20</w:t>
      </w:r>
      <w:r>
        <w:rPr>
          <w:rFonts w:hint="eastAsia" w:ascii="仿宋" w:hAnsi="仿宋" w:eastAsia="仿宋"/>
          <w:color w:val="333333"/>
          <w:sz w:val="32"/>
          <w:szCs w:val="32"/>
        </w:rPr>
        <w:t>20</w:t>
      </w:r>
      <w:r>
        <w:rPr>
          <w:rFonts w:ascii="仿宋" w:hAnsi="仿宋" w:eastAsia="仿宋"/>
          <w:color w:val="333333"/>
          <w:sz w:val="32"/>
          <w:szCs w:val="32"/>
        </w:rPr>
        <w:t>年度我局资金使用整体规范，项目管理到位，对全县的餐饮企业</w:t>
      </w:r>
      <w:r>
        <w:rPr>
          <w:rFonts w:hint="eastAsia" w:ascii="仿宋" w:hAnsi="仿宋" w:eastAsia="仿宋"/>
          <w:color w:val="333333"/>
          <w:sz w:val="32"/>
          <w:szCs w:val="32"/>
        </w:rPr>
        <w:t>、</w:t>
      </w:r>
      <w:r>
        <w:rPr>
          <w:rFonts w:ascii="仿宋" w:hAnsi="仿宋" w:eastAsia="仿宋"/>
          <w:color w:val="333333"/>
          <w:sz w:val="32"/>
          <w:szCs w:val="32"/>
        </w:rPr>
        <w:t>农贸市场</w:t>
      </w:r>
      <w:r>
        <w:rPr>
          <w:rFonts w:hint="eastAsia" w:ascii="仿宋" w:hAnsi="仿宋" w:eastAsia="仿宋"/>
          <w:color w:val="333333"/>
          <w:sz w:val="32"/>
          <w:szCs w:val="32"/>
        </w:rPr>
        <w:t>、</w:t>
      </w:r>
      <w:r>
        <w:rPr>
          <w:rFonts w:hint="eastAsia" w:ascii="仿宋" w:hAnsi="仿宋" w:eastAsia="仿宋" w:cs="楷体"/>
          <w:bCs/>
          <w:sz w:val="32"/>
          <w:szCs w:val="32"/>
        </w:rPr>
        <w:t>产品质量、特种设备监管、散煤治理、油烟净化</w:t>
      </w:r>
      <w:r>
        <w:rPr>
          <w:rFonts w:ascii="仿宋" w:hAnsi="仿宋" w:eastAsia="仿宋"/>
          <w:color w:val="333333"/>
          <w:sz w:val="32"/>
          <w:szCs w:val="32"/>
        </w:rPr>
        <w:t>等有效发展起到了促进作用，发挥了财政资金的作用，综合评价得分</w:t>
      </w:r>
      <w:r>
        <w:rPr>
          <w:rFonts w:hint="eastAsia" w:ascii="仿宋" w:hAnsi="仿宋" w:eastAsia="仿宋"/>
          <w:color w:val="333333"/>
          <w:sz w:val="32"/>
          <w:szCs w:val="32"/>
        </w:rPr>
        <w:t>95</w:t>
      </w:r>
      <w:r>
        <w:rPr>
          <w:rFonts w:ascii="仿宋" w:hAnsi="仿宋" w:eastAsia="仿宋"/>
          <w:color w:val="333333"/>
          <w:sz w:val="32"/>
          <w:szCs w:val="32"/>
        </w:rPr>
        <w:t>分，</w:t>
      </w:r>
      <w:r>
        <w:rPr>
          <w:rFonts w:hint="eastAsia" w:ascii="仿宋" w:hAnsi="仿宋" w:eastAsia="仿宋"/>
          <w:color w:val="333333"/>
          <w:sz w:val="32"/>
          <w:szCs w:val="32"/>
        </w:rPr>
        <w:t>满意度96%。</w:t>
      </w:r>
    </w:p>
    <w:p w14:paraId="4294140F">
      <w:pPr>
        <w:ind w:firstLine="643" w:firstLineChars="200"/>
        <w:rPr>
          <w:rFonts w:ascii="仿宋" w:hAnsi="仿宋" w:eastAsia="仿宋" w:cs="黑体"/>
          <w:b/>
          <w:bCs/>
          <w:sz w:val="32"/>
          <w:szCs w:val="32"/>
        </w:rPr>
      </w:pPr>
      <w:r>
        <w:rPr>
          <w:rFonts w:hint="eastAsia" w:ascii="仿宋" w:hAnsi="仿宋" w:eastAsia="仿宋" w:cs="黑体"/>
          <w:b/>
          <w:bCs/>
          <w:sz w:val="32"/>
          <w:szCs w:val="32"/>
        </w:rPr>
        <w:t>三、偏离绩效目标的原因</w:t>
      </w:r>
    </w:p>
    <w:p w14:paraId="7CF60FB4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一是各项工作的能动性不足，工作力度不够，各项综合协调机制不够健全，人力物力财力需要进一步给予保障，特别是一些抽检资金和检验中心的运行资金，缺口仍然很大。二是食品“三小”监管难问题。</w:t>
      </w:r>
      <w:r>
        <w:rPr>
          <w:rFonts w:hint="eastAsia" w:ascii="仿宋" w:hAnsi="仿宋" w:eastAsia="仿宋" w:cs="仿宋"/>
          <w:sz w:val="32"/>
          <w:szCs w:val="32"/>
        </w:rPr>
        <w:t>小餐饮、小摊点、小作坊普遍存在流动性强,从业人员食品安全意识淡薄，设施设备简陋,自我管理水平低等现实情况，导致监管难度加大，存在提升难、监管难、取缔难的问题。希望上级加大资金补助力度，同时多多提供业务指导。三是基层所基础设施，办公用房紧缺、办公环境和装备短缺，经费保障和标准化市场监管所有一定的差距。</w:t>
      </w:r>
    </w:p>
    <w:p w14:paraId="05AF67E3">
      <w:pPr>
        <w:ind w:firstLine="643" w:firstLineChars="200"/>
        <w:rPr>
          <w:rFonts w:ascii="仿宋" w:hAnsi="仿宋" w:eastAsia="仿宋" w:cs="黑体"/>
          <w:b/>
          <w:bCs/>
          <w:sz w:val="32"/>
          <w:szCs w:val="32"/>
        </w:rPr>
      </w:pPr>
      <w:r>
        <w:rPr>
          <w:rFonts w:hint="eastAsia" w:ascii="仿宋" w:hAnsi="仿宋" w:eastAsia="仿宋" w:cs="黑体"/>
          <w:b/>
          <w:bCs/>
          <w:sz w:val="32"/>
          <w:szCs w:val="32"/>
        </w:rPr>
        <w:t>四、绩效自评结果拟应用和公开情况</w:t>
      </w:r>
    </w:p>
    <w:p w14:paraId="1056316F">
      <w:pPr>
        <w:ind w:firstLine="640" w:firstLineChars="200"/>
        <w:rPr>
          <w:rFonts w:ascii="仿宋" w:hAnsi="仿宋" w:eastAsia="仿宋" w:cs="黑体"/>
          <w:bCs/>
          <w:sz w:val="32"/>
          <w:szCs w:val="32"/>
        </w:rPr>
      </w:pPr>
      <w:r>
        <w:rPr>
          <w:rFonts w:hint="eastAsia" w:ascii="仿宋" w:hAnsi="仿宋" w:eastAsia="仿宋" w:cs="黑体"/>
          <w:bCs/>
          <w:sz w:val="32"/>
          <w:szCs w:val="32"/>
        </w:rPr>
        <w:t>高度重视绩效评价结果的应用工作，积极探索和建立一套与预算管理相结合、多渠道应用评价结果的有效机制，着力提高绩效意识和财政资金使用效益。同时，将资金使用绩效目标自评报告在局公开栏公开，广泛接受广大干部职工的监督。</w:t>
      </w:r>
    </w:p>
    <w:p w14:paraId="7FA801C5">
      <w:pPr>
        <w:ind w:firstLine="643" w:firstLineChars="200"/>
        <w:rPr>
          <w:rFonts w:ascii="仿宋" w:hAnsi="仿宋" w:eastAsia="仿宋" w:cs="黑体"/>
          <w:b/>
          <w:bCs/>
          <w:sz w:val="32"/>
          <w:szCs w:val="32"/>
        </w:rPr>
      </w:pPr>
      <w:r>
        <w:rPr>
          <w:rFonts w:hint="eastAsia" w:ascii="仿宋" w:hAnsi="仿宋" w:eastAsia="仿宋" w:cs="黑体"/>
          <w:b/>
          <w:bCs/>
          <w:sz w:val="32"/>
          <w:szCs w:val="32"/>
        </w:rPr>
        <w:t>五、其他需要说明的问题</w:t>
      </w:r>
    </w:p>
    <w:p w14:paraId="2DEA4FAF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无</w:t>
      </w:r>
    </w:p>
    <w:p w14:paraId="61A38C06">
      <w:pPr>
        <w:ind w:firstLine="640" w:firstLineChars="200"/>
        <w:rPr>
          <w:rFonts w:ascii="仿宋" w:hAnsi="仿宋" w:eastAsia="仿宋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6508548"/>
      <w:docPartObj>
        <w:docPartGallery w:val="AutoText"/>
      </w:docPartObj>
    </w:sdtPr>
    <w:sdtContent>
      <w:p w14:paraId="0ECACAC2">
        <w:pPr>
          <w:pStyle w:val="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12</w:t>
        </w:r>
        <w:r>
          <w:rPr>
            <w:lang w:val="zh-CN"/>
          </w:rPr>
          <w:fldChar w:fldCharType="end"/>
        </w:r>
      </w:p>
    </w:sdtContent>
  </w:sdt>
  <w:p w14:paraId="4530430D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50"/>
  <w:drawingGridVerticalSpacing w:val="581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jEyM2NkOTMyZjU5NjY4M2QxYWU3ZDZkZTQyNjdmYmMifQ=="/>
  </w:docVars>
  <w:rsids>
    <w:rsidRoot w:val="00F57F82"/>
    <w:rsid w:val="000101E1"/>
    <w:rsid w:val="000113F3"/>
    <w:rsid w:val="000732DA"/>
    <w:rsid w:val="00075CDC"/>
    <w:rsid w:val="000B1E8F"/>
    <w:rsid w:val="000B6964"/>
    <w:rsid w:val="000F706D"/>
    <w:rsid w:val="00103D16"/>
    <w:rsid w:val="00111638"/>
    <w:rsid w:val="00111928"/>
    <w:rsid w:val="0012041C"/>
    <w:rsid w:val="00164D84"/>
    <w:rsid w:val="00171247"/>
    <w:rsid w:val="00173016"/>
    <w:rsid w:val="0017509C"/>
    <w:rsid w:val="001808CA"/>
    <w:rsid w:val="001A4E46"/>
    <w:rsid w:val="001B3636"/>
    <w:rsid w:val="001E03FE"/>
    <w:rsid w:val="002123E8"/>
    <w:rsid w:val="002328C2"/>
    <w:rsid w:val="00250053"/>
    <w:rsid w:val="0025638B"/>
    <w:rsid w:val="0029569C"/>
    <w:rsid w:val="002A5FA7"/>
    <w:rsid w:val="002B3EEF"/>
    <w:rsid w:val="002B54E4"/>
    <w:rsid w:val="002E5562"/>
    <w:rsid w:val="002F6705"/>
    <w:rsid w:val="00300095"/>
    <w:rsid w:val="00301F55"/>
    <w:rsid w:val="00301FC0"/>
    <w:rsid w:val="00313F45"/>
    <w:rsid w:val="00336A16"/>
    <w:rsid w:val="003663A3"/>
    <w:rsid w:val="00387DD5"/>
    <w:rsid w:val="003A6B9F"/>
    <w:rsid w:val="003B0980"/>
    <w:rsid w:val="003C6374"/>
    <w:rsid w:val="003D2CB9"/>
    <w:rsid w:val="00413F12"/>
    <w:rsid w:val="00463336"/>
    <w:rsid w:val="004647F9"/>
    <w:rsid w:val="00467E3D"/>
    <w:rsid w:val="0047759D"/>
    <w:rsid w:val="00493012"/>
    <w:rsid w:val="004D2137"/>
    <w:rsid w:val="00521E30"/>
    <w:rsid w:val="00552701"/>
    <w:rsid w:val="005D1514"/>
    <w:rsid w:val="005D7CC3"/>
    <w:rsid w:val="005E0E9F"/>
    <w:rsid w:val="005F0985"/>
    <w:rsid w:val="005F0E71"/>
    <w:rsid w:val="00602ED9"/>
    <w:rsid w:val="006218A1"/>
    <w:rsid w:val="00623EC7"/>
    <w:rsid w:val="006308F0"/>
    <w:rsid w:val="00661920"/>
    <w:rsid w:val="00682A10"/>
    <w:rsid w:val="0069189A"/>
    <w:rsid w:val="00692C4B"/>
    <w:rsid w:val="006A30E4"/>
    <w:rsid w:val="006A74BF"/>
    <w:rsid w:val="006C1CEE"/>
    <w:rsid w:val="006D5A86"/>
    <w:rsid w:val="00707C2E"/>
    <w:rsid w:val="00722A7D"/>
    <w:rsid w:val="00724A6B"/>
    <w:rsid w:val="0073331B"/>
    <w:rsid w:val="00733C2D"/>
    <w:rsid w:val="00756C7F"/>
    <w:rsid w:val="0077779F"/>
    <w:rsid w:val="00781B57"/>
    <w:rsid w:val="007B4354"/>
    <w:rsid w:val="007D7E6E"/>
    <w:rsid w:val="00850797"/>
    <w:rsid w:val="00853FC4"/>
    <w:rsid w:val="008614EA"/>
    <w:rsid w:val="008720F1"/>
    <w:rsid w:val="00882EFA"/>
    <w:rsid w:val="008A71AD"/>
    <w:rsid w:val="008B2F56"/>
    <w:rsid w:val="008C66EB"/>
    <w:rsid w:val="008F0996"/>
    <w:rsid w:val="00902CA6"/>
    <w:rsid w:val="00903791"/>
    <w:rsid w:val="009106AE"/>
    <w:rsid w:val="00912C5C"/>
    <w:rsid w:val="009600BD"/>
    <w:rsid w:val="00961C83"/>
    <w:rsid w:val="009922BC"/>
    <w:rsid w:val="009B505B"/>
    <w:rsid w:val="009E0D8C"/>
    <w:rsid w:val="009F4B50"/>
    <w:rsid w:val="00A02AF3"/>
    <w:rsid w:val="00A25077"/>
    <w:rsid w:val="00A57285"/>
    <w:rsid w:val="00A610CC"/>
    <w:rsid w:val="00A623F7"/>
    <w:rsid w:val="00A6325F"/>
    <w:rsid w:val="00A8737E"/>
    <w:rsid w:val="00A9253F"/>
    <w:rsid w:val="00AA19AF"/>
    <w:rsid w:val="00B26639"/>
    <w:rsid w:val="00B67215"/>
    <w:rsid w:val="00B84CFE"/>
    <w:rsid w:val="00BC6882"/>
    <w:rsid w:val="00BD3FE0"/>
    <w:rsid w:val="00BE58CF"/>
    <w:rsid w:val="00C0577F"/>
    <w:rsid w:val="00C162F4"/>
    <w:rsid w:val="00C17891"/>
    <w:rsid w:val="00C473D3"/>
    <w:rsid w:val="00CA5578"/>
    <w:rsid w:val="00CA7DAA"/>
    <w:rsid w:val="00CB60D1"/>
    <w:rsid w:val="00CE7408"/>
    <w:rsid w:val="00D04826"/>
    <w:rsid w:val="00D37B5A"/>
    <w:rsid w:val="00D54C2C"/>
    <w:rsid w:val="00D63908"/>
    <w:rsid w:val="00D8718A"/>
    <w:rsid w:val="00D93453"/>
    <w:rsid w:val="00DC524D"/>
    <w:rsid w:val="00DE2016"/>
    <w:rsid w:val="00DF5350"/>
    <w:rsid w:val="00E071D6"/>
    <w:rsid w:val="00E132DC"/>
    <w:rsid w:val="00E13E54"/>
    <w:rsid w:val="00E8423F"/>
    <w:rsid w:val="00ED3E0F"/>
    <w:rsid w:val="00EE278D"/>
    <w:rsid w:val="00F015E4"/>
    <w:rsid w:val="00F05CB1"/>
    <w:rsid w:val="00F53782"/>
    <w:rsid w:val="00F57F82"/>
    <w:rsid w:val="00F75224"/>
    <w:rsid w:val="00F91EAE"/>
    <w:rsid w:val="00FA086C"/>
    <w:rsid w:val="00FA2093"/>
    <w:rsid w:val="00FA357A"/>
    <w:rsid w:val="00FD7CD8"/>
    <w:rsid w:val="033E3B9B"/>
    <w:rsid w:val="037D0BC8"/>
    <w:rsid w:val="0845082D"/>
    <w:rsid w:val="09E965F2"/>
    <w:rsid w:val="139840D3"/>
    <w:rsid w:val="143E091F"/>
    <w:rsid w:val="14865FC8"/>
    <w:rsid w:val="150C2DB0"/>
    <w:rsid w:val="1E761F05"/>
    <w:rsid w:val="1FC7205C"/>
    <w:rsid w:val="228B3D05"/>
    <w:rsid w:val="284E74F8"/>
    <w:rsid w:val="2ADB48E8"/>
    <w:rsid w:val="36687282"/>
    <w:rsid w:val="38EF7AD8"/>
    <w:rsid w:val="3E1672E6"/>
    <w:rsid w:val="415F08D8"/>
    <w:rsid w:val="44E2230F"/>
    <w:rsid w:val="48B51347"/>
    <w:rsid w:val="491B45FA"/>
    <w:rsid w:val="4A55216A"/>
    <w:rsid w:val="4FE0696A"/>
    <w:rsid w:val="55673508"/>
    <w:rsid w:val="59595A6F"/>
    <w:rsid w:val="599330CA"/>
    <w:rsid w:val="60D5009F"/>
    <w:rsid w:val="64AC2E11"/>
    <w:rsid w:val="660721C9"/>
    <w:rsid w:val="661E6C75"/>
    <w:rsid w:val="67F75FF5"/>
    <w:rsid w:val="681D4831"/>
    <w:rsid w:val="692E4B19"/>
    <w:rsid w:val="69513EF7"/>
    <w:rsid w:val="6BF3256F"/>
    <w:rsid w:val="6CE7018A"/>
    <w:rsid w:val="6E3E3F2D"/>
    <w:rsid w:val="715B2F02"/>
    <w:rsid w:val="76A548F2"/>
    <w:rsid w:val="7765772E"/>
    <w:rsid w:val="77867685"/>
    <w:rsid w:val="781F36B6"/>
    <w:rsid w:val="790627AD"/>
    <w:rsid w:val="7ADC59FA"/>
    <w:rsid w:val="7DDD794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qFormat/>
    <w:uiPriority w:val="0"/>
    <w:rPr>
      <w:sz w:val="18"/>
      <w:szCs w:val="18"/>
    </w:rPr>
  </w:style>
  <w:style w:type="paragraph" w:styleId="3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character" w:customStyle="1" w:styleId="8">
    <w:name w:val="页脚 Char"/>
    <w:basedOn w:val="7"/>
    <w:link w:val="3"/>
    <w:qFormat/>
    <w:uiPriority w:val="99"/>
    <w:rPr>
      <w:rFonts w:eastAsia="仿宋_GB2312"/>
      <w:kern w:val="2"/>
      <w:sz w:val="18"/>
      <w:szCs w:val="18"/>
    </w:rPr>
  </w:style>
  <w:style w:type="character" w:customStyle="1" w:styleId="9">
    <w:name w:val="页眉 Char"/>
    <w:basedOn w:val="7"/>
    <w:link w:val="4"/>
    <w:qFormat/>
    <w:uiPriority w:val="0"/>
    <w:rPr>
      <w:rFonts w:eastAsia="仿宋_GB2312"/>
      <w:kern w:val="2"/>
      <w:sz w:val="18"/>
      <w:szCs w:val="18"/>
    </w:rPr>
  </w:style>
  <w:style w:type="character" w:customStyle="1" w:styleId="10">
    <w:name w:val="批注框文本 Char"/>
    <w:basedOn w:val="7"/>
    <w:link w:val="2"/>
    <w:qFormat/>
    <w:uiPriority w:val="0"/>
    <w:rPr>
      <w:rFonts w:eastAsia="仿宋_GB2312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29471D-5887-4CE8-95D1-07D689C5D84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13</Pages>
  <Words>6129</Words>
  <Characters>6302</Characters>
  <Lines>45</Lines>
  <Paragraphs>12</Paragraphs>
  <TotalTime>2604</TotalTime>
  <ScaleCrop>false</ScaleCrop>
  <LinksUpToDate>false</LinksUpToDate>
  <CharactersWithSpaces>6318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2019-02-12T06:26:00Z</dcterms:created>
  <dc:creator>lhn</dc:creator>
  <cp:lastModifiedBy>宁缺毋滥</cp:lastModifiedBy>
  <cp:lastPrinted>2021-03-24T07:27:00Z</cp:lastPrinted>
  <dcterms:modified xsi:type="dcterms:W3CDTF">2024-10-29T08:17:26Z</dcterms:modified>
  <dc:title>财政支出绩效评价报告</dc:title>
  <cp:revision>51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5918191C0DBB4A978B824BA8D9BF6758_12</vt:lpwstr>
  </property>
</Properties>
</file>