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F6A518">
      <w:pPr>
        <w:widowControl/>
        <w:jc w:val="center"/>
        <w:rPr>
          <w:rFonts w:ascii="宋体" w:hAnsi="宋体" w:eastAsia="宋体" w:cs="宋体"/>
          <w:b/>
          <w:bCs/>
          <w:kern w:val="0"/>
          <w:sz w:val="44"/>
          <w:szCs w:val="44"/>
        </w:rPr>
      </w:pPr>
    </w:p>
    <w:p w14:paraId="45BEB25D">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隆尧县魏家庄镇人民政府</w:t>
      </w:r>
    </w:p>
    <w:p w14:paraId="0C89037F">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2021年魏家庄镇滨河路西延节点绿化拆迁补偿项目绩效评价自评报告</w:t>
      </w:r>
    </w:p>
    <w:p w14:paraId="7E36887A">
      <w:pPr>
        <w:widowControl/>
        <w:rPr>
          <w:rFonts w:ascii="黑体" w:hAnsi="黑体" w:eastAsia="黑体" w:cs="宋体"/>
          <w:b/>
          <w:bCs/>
          <w:kern w:val="0"/>
          <w:sz w:val="44"/>
          <w:szCs w:val="44"/>
        </w:rPr>
      </w:pPr>
    </w:p>
    <w:p w14:paraId="67F79A29">
      <w:pPr>
        <w:pStyle w:val="9"/>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14:paraId="6ABF1006">
      <w:pPr>
        <w:widowControl/>
        <w:rPr>
          <w:rFonts w:ascii="宋体" w:cs="宋体"/>
          <w:kern w:val="0"/>
          <w:sz w:val="32"/>
          <w:szCs w:val="32"/>
        </w:rPr>
      </w:pPr>
      <w:r>
        <w:rPr>
          <w:rFonts w:hint="eastAsia" w:ascii="宋体" w:cs="宋体"/>
          <w:kern w:val="0"/>
          <w:sz w:val="32"/>
          <w:szCs w:val="32"/>
        </w:rPr>
        <w:t xml:space="preserve">  </w:t>
      </w:r>
      <w:r>
        <w:rPr>
          <w:rFonts w:ascii="宋体" w:cs="宋体"/>
          <w:kern w:val="0"/>
          <w:sz w:val="32"/>
          <w:szCs w:val="32"/>
        </w:rPr>
        <w:t xml:space="preserve"> </w:t>
      </w:r>
      <w:r>
        <w:rPr>
          <w:rFonts w:hint="eastAsia" w:ascii="仿宋" w:hAnsi="仿宋" w:eastAsia="仿宋" w:cs="宋体"/>
          <w:kern w:val="0"/>
          <w:sz w:val="32"/>
          <w:szCs w:val="32"/>
        </w:rPr>
        <w:t>本项目是为了促进食品园区的发展，经</w:t>
      </w:r>
      <w:r>
        <w:rPr>
          <w:rFonts w:hint="eastAsia" w:ascii="仿宋" w:hAnsi="仿宋" w:eastAsia="仿宋" w:cs="宋体"/>
          <w:kern w:val="0"/>
          <w:sz w:val="32"/>
          <w:szCs w:val="32"/>
          <w:lang w:val="en-US" w:eastAsia="zh-CN"/>
        </w:rPr>
        <w:t>县政</w:t>
      </w:r>
      <w:bookmarkStart w:id="0" w:name="_GoBack"/>
      <w:bookmarkEnd w:id="0"/>
      <w:r>
        <w:rPr>
          <w:rFonts w:hint="eastAsia" w:ascii="仿宋" w:hAnsi="仿宋" w:eastAsia="仿宋" w:cs="宋体"/>
          <w:kern w:val="0"/>
          <w:sz w:val="32"/>
          <w:szCs w:val="32"/>
        </w:rPr>
        <w:t>府批复，县财政给予资金支持，完成滨河路西延两侧的绿化及拆迁补偿工作。</w:t>
      </w:r>
    </w:p>
    <w:p w14:paraId="7A3C5310">
      <w:pPr>
        <w:widowControl/>
        <w:rPr>
          <w:rFonts w:ascii="仿宋" w:hAnsi="仿宋" w:eastAsia="仿宋" w:cs="宋体"/>
          <w:kern w:val="0"/>
          <w:sz w:val="32"/>
          <w:szCs w:val="32"/>
        </w:rPr>
      </w:pPr>
      <w:r>
        <w:rPr>
          <w:rFonts w:hint="eastAsia" w:ascii="宋体" w:cs="宋体"/>
          <w:kern w:val="0"/>
          <w:sz w:val="32"/>
          <w:szCs w:val="32"/>
        </w:rPr>
        <w:t>（</w:t>
      </w:r>
      <w:r>
        <w:rPr>
          <w:rFonts w:hint="eastAsia" w:ascii="仿宋" w:hAnsi="仿宋" w:eastAsia="仿宋" w:cs="宋体"/>
          <w:kern w:val="0"/>
          <w:sz w:val="32"/>
          <w:szCs w:val="32"/>
        </w:rPr>
        <w:t>一）政府战略规划或目标。</w:t>
      </w:r>
    </w:p>
    <w:p w14:paraId="0E22F0CF">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总目标：隆尧县魏家庄镇人民政府为镇政府工作部门，机构规格正科级，位于隆尧县魏家庄镇魏家庄村迎宾路4</w:t>
      </w:r>
      <w:r>
        <w:rPr>
          <w:rFonts w:ascii="仿宋" w:hAnsi="仿宋" w:eastAsia="仿宋" w:cs="宋体"/>
          <w:kern w:val="0"/>
          <w:sz w:val="32"/>
          <w:szCs w:val="32"/>
        </w:rPr>
        <w:t>7</w:t>
      </w:r>
      <w:r>
        <w:rPr>
          <w:rFonts w:hint="eastAsia" w:ascii="仿宋" w:hAnsi="仿宋" w:eastAsia="仿宋" w:cs="宋体"/>
          <w:kern w:val="0"/>
          <w:sz w:val="32"/>
          <w:szCs w:val="32"/>
        </w:rPr>
        <w:t>号，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1F753603">
      <w:pPr>
        <w:widowControl/>
        <w:rPr>
          <w:rFonts w:ascii="仿宋" w:hAnsi="仿宋" w:eastAsia="仿宋" w:cs="宋体"/>
          <w:kern w:val="0"/>
          <w:sz w:val="32"/>
          <w:szCs w:val="32"/>
        </w:rPr>
      </w:pPr>
      <w:r>
        <w:rPr>
          <w:rFonts w:hint="eastAsia" w:ascii="仿宋" w:hAnsi="仿宋" w:eastAsia="仿宋" w:cs="宋体"/>
          <w:kern w:val="0"/>
          <w:sz w:val="32"/>
          <w:szCs w:val="32"/>
        </w:rPr>
        <w:t xml:space="preserve">  （二）单位工作目标。</w:t>
      </w:r>
    </w:p>
    <w:p w14:paraId="2072196D">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保证政府日常开支的正常运转，以及单位人员日常报销不受影响，确保政府各项工作的顺利进行；同时保证魏家庄镇各项目建设的有推进，带动全镇经济平稳较快发展的重要工作来落实，按照“统筹规划、分级负责、因地制宜、确保质量”的原则，通过项目实施加大农村建设力度，使我镇各项基础设施建设再上一个新的台阶。</w:t>
      </w:r>
    </w:p>
    <w:p w14:paraId="0E82F6CC">
      <w:pPr>
        <w:widowControl/>
        <w:rPr>
          <w:rFonts w:ascii="仿宋" w:hAnsi="仿宋" w:eastAsia="仿宋" w:cs="宋体"/>
          <w:kern w:val="0"/>
          <w:sz w:val="32"/>
          <w:szCs w:val="32"/>
        </w:rPr>
      </w:pPr>
      <w:r>
        <w:rPr>
          <w:rFonts w:hint="eastAsia" w:ascii="仿宋" w:hAnsi="仿宋" w:eastAsia="仿宋" w:cs="宋体"/>
          <w:kern w:val="0"/>
          <w:sz w:val="32"/>
          <w:szCs w:val="32"/>
        </w:rPr>
        <w:t xml:space="preserve">  （三）工作活动(项目)基本情况。</w:t>
      </w:r>
    </w:p>
    <w:p w14:paraId="11954FF7">
      <w:pPr>
        <w:widowControl/>
        <w:ind w:firstLine="470" w:firstLineChars="147"/>
        <w:rPr>
          <w:rFonts w:ascii="仿宋" w:hAnsi="仿宋" w:eastAsia="仿宋" w:cs="宋体"/>
          <w:kern w:val="0"/>
          <w:sz w:val="32"/>
          <w:szCs w:val="32"/>
        </w:rPr>
      </w:pPr>
      <w:r>
        <w:rPr>
          <w:rFonts w:hint="eastAsia" w:ascii="仿宋" w:hAnsi="仿宋" w:eastAsia="仿宋" w:cs="宋体"/>
          <w:kern w:val="0"/>
          <w:sz w:val="32"/>
          <w:szCs w:val="32"/>
        </w:rPr>
        <w:t>滨河路西延节点绿化项目施工地魏家庄镇肖庄西村，主要为房屋拆迁和占地补偿，其中：房屋拆迁补偿款6</w:t>
      </w:r>
      <w:r>
        <w:rPr>
          <w:rFonts w:ascii="仿宋" w:hAnsi="仿宋" w:eastAsia="仿宋" w:cs="宋体"/>
          <w:kern w:val="0"/>
          <w:sz w:val="32"/>
          <w:szCs w:val="32"/>
        </w:rPr>
        <w:t>60000</w:t>
      </w:r>
      <w:r>
        <w:rPr>
          <w:rFonts w:hint="eastAsia" w:ascii="仿宋" w:hAnsi="仿宋" w:eastAsia="仿宋" w:cs="宋体"/>
          <w:kern w:val="0"/>
          <w:sz w:val="32"/>
          <w:szCs w:val="32"/>
        </w:rPr>
        <w:t>元，搬迁、安置补助费3</w:t>
      </w:r>
      <w:r>
        <w:rPr>
          <w:rFonts w:ascii="仿宋" w:hAnsi="仿宋" w:eastAsia="仿宋" w:cs="宋体"/>
          <w:kern w:val="0"/>
          <w:sz w:val="32"/>
          <w:szCs w:val="32"/>
        </w:rPr>
        <w:t>1481</w:t>
      </w:r>
      <w:r>
        <w:rPr>
          <w:rFonts w:hint="eastAsia" w:ascii="仿宋" w:hAnsi="仿宋" w:eastAsia="仿宋" w:cs="宋体"/>
          <w:kern w:val="0"/>
          <w:sz w:val="32"/>
          <w:szCs w:val="32"/>
        </w:rPr>
        <w:t>元；占地1</w:t>
      </w:r>
      <w:r>
        <w:rPr>
          <w:rFonts w:ascii="仿宋" w:hAnsi="仿宋" w:eastAsia="仿宋" w:cs="宋体"/>
          <w:kern w:val="0"/>
          <w:sz w:val="32"/>
          <w:szCs w:val="32"/>
        </w:rPr>
        <w:t>2</w:t>
      </w:r>
      <w:r>
        <w:rPr>
          <w:rFonts w:hint="eastAsia" w:ascii="仿宋" w:hAnsi="仿宋" w:eastAsia="仿宋" w:cs="宋体"/>
          <w:kern w:val="0"/>
          <w:sz w:val="32"/>
          <w:szCs w:val="32"/>
        </w:rPr>
        <w:t>亩，其中宅基地0</w:t>
      </w:r>
      <w:r>
        <w:rPr>
          <w:rFonts w:ascii="仿宋" w:hAnsi="仿宋" w:eastAsia="仿宋" w:cs="宋体"/>
          <w:kern w:val="0"/>
          <w:sz w:val="32"/>
          <w:szCs w:val="32"/>
        </w:rPr>
        <w:t>.7</w:t>
      </w:r>
      <w:r>
        <w:rPr>
          <w:rFonts w:hint="eastAsia" w:ascii="仿宋" w:hAnsi="仿宋" w:eastAsia="仿宋" w:cs="宋体"/>
          <w:kern w:val="0"/>
          <w:sz w:val="32"/>
          <w:szCs w:val="32"/>
        </w:rPr>
        <w:t>亩，需补偿9</w:t>
      </w:r>
      <w:r>
        <w:rPr>
          <w:rFonts w:ascii="仿宋" w:hAnsi="仿宋" w:eastAsia="仿宋" w:cs="宋体"/>
          <w:kern w:val="0"/>
          <w:sz w:val="32"/>
          <w:szCs w:val="32"/>
        </w:rPr>
        <w:t>8000</w:t>
      </w:r>
      <w:r>
        <w:rPr>
          <w:rFonts w:hint="eastAsia" w:ascii="仿宋" w:hAnsi="仿宋" w:eastAsia="仿宋" w:cs="宋体"/>
          <w:kern w:val="0"/>
          <w:sz w:val="32"/>
          <w:szCs w:val="32"/>
        </w:rPr>
        <w:t>元，耕地1</w:t>
      </w:r>
      <w:r>
        <w:rPr>
          <w:rFonts w:ascii="仿宋" w:hAnsi="仿宋" w:eastAsia="仿宋" w:cs="宋体"/>
          <w:kern w:val="0"/>
          <w:sz w:val="32"/>
          <w:szCs w:val="32"/>
        </w:rPr>
        <w:t>1.3</w:t>
      </w:r>
      <w:r>
        <w:rPr>
          <w:rFonts w:hint="eastAsia" w:ascii="仿宋" w:hAnsi="仿宋" w:eastAsia="仿宋" w:cs="宋体"/>
          <w:kern w:val="0"/>
          <w:sz w:val="32"/>
          <w:szCs w:val="32"/>
        </w:rPr>
        <w:t>亩，需补偿2</w:t>
      </w:r>
      <w:r>
        <w:rPr>
          <w:rFonts w:ascii="仿宋" w:hAnsi="仿宋" w:eastAsia="仿宋" w:cs="宋体"/>
          <w:kern w:val="0"/>
          <w:sz w:val="32"/>
          <w:szCs w:val="32"/>
        </w:rPr>
        <w:t>1696</w:t>
      </w:r>
      <w:r>
        <w:rPr>
          <w:rFonts w:hint="eastAsia" w:ascii="仿宋" w:hAnsi="仿宋" w:eastAsia="仿宋" w:cs="宋体"/>
          <w:kern w:val="0"/>
          <w:sz w:val="32"/>
          <w:szCs w:val="32"/>
        </w:rPr>
        <w:t>元；2</w:t>
      </w:r>
      <w:r>
        <w:rPr>
          <w:rFonts w:ascii="仿宋" w:hAnsi="仿宋" w:eastAsia="仿宋" w:cs="宋体"/>
          <w:kern w:val="0"/>
          <w:sz w:val="32"/>
          <w:szCs w:val="32"/>
        </w:rPr>
        <w:t>2</w:t>
      </w:r>
      <w:r>
        <w:rPr>
          <w:rFonts w:hint="eastAsia" w:ascii="仿宋" w:hAnsi="仿宋" w:eastAsia="仿宋" w:cs="宋体"/>
          <w:kern w:val="0"/>
          <w:sz w:val="32"/>
          <w:szCs w:val="32"/>
        </w:rPr>
        <w:t>万付高压铁塔占地0</w:t>
      </w:r>
      <w:r>
        <w:rPr>
          <w:rFonts w:ascii="仿宋" w:hAnsi="仿宋" w:eastAsia="仿宋" w:cs="宋体"/>
          <w:kern w:val="0"/>
          <w:sz w:val="32"/>
          <w:szCs w:val="32"/>
        </w:rPr>
        <w:t>.054</w:t>
      </w:r>
      <w:r>
        <w:rPr>
          <w:rFonts w:hint="eastAsia" w:ascii="仿宋" w:hAnsi="仿宋" w:eastAsia="仿宋" w:cs="宋体"/>
          <w:kern w:val="0"/>
          <w:sz w:val="32"/>
          <w:szCs w:val="32"/>
        </w:rPr>
        <w:t>亩，需补偿3</w:t>
      </w:r>
      <w:r>
        <w:rPr>
          <w:rFonts w:ascii="仿宋" w:hAnsi="仿宋" w:eastAsia="仿宋" w:cs="宋体"/>
          <w:kern w:val="0"/>
          <w:sz w:val="32"/>
          <w:szCs w:val="32"/>
        </w:rPr>
        <w:t>240</w:t>
      </w:r>
      <w:r>
        <w:rPr>
          <w:rFonts w:hint="eastAsia" w:ascii="仿宋" w:hAnsi="仿宋" w:eastAsia="仿宋" w:cs="宋体"/>
          <w:kern w:val="0"/>
          <w:sz w:val="32"/>
          <w:szCs w:val="32"/>
        </w:rPr>
        <w:t>元，共需补偿8</w:t>
      </w:r>
      <w:r>
        <w:rPr>
          <w:rFonts w:ascii="仿宋" w:hAnsi="仿宋" w:eastAsia="仿宋" w:cs="宋体"/>
          <w:kern w:val="0"/>
          <w:sz w:val="32"/>
          <w:szCs w:val="32"/>
        </w:rPr>
        <w:t>14417</w:t>
      </w:r>
      <w:r>
        <w:rPr>
          <w:rFonts w:hint="eastAsia" w:ascii="仿宋" w:hAnsi="仿宋" w:eastAsia="仿宋" w:cs="宋体"/>
          <w:kern w:val="0"/>
          <w:sz w:val="32"/>
          <w:szCs w:val="32"/>
        </w:rPr>
        <w:t>元。</w:t>
      </w:r>
    </w:p>
    <w:p w14:paraId="70BEB9AD">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二、工作活动(项目)绩效目标和指标设定情况</w:t>
      </w:r>
    </w:p>
    <w:p w14:paraId="1C0124AC">
      <w:pPr>
        <w:widowControl/>
        <w:rPr>
          <w:rFonts w:ascii="仿宋" w:hAnsi="仿宋" w:eastAsia="仿宋" w:cs="宋体"/>
          <w:kern w:val="0"/>
          <w:sz w:val="32"/>
          <w:szCs w:val="32"/>
        </w:rPr>
      </w:pPr>
      <w:r>
        <w:rPr>
          <w:rFonts w:hint="eastAsia" w:ascii="仿宋" w:hAnsi="仿宋" w:eastAsia="仿宋" w:cs="宋体"/>
          <w:kern w:val="0"/>
          <w:sz w:val="32"/>
          <w:szCs w:val="32"/>
        </w:rPr>
        <w:t xml:space="preserve"> （一）工作活动(项目)总目标、年度目标设定情况。</w:t>
      </w:r>
    </w:p>
    <w:p w14:paraId="41D19949">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总目标：对涉及拆迁房屋按期完成拆迁工作，占地农户签订占地合同，补偿款及时拨付涉及农户。</w:t>
      </w:r>
    </w:p>
    <w:p w14:paraId="4A1C4E57">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年度目标：核对补偿数额，签订补偿合同。</w:t>
      </w:r>
    </w:p>
    <w:p w14:paraId="39B02F75">
      <w:pPr>
        <w:widowControl/>
        <w:rPr>
          <w:rFonts w:ascii="仿宋" w:hAnsi="仿宋" w:eastAsia="仿宋" w:cs="宋体"/>
          <w:kern w:val="0"/>
          <w:sz w:val="32"/>
          <w:szCs w:val="32"/>
        </w:rPr>
      </w:pPr>
      <w:r>
        <w:rPr>
          <w:rFonts w:hint="eastAsia" w:ascii="仿宋" w:hAnsi="仿宋" w:eastAsia="仿宋" w:cs="宋体"/>
          <w:kern w:val="0"/>
          <w:sz w:val="32"/>
          <w:szCs w:val="32"/>
        </w:rPr>
        <w:t>（二）工作活动(项目)绩效指标设定情况。</w:t>
      </w:r>
    </w:p>
    <w:p w14:paraId="34F68DDC">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绩效指标主要包括产出指标（数量指标、质量指标、时效指标）和效果指标（经济效益指标、社会效益指标、可持续发展效益指标）。</w:t>
      </w:r>
    </w:p>
    <w:p w14:paraId="47730E79">
      <w:pPr>
        <w:widowControl/>
        <w:rPr>
          <w:rFonts w:ascii="仿宋" w:hAnsi="仿宋" w:eastAsia="仿宋" w:cs="宋体"/>
          <w:kern w:val="0"/>
          <w:sz w:val="32"/>
          <w:szCs w:val="32"/>
        </w:rPr>
      </w:pPr>
      <w:r>
        <w:rPr>
          <w:rFonts w:hint="eastAsia" w:ascii="仿宋" w:hAnsi="仿宋" w:eastAsia="仿宋" w:cs="宋体"/>
          <w:kern w:val="0"/>
          <w:sz w:val="32"/>
          <w:szCs w:val="32"/>
        </w:rPr>
        <w:t>（三）调整情况。</w:t>
      </w:r>
    </w:p>
    <w:p w14:paraId="5F9CF351">
      <w:pPr>
        <w:widowControl/>
        <w:rPr>
          <w:rFonts w:ascii="仿宋" w:hAnsi="仿宋" w:eastAsia="仿宋" w:cs="宋体"/>
          <w:kern w:val="0"/>
          <w:sz w:val="32"/>
          <w:szCs w:val="32"/>
        </w:rPr>
      </w:pPr>
      <w:r>
        <w:rPr>
          <w:rFonts w:hint="eastAsia" w:ascii="仿宋" w:hAnsi="仿宋" w:eastAsia="仿宋" w:cs="宋体"/>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无调整。</w:t>
      </w:r>
    </w:p>
    <w:p w14:paraId="52C38322">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三、工作活动(项目)实施绩效管理情况及取得成绩</w:t>
      </w:r>
    </w:p>
    <w:p w14:paraId="6CCF55BA">
      <w:pPr>
        <w:widowControl/>
        <w:ind w:left="105" w:leftChars="50"/>
        <w:rPr>
          <w:rFonts w:ascii="黑体" w:hAnsi="黑体" w:eastAsia="黑体" w:cs="宋体"/>
          <w:b/>
          <w:bCs/>
          <w:kern w:val="0"/>
          <w:sz w:val="32"/>
          <w:szCs w:val="32"/>
        </w:rPr>
      </w:pPr>
      <w:r>
        <w:rPr>
          <w:rFonts w:hint="eastAsia" w:ascii="仿宋" w:hAnsi="仿宋" w:eastAsia="仿宋" w:cs="宋体"/>
          <w:kern w:val="0"/>
          <w:sz w:val="32"/>
          <w:szCs w:val="32"/>
        </w:rPr>
        <w:t>（一）计划制定和落实情况。</w:t>
      </w:r>
    </w:p>
    <w:p w14:paraId="025BD665">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为了按照统一规则和标准实施评价工作，更加准确地反映项目单位的绩效实际情况，我们将综合绩效评价级别分为4个等级。具体评价等级分类如下：</w:t>
      </w:r>
    </w:p>
    <w:p w14:paraId="5833E3C6">
      <w:pPr>
        <w:widowControl/>
        <w:ind w:left="320"/>
        <w:jc w:val="center"/>
        <w:rPr>
          <w:rFonts w:ascii="仿宋" w:hAnsi="仿宋" w:eastAsia="仿宋" w:cs="宋体"/>
          <w:kern w:val="0"/>
          <w:sz w:val="32"/>
          <w:szCs w:val="32"/>
        </w:rPr>
      </w:pPr>
      <w:r>
        <w:rPr>
          <w:rFonts w:hint="eastAsia" w:ascii="仿宋" w:hAnsi="仿宋" w:eastAsia="仿宋" w:cs="宋体"/>
          <w:kern w:val="0"/>
          <w:sz w:val="32"/>
          <w:szCs w:val="32"/>
        </w:rPr>
        <w:t>绩效评价等级分类表</w:t>
      </w:r>
    </w:p>
    <w:tbl>
      <w:tblPr>
        <w:tblStyle w:val="7"/>
        <w:tblW w:w="843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437"/>
        <w:gridCol w:w="2105"/>
        <w:gridCol w:w="1807"/>
        <w:gridCol w:w="1413"/>
        <w:gridCol w:w="1669"/>
      </w:tblGrid>
      <w:tr w14:paraId="534C3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1437"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729BD3F5">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rPr>
              <w:t>项目</w:t>
            </w:r>
          </w:p>
        </w:tc>
        <w:tc>
          <w:tcPr>
            <w:tcW w:w="210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46654860">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rPr>
              <w:t>优</w:t>
            </w:r>
          </w:p>
        </w:tc>
        <w:tc>
          <w:tcPr>
            <w:tcW w:w="180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51FBD05B">
            <w:pPr>
              <w:widowControl/>
              <w:jc w:val="center"/>
              <w:textAlignment w:val="center"/>
              <w:rPr>
                <w:rFonts w:ascii="宋体" w:hAnsi="宋体" w:eastAsia="宋体" w:cs="仿宋"/>
                <w:color w:val="000000"/>
                <w:kern w:val="0"/>
                <w:sz w:val="32"/>
                <w:szCs w:val="32"/>
              </w:rPr>
            </w:pPr>
            <w:r>
              <w:rPr>
                <w:rFonts w:hint="eastAsia" w:ascii="宋体" w:hAnsi="宋体" w:eastAsia="宋体" w:cs="仿宋"/>
                <w:color w:val="000000"/>
                <w:kern w:val="0"/>
                <w:sz w:val="32"/>
                <w:szCs w:val="32"/>
              </w:rPr>
              <w:t>良</w:t>
            </w:r>
          </w:p>
        </w:tc>
        <w:tc>
          <w:tcPr>
            <w:tcW w:w="1413" w:type="dxa"/>
            <w:tcBorders>
              <w:top w:val="single" w:color="000000" w:sz="8" w:space="0"/>
              <w:left w:val="nil"/>
              <w:bottom w:val="single" w:color="000000" w:sz="8" w:space="0"/>
              <w:right w:val="nil"/>
            </w:tcBorders>
            <w:tcMar>
              <w:top w:w="15" w:type="dxa"/>
              <w:left w:w="15" w:type="dxa"/>
              <w:right w:w="15" w:type="dxa"/>
            </w:tcMar>
            <w:vAlign w:val="center"/>
          </w:tcPr>
          <w:p w14:paraId="13C22A91">
            <w:pPr>
              <w:widowControl/>
              <w:jc w:val="center"/>
              <w:textAlignment w:val="center"/>
              <w:rPr>
                <w:rFonts w:ascii="宋体" w:hAnsi="宋体" w:eastAsia="宋体" w:cs="仿宋"/>
                <w:color w:val="000000"/>
                <w:kern w:val="0"/>
                <w:sz w:val="32"/>
                <w:szCs w:val="32"/>
              </w:rPr>
            </w:pPr>
            <w:r>
              <w:rPr>
                <w:rFonts w:hint="eastAsia" w:ascii="宋体" w:hAnsi="宋体" w:eastAsia="宋体" w:cs="仿宋"/>
                <w:color w:val="000000"/>
                <w:kern w:val="0"/>
                <w:sz w:val="32"/>
                <w:szCs w:val="32"/>
              </w:rPr>
              <w:t>中</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E44358">
            <w:pPr>
              <w:widowControl/>
              <w:jc w:val="center"/>
              <w:textAlignment w:val="center"/>
              <w:rPr>
                <w:rFonts w:ascii="宋体" w:hAnsi="宋体" w:eastAsia="宋体" w:cs="仿宋"/>
                <w:color w:val="000000"/>
                <w:kern w:val="0"/>
                <w:sz w:val="32"/>
                <w:szCs w:val="32"/>
              </w:rPr>
            </w:pPr>
            <w:r>
              <w:rPr>
                <w:rFonts w:hint="eastAsia" w:ascii="宋体" w:hAnsi="宋体" w:eastAsia="宋体" w:cs="仿宋"/>
                <w:color w:val="000000"/>
                <w:kern w:val="0"/>
                <w:sz w:val="32"/>
                <w:szCs w:val="32"/>
              </w:rPr>
              <w:t>差</w:t>
            </w:r>
          </w:p>
        </w:tc>
      </w:tr>
      <w:tr w14:paraId="478B3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trPr>
        <w:tc>
          <w:tcPr>
            <w:tcW w:w="1437"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14:paraId="362C9A07">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rPr>
              <w:t>分值</w:t>
            </w:r>
          </w:p>
        </w:tc>
        <w:tc>
          <w:tcPr>
            <w:tcW w:w="2105" w:type="dxa"/>
            <w:tcBorders>
              <w:top w:val="nil"/>
              <w:left w:val="nil"/>
              <w:bottom w:val="single" w:color="000000" w:sz="8" w:space="0"/>
              <w:right w:val="single" w:color="000000" w:sz="8" w:space="0"/>
            </w:tcBorders>
            <w:tcMar>
              <w:top w:w="15" w:type="dxa"/>
              <w:left w:w="15" w:type="dxa"/>
              <w:right w:w="15" w:type="dxa"/>
            </w:tcMar>
            <w:vAlign w:val="center"/>
          </w:tcPr>
          <w:p w14:paraId="0EE6F9C2">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rPr>
              <w:t>≥1</w:t>
            </w:r>
            <w:r>
              <w:rPr>
                <w:rStyle w:val="10"/>
                <w:rFonts w:ascii="宋体" w:hAnsi="宋体" w:eastAsia="宋体"/>
                <w:sz w:val="32"/>
                <w:szCs w:val="32"/>
              </w:rPr>
              <w:t>00%</w:t>
            </w:r>
          </w:p>
        </w:tc>
        <w:tc>
          <w:tcPr>
            <w:tcW w:w="1807" w:type="dxa"/>
            <w:tcBorders>
              <w:top w:val="nil"/>
              <w:left w:val="nil"/>
              <w:bottom w:val="single" w:color="000000" w:sz="8" w:space="0"/>
              <w:right w:val="single" w:color="000000" w:sz="8" w:space="0"/>
            </w:tcBorders>
            <w:tcMar>
              <w:top w:w="15" w:type="dxa"/>
              <w:left w:w="15" w:type="dxa"/>
              <w:right w:w="15" w:type="dxa"/>
            </w:tcMar>
            <w:vAlign w:val="center"/>
          </w:tcPr>
          <w:p w14:paraId="638110F5">
            <w:pPr>
              <w:widowControl/>
              <w:jc w:val="center"/>
              <w:textAlignment w:val="center"/>
              <w:rPr>
                <w:rFonts w:ascii="宋体" w:hAnsi="宋体" w:eastAsia="宋体" w:cs="仿宋"/>
                <w:color w:val="000000"/>
                <w:kern w:val="0"/>
                <w:sz w:val="32"/>
                <w:szCs w:val="32"/>
              </w:rPr>
            </w:pPr>
            <w:r>
              <w:rPr>
                <w:rFonts w:hint="eastAsia" w:ascii="宋体" w:hAnsi="宋体" w:eastAsia="宋体" w:cs="仿宋"/>
                <w:color w:val="000000"/>
                <w:kern w:val="0"/>
                <w:sz w:val="32"/>
                <w:szCs w:val="32"/>
              </w:rPr>
              <w:t>9</w:t>
            </w:r>
            <w:r>
              <w:rPr>
                <w:rFonts w:ascii="宋体" w:hAnsi="宋体" w:eastAsia="宋体"/>
                <w:kern w:val="0"/>
                <w:sz w:val="32"/>
                <w:szCs w:val="32"/>
              </w:rPr>
              <w:t>0%-99%</w:t>
            </w:r>
          </w:p>
        </w:tc>
        <w:tc>
          <w:tcPr>
            <w:tcW w:w="1413" w:type="dxa"/>
            <w:tcBorders>
              <w:top w:val="nil"/>
              <w:left w:val="nil"/>
              <w:bottom w:val="single" w:color="000000" w:sz="8" w:space="0"/>
              <w:right w:val="nil"/>
            </w:tcBorders>
            <w:tcMar>
              <w:top w:w="15" w:type="dxa"/>
              <w:left w:w="15" w:type="dxa"/>
              <w:right w:w="15" w:type="dxa"/>
            </w:tcMar>
            <w:vAlign w:val="center"/>
          </w:tcPr>
          <w:p w14:paraId="768B1B79">
            <w:pPr>
              <w:widowControl/>
              <w:jc w:val="center"/>
              <w:textAlignment w:val="center"/>
              <w:rPr>
                <w:rFonts w:ascii="宋体" w:hAnsi="宋体" w:eastAsia="宋体" w:cs="仿宋"/>
                <w:color w:val="000000"/>
                <w:kern w:val="0"/>
                <w:sz w:val="32"/>
                <w:szCs w:val="32"/>
              </w:rPr>
            </w:pPr>
            <w:r>
              <w:rPr>
                <w:rFonts w:hint="eastAsia" w:ascii="宋体" w:hAnsi="宋体" w:eastAsia="宋体" w:cs="仿宋"/>
                <w:color w:val="000000"/>
                <w:kern w:val="0"/>
                <w:sz w:val="32"/>
                <w:szCs w:val="32"/>
              </w:rPr>
              <w:t>8</w:t>
            </w:r>
            <w:r>
              <w:rPr>
                <w:rFonts w:ascii="宋体" w:hAnsi="宋体" w:eastAsia="宋体"/>
                <w:kern w:val="0"/>
                <w:sz w:val="32"/>
                <w:szCs w:val="32"/>
              </w:rPr>
              <w:t>0%-89%</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9AC043">
            <w:pPr>
              <w:widowControl/>
              <w:jc w:val="center"/>
              <w:textAlignment w:val="center"/>
              <w:rPr>
                <w:rFonts w:ascii="宋体" w:hAnsi="宋体" w:eastAsia="宋体" w:cs="仿宋"/>
                <w:color w:val="000000"/>
                <w:kern w:val="0"/>
                <w:sz w:val="32"/>
                <w:szCs w:val="32"/>
              </w:rPr>
            </w:pPr>
            <w:r>
              <w:rPr>
                <w:rFonts w:hint="eastAsia" w:ascii="宋体" w:hAnsi="宋体" w:eastAsia="宋体" w:cs="仿宋"/>
                <w:color w:val="000000"/>
                <w:kern w:val="0"/>
                <w:sz w:val="32"/>
                <w:szCs w:val="32"/>
              </w:rPr>
              <w:t>&lt;80%</w:t>
            </w:r>
          </w:p>
        </w:tc>
      </w:tr>
    </w:tbl>
    <w:p w14:paraId="43FB004C">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（二）执行绩效监控情况。</w:t>
      </w:r>
    </w:p>
    <w:p w14:paraId="778547AF">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14:paraId="1B2E1C81">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（三）资金管理情况。</w:t>
      </w:r>
    </w:p>
    <w:p w14:paraId="0D114B7D">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项目资金全部为县级资金，已全部到位。项目实施后，资金实际支出100%。</w:t>
      </w:r>
    </w:p>
    <w:p w14:paraId="741347DE">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（四）绩效管理制度建设及执行情况。</w:t>
      </w:r>
    </w:p>
    <w:p w14:paraId="0D55A762">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认真落实上级绩效管理相关制度，细化内控制度，强化管理执行，确保严格落实到位。</w:t>
      </w:r>
    </w:p>
    <w:p w14:paraId="1946883B">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（五）风险管理情况。</w:t>
      </w:r>
    </w:p>
    <w:p w14:paraId="05E50FA4">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建立风险评估机制，成立风险评估小组，对项目活动存在的风险进行全面、系统和客观评估，实施监督项目进展。</w:t>
      </w:r>
    </w:p>
    <w:p w14:paraId="3BE55EFA">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四、工作活动(项目)绩效自评情况</w:t>
      </w:r>
    </w:p>
    <w:p w14:paraId="2D0FF2C1">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（一）工作活动(项目)自评组织情况。</w:t>
      </w:r>
    </w:p>
    <w:p w14:paraId="13200AC6">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成立了由单位主管领导任组长，单位财务科室主管任副组长财务工作人员为成员的3人工作项目自评小组，负责项目的绩效自评，确保自评工作的客观、真实、全面。</w:t>
      </w:r>
    </w:p>
    <w:p w14:paraId="7DC3B896">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（二）工作活动(项目)评价结果。</w:t>
      </w:r>
    </w:p>
    <w:p w14:paraId="702327EC">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根据相关要求，对照绩效目标和相关指标，经认真自评，该项目得分100分，属于优秀等次。</w:t>
      </w:r>
    </w:p>
    <w:p w14:paraId="02D6F915">
      <w:pPr>
        <w:widowControl/>
        <w:ind w:firstLine="312" w:firstLineChars="97"/>
        <w:rPr>
          <w:rFonts w:ascii="黑体" w:hAnsi="黑体" w:eastAsia="黑体" w:cs="宋体"/>
          <w:b/>
          <w:bCs/>
          <w:kern w:val="0"/>
          <w:sz w:val="32"/>
          <w:szCs w:val="32"/>
        </w:rPr>
      </w:pPr>
      <w:r>
        <w:rPr>
          <w:rFonts w:hint="eastAsia" w:ascii="黑体" w:hAnsi="黑体" w:eastAsia="黑体" w:cs="宋体"/>
          <w:b/>
          <w:bCs/>
          <w:kern w:val="0"/>
          <w:sz w:val="32"/>
          <w:szCs w:val="32"/>
        </w:rPr>
        <w:t>五、工作活动(项目)存在的问题、改进工作的意见及建议</w:t>
      </w:r>
    </w:p>
    <w:p w14:paraId="34D7E32C">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（一）工作活动(项目)实现绩效目标过程中存在的问题。</w:t>
      </w:r>
    </w:p>
    <w:p w14:paraId="1A898063">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滨河路西延节点绿化项目涉及到农户房屋拆迁，占地补偿等，因小麦已种植到耕地中，工作难度较大。</w:t>
      </w:r>
    </w:p>
    <w:p w14:paraId="7314D8EB">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（二）工作活动(项目)实施中改进意见及措施。</w:t>
      </w:r>
    </w:p>
    <w:p w14:paraId="57D26503">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突出问题导向和结果导向，一是坚持政府领导，统一思想，进一步强化村级责任意识，支部书记负总责，两委干部具体落实，层层传导压力，强化工作合力，协调联动落实。二是健全完善工作机制，进一明确村两委职责和村级事务年度目标，实行定期调度推进制度。</w:t>
      </w:r>
    </w:p>
    <w:p w14:paraId="585C0EBE">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（三）建议。</w:t>
      </w:r>
    </w:p>
    <w:p w14:paraId="3296322A">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一是县财政部门加大对绩效预算管理改革和绩效自评相关内容学习培训，进一步各单位提升工作人员绩效评价业务水平，促进高质量财政建设。</w:t>
      </w:r>
    </w:p>
    <w:p w14:paraId="73F929A1">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14:paraId="08AE2B4F">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三是严格执行资金申报，强化资金保障。规范项目申报管理，严格要求项目申报单位按规定提供申报材料、填报项目绩效目标，对不合规的项目申报材料不予受理。</w:t>
      </w:r>
    </w:p>
    <w:p w14:paraId="43FA8F9D">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Lucida Sans">
    <w:panose1 w:val="020B0602030504020204"/>
    <w:charset w:val="00"/>
    <w:family w:val="auto"/>
    <w:pitch w:val="default"/>
    <w:sig w:usb0="00000003" w:usb1="00000000" w:usb2="00000000" w:usb3="00000000" w:csb0="20000001" w:csb1="00000000"/>
  </w:font>
  <w:font w:name="Arial">
    <w:panose1 w:val="020B0604020202020204"/>
    <w:charset w:val="00"/>
    <w:family w:val="auto"/>
    <w:pitch w:val="default"/>
    <w:sig w:usb0="E0002EFF" w:usb1="C000785B" w:usb2="00000009" w:usb3="00000000" w:csb0="400001FF" w:csb1="FFFF0000"/>
  </w:font>
  <w:font w:name="文泉驿微米黑">
    <w:altName w:val="黑体"/>
    <w:panose1 w:val="020B0606030804020204"/>
    <w:charset w:val="86"/>
    <w:family w:val="auto"/>
    <w:pitch w:val="default"/>
    <w:sig w:usb0="00000000" w:usb1="00000000" w:usb2="00800036" w:usb3="00000000" w:csb0="603E019F" w:csb1="DFD7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UwN2VjYjRjODZlZTA4YTFlNDAwZGFlODhhNTZhN2EifQ=="/>
  </w:docVars>
  <w:rsids>
    <w:rsidRoot w:val="00000000"/>
    <w:rsid w:val="4401409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文泉驿微米黑" w:hAnsi="文泉驿微米黑"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5">
    <w:name w:val="footer"/>
    <w:basedOn w:val="1"/>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List Paragraph"/>
    <w:basedOn w:val="1"/>
    <w:qFormat/>
    <w:uiPriority w:val="0"/>
    <w:pPr>
      <w:ind w:firstLine="200" w:firstLineChars="200"/>
    </w:pPr>
  </w:style>
  <w:style w:type="character" w:customStyle="1" w:styleId="10">
    <w:name w:val="font41"/>
    <w:qFormat/>
    <w:uiPriority w:val="0"/>
    <w:rPr>
      <w:rFonts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F3DB08AD-A146-4C4F-BCC1-8F68BF479278}">
  <ds:schemaRefs/>
</ds:datastoreItem>
</file>

<file path=docProps/app.xml><?xml version="1.0" encoding="utf-8"?>
<Properties xmlns="http://schemas.openxmlformats.org/officeDocument/2006/extended-properties" xmlns:vt="http://schemas.openxmlformats.org/officeDocument/2006/docPropsVTypes">
  <Template>Normal.eit</Template>
  <Pages>6</Pages>
  <Words>2189</Words>
  <Characters>2252</Characters>
  <Lines>0</Lines>
  <Paragraphs>48</Paragraphs>
  <TotalTime>167</TotalTime>
  <ScaleCrop>false</ScaleCrop>
  <LinksUpToDate>false</LinksUpToDate>
  <CharactersWithSpaces>2267</CharactersWithSpaces>
  <Application>WPS Office_12.1.0.18608_F1E327BC-269C-435d-A152-05C5408002CA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2022-03-02T02:51:00Z</dcterms:created>
  <dc:creator>lenovo</dc:creator>
  <cp:lastModifiedBy>李孟泽</cp:lastModifiedBy>
  <cp:lastPrinted>2022-03-03T03:27:00Z</cp:lastPrinted>
  <dcterms:modified xsi:type="dcterms:W3CDTF">2024-10-29T08:46:51Z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4AE5E933AAD54EFFACBE0E0D767E3CA9_13</vt:lpwstr>
  </property>
</Properties>
</file>