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hint="eastAsia"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隆尧县统计局202</w:t>
      </w:r>
      <w:r>
        <w:rPr>
          <w:rFonts w:hint="eastAsia" w:ascii="Times New Roman" w:hAnsi="Times New Roman" w:eastAsia="方正小标宋_GBK" w:cs="方正小标宋_GBK"/>
          <w:sz w:val="44"/>
          <w:szCs w:val="44"/>
          <w:lang w:val="en-US" w:eastAsia="zh-CN"/>
        </w:rPr>
        <w:t>1</w:t>
      </w:r>
      <w:r>
        <w:rPr>
          <w:rFonts w:hint="eastAsia" w:ascii="Times New Roman" w:hAnsi="Times New Roman" w:eastAsia="方正小标宋_GBK" w:cs="方正小标宋_GBK"/>
          <w:sz w:val="44"/>
          <w:szCs w:val="44"/>
        </w:rPr>
        <w:t>年部门预算信息</w:t>
      </w:r>
    </w:p>
    <w:p>
      <w:pPr>
        <w:jc w:val="center"/>
        <w:rPr>
          <w:rFonts w:hint="eastAsia"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公开情况说明</w:t>
      </w:r>
    </w:p>
    <w:p>
      <w:pPr>
        <w:jc w:val="center"/>
        <w:rPr>
          <w:rFonts w:ascii="Times New Roman" w:hAnsi="Times New Roman" w:eastAsia="方正小标宋_GBK" w:cs="Times New Roman"/>
          <w:sz w:val="44"/>
          <w:szCs w:val="44"/>
        </w:rPr>
      </w:pP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按照《预算法》、《地方预决算公开操作规程》和《河北省省级预算公开办法》规定，现将隆尧县统计局202</w:t>
      </w:r>
      <w:r>
        <w:rPr>
          <w:rFonts w:hint="eastAsia" w:ascii="仿宋" w:hAnsi="仿宋" w:eastAsia="仿宋" w:cs="仿宋"/>
          <w:sz w:val="32"/>
          <w:szCs w:val="32"/>
          <w:lang w:val="en-US" w:eastAsia="zh-CN"/>
        </w:rPr>
        <w:t>1</w:t>
      </w:r>
      <w:r>
        <w:rPr>
          <w:rFonts w:hint="eastAsia" w:ascii="仿宋" w:hAnsi="仿宋" w:eastAsia="仿宋" w:cs="仿宋"/>
          <w:sz w:val="32"/>
          <w:szCs w:val="32"/>
        </w:rPr>
        <w:t>年部门预算公开如下：</w:t>
      </w:r>
    </w:p>
    <w:p>
      <w:pPr>
        <w:ind w:firstLine="640"/>
        <w:rPr>
          <w:rFonts w:hint="eastAsia" w:ascii="黑体" w:hAnsi="黑体" w:eastAsia="黑体" w:cs="黑体"/>
          <w:sz w:val="32"/>
          <w:szCs w:val="32"/>
        </w:rPr>
      </w:pPr>
      <w:r>
        <w:rPr>
          <w:rFonts w:hint="eastAsia" w:ascii="黑体" w:hAnsi="黑体" w:eastAsia="黑体" w:cs="黑体"/>
          <w:sz w:val="32"/>
          <w:szCs w:val="32"/>
        </w:rPr>
        <w:t>一、部门职责及机构设置情况</w:t>
      </w:r>
    </w:p>
    <w:p>
      <w:pPr>
        <w:widowControl/>
        <w:spacing w:line="580" w:lineRule="atLeast"/>
        <w:ind w:firstLine="643" w:firstLineChars="200"/>
        <w:jc w:val="left"/>
        <w:rPr>
          <w:rFonts w:hint="eastAsia" w:ascii="仿宋" w:hAnsi="仿宋" w:eastAsia="仿宋" w:cs="仿宋"/>
          <w:b/>
          <w:bCs/>
          <w:sz w:val="32"/>
          <w:szCs w:val="32"/>
        </w:rPr>
      </w:pPr>
      <w:r>
        <w:rPr>
          <w:rFonts w:hint="eastAsia" w:ascii="仿宋" w:hAnsi="仿宋" w:eastAsia="仿宋" w:cs="仿宋"/>
          <w:b/>
          <w:bCs/>
          <w:sz w:val="32"/>
          <w:szCs w:val="32"/>
        </w:rPr>
        <w:t>部门职责：</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（一）贯彻执行国家、省、市统计工作的方针政策、法律法规和规章，制订全县相关政策措施和管理办法，经县政府批准后组织实施。 </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（二）制定县市统计改革、统计现代化建设规划、统计调查计划和地方统计调查标准、统计调查制度，监督检查统计法律、法规实施情况，指导全县统计工作。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（三）承担组织领导和协调管理全县统计工作，确保统计数据真实、准确、及时的责任。</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（四）贯彻执行国家国民经济核算制度，组织落实全县国民经济核算制度和投入产出调查，核算全县地区生产总值，整理、测算和提供国民经济核算资料，监督管理全县国民经济核算工作。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（五）组织完成国家和省部署的国情国力普查及重要调查任务；研究提出重大县情县力普查和抽样调查计划并组织实施，汇总、整理和提供有关县情县力方面的统计数据。</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(七)组织实施社会发展水平、县域经济发展、节能降耗、城镇化发展、全面小康及农村小康建设进程、农村贫困、资源循环利用、妇女儿童、企业景气等统计监测，收集、整理和提供统计数据。</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八</w:t>
      </w:r>
      <w:r>
        <w:rPr>
          <w:rFonts w:hint="eastAsia" w:ascii="仿宋" w:hAnsi="仿宋" w:eastAsia="仿宋" w:cs="仿宋"/>
          <w:sz w:val="32"/>
          <w:szCs w:val="32"/>
        </w:rPr>
        <w:t>)综合整理和提供财政、金融、个体、私营以及混合经济税收、出口、地质勘查、文化教育、卫生、社会保障、公用事业、房屋、对外贸易、对内经济技术合作及引进内资等基本统计数据。</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九</w:t>
      </w:r>
      <w:r>
        <w:rPr>
          <w:rFonts w:hint="eastAsia" w:ascii="仿宋" w:hAnsi="仿宋" w:eastAsia="仿宋" w:cs="仿宋"/>
          <w:sz w:val="32"/>
          <w:szCs w:val="32"/>
        </w:rPr>
        <w:t>)组织各乡镇、各部门的经济、社会、科技统计调查，统一核定、管理、公布全县性基本统计资料，定期发布全县国民经济和社会发展情况的统计信息，组织建立统计信息共享制度和发布制度。</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十</w:t>
      </w:r>
      <w:r>
        <w:rPr>
          <w:rFonts w:hint="eastAsia" w:ascii="仿宋" w:hAnsi="仿宋" w:eastAsia="仿宋" w:cs="仿宋"/>
          <w:sz w:val="32"/>
          <w:szCs w:val="32"/>
        </w:rPr>
        <w:t>)对国民经济、社会发展、科技进步等情况进行统计分析、统计预测和统计监督，向县委、县政府及有关部门提供统计信息和咨询建议。</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十一</w:t>
      </w:r>
      <w:r>
        <w:rPr>
          <w:rFonts w:hint="eastAsia" w:ascii="仿宋" w:hAnsi="仿宋" w:eastAsia="仿宋" w:cs="仿宋"/>
          <w:sz w:val="32"/>
          <w:szCs w:val="32"/>
        </w:rPr>
        <w:t>)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十二</w:t>
      </w:r>
      <w:r>
        <w:rPr>
          <w:rFonts w:hint="eastAsia" w:ascii="仿宋" w:hAnsi="仿宋" w:eastAsia="仿宋" w:cs="仿宋"/>
          <w:sz w:val="32"/>
          <w:szCs w:val="32"/>
        </w:rPr>
        <w:t>)贯彻执行国家统计信息库和网络的基本标准和运行规则；管理全县国家统计信息自动化系统和统计数据库体系；管理全县统计数据库网络，指导全县统计信息化系统建设。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十三</w:t>
      </w:r>
      <w:r>
        <w:rPr>
          <w:rFonts w:hint="eastAsia" w:ascii="仿宋" w:hAnsi="仿宋" w:eastAsia="仿宋" w:cs="仿宋"/>
          <w:sz w:val="32"/>
          <w:szCs w:val="32"/>
        </w:rPr>
        <w:t>)协助有关部门组织管理统计专业技术资格考试、职务评聘工作；配合上级统计部门组织管理统计从业资格认定和持证上岗工作；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十四</w:t>
      </w:r>
      <w:r>
        <w:rPr>
          <w:rFonts w:hint="eastAsia" w:ascii="仿宋" w:hAnsi="仿宋" w:eastAsia="仿宋" w:cs="仿宋"/>
          <w:sz w:val="32"/>
          <w:szCs w:val="32"/>
        </w:rPr>
        <w:t>)负责全县经济和社会发展目标监测和考核工作；负责县委、县政府交办的有关统计数字监测与统计考核任务。</w:t>
      </w:r>
    </w:p>
    <w:p>
      <w:pPr>
        <w:spacing w:line="500" w:lineRule="exact"/>
        <w:ind w:firstLine="640" w:firstLineChars="200"/>
        <w:jc w:val="left"/>
        <w:rPr>
          <w:rFonts w:hint="eastAsia" w:ascii="方正仿宋_GBK" w:hAnsi="方正仿宋_GBK" w:cs="宋体"/>
          <w:sz w:val="28"/>
          <w:szCs w:val="28"/>
        </w:rPr>
      </w:pPr>
      <w:r>
        <w:rPr>
          <w:rFonts w:hint="eastAsia" w:ascii="仿宋" w:hAnsi="仿宋" w:eastAsia="仿宋" w:cs="仿宋"/>
          <w:sz w:val="32"/>
          <w:szCs w:val="32"/>
        </w:rPr>
        <w:t>(</w:t>
      </w:r>
      <w:r>
        <w:rPr>
          <w:rFonts w:hint="eastAsia" w:ascii="仿宋" w:hAnsi="仿宋" w:eastAsia="仿宋" w:cs="仿宋"/>
          <w:sz w:val="32"/>
          <w:szCs w:val="32"/>
          <w:lang w:eastAsia="zh-CN"/>
        </w:rPr>
        <w:t>十五</w:t>
      </w:r>
      <w:r>
        <w:rPr>
          <w:rFonts w:hint="eastAsia" w:ascii="仿宋" w:hAnsi="仿宋" w:eastAsia="仿宋" w:cs="仿宋"/>
          <w:sz w:val="32"/>
          <w:szCs w:val="32"/>
        </w:rPr>
        <w:t>)承办市政府交办的其他事项。</w:t>
      </w:r>
    </w:p>
    <w:p>
      <w:pPr>
        <w:autoSpaceDE w:val="0"/>
        <w:autoSpaceDN w:val="0"/>
        <w:adjustRightInd w:val="0"/>
        <w:ind w:firstLine="710" w:firstLineChars="221"/>
        <w:jc w:val="left"/>
        <w:rPr>
          <w:rFonts w:hint="eastAsia" w:ascii="仿宋" w:hAnsi="仿宋" w:eastAsia="仿宋" w:cs="仿宋"/>
          <w:b/>
          <w:bCs/>
          <w:sz w:val="32"/>
          <w:szCs w:val="32"/>
        </w:rPr>
      </w:pPr>
      <w:r>
        <w:rPr>
          <w:rFonts w:hint="eastAsia" w:ascii="仿宋" w:hAnsi="仿宋" w:eastAsia="仿宋" w:cs="仿宋"/>
          <w:b/>
          <w:bCs/>
          <w:sz w:val="32"/>
          <w:szCs w:val="32"/>
        </w:rPr>
        <w:t>机构设置：</w:t>
      </w:r>
    </w:p>
    <w:tbl>
      <w:tblPr>
        <w:tblStyle w:val="9"/>
        <w:tblW w:w="9684"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147"/>
        <w:gridCol w:w="2636"/>
        <w:gridCol w:w="1842"/>
        <w:gridCol w:w="20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47" w:type="dxa"/>
            <w:vAlign w:val="top"/>
          </w:tcPr>
          <w:p>
            <w:pPr>
              <w:autoSpaceDE w:val="0"/>
              <w:autoSpaceDN w:val="0"/>
              <w:adjustRightInd w:val="0"/>
              <w:jc w:val="left"/>
              <w:rPr>
                <w:rFonts w:ascii="方正仿宋_GBK" w:eastAsia="方正仿宋_GBK" w:cs="Times New Roman"/>
                <w:sz w:val="28"/>
                <w:szCs w:val="28"/>
              </w:rPr>
            </w:pPr>
            <w:r>
              <w:rPr>
                <w:rFonts w:hint="eastAsia" w:ascii="Times New Roman" w:hAnsi="Times New Roman" w:eastAsia="方正书宋_GBK" w:cs="方正书宋_GBK"/>
                <w:sz w:val="24"/>
                <w:szCs w:val="24"/>
              </w:rPr>
              <w:t>单位名称</w:t>
            </w:r>
          </w:p>
        </w:tc>
        <w:tc>
          <w:tcPr>
            <w:tcW w:w="2636" w:type="dxa"/>
            <w:vAlign w:val="top"/>
          </w:tcPr>
          <w:p>
            <w:pPr>
              <w:autoSpaceDE w:val="0"/>
              <w:autoSpaceDN w:val="0"/>
              <w:adjustRightInd w:val="0"/>
              <w:jc w:val="left"/>
              <w:rPr>
                <w:rFonts w:ascii="方正仿宋_GBK" w:eastAsia="方正仿宋_GBK" w:cs="Times New Roman"/>
                <w:sz w:val="28"/>
                <w:szCs w:val="28"/>
              </w:rPr>
            </w:pPr>
            <w:r>
              <w:rPr>
                <w:rFonts w:hint="eastAsia" w:ascii="Times New Roman" w:hAnsi="Times New Roman" w:eastAsia="方正书宋_GBK" w:cs="方正书宋_GBK"/>
                <w:sz w:val="24"/>
                <w:szCs w:val="24"/>
              </w:rPr>
              <w:t>单位性质</w:t>
            </w:r>
          </w:p>
        </w:tc>
        <w:tc>
          <w:tcPr>
            <w:tcW w:w="1842" w:type="dxa"/>
            <w:vAlign w:val="top"/>
          </w:tcPr>
          <w:p>
            <w:pPr>
              <w:autoSpaceDE w:val="0"/>
              <w:autoSpaceDN w:val="0"/>
              <w:adjustRightInd w:val="0"/>
              <w:jc w:val="left"/>
              <w:rPr>
                <w:rFonts w:ascii="方正仿宋_GBK" w:eastAsia="方正仿宋_GBK" w:cs="Times New Roman"/>
                <w:sz w:val="28"/>
                <w:szCs w:val="28"/>
              </w:rPr>
            </w:pPr>
            <w:r>
              <w:rPr>
                <w:rFonts w:hint="eastAsia" w:ascii="Times New Roman" w:hAnsi="Times New Roman" w:eastAsia="方正书宋_GBK" w:cs="方正书宋_GBK"/>
                <w:sz w:val="24"/>
                <w:szCs w:val="24"/>
              </w:rPr>
              <w:t>单位规格</w:t>
            </w:r>
          </w:p>
        </w:tc>
        <w:tc>
          <w:tcPr>
            <w:tcW w:w="2059" w:type="dxa"/>
            <w:vAlign w:val="top"/>
          </w:tcPr>
          <w:p>
            <w:pPr>
              <w:autoSpaceDE w:val="0"/>
              <w:autoSpaceDN w:val="0"/>
              <w:adjustRightInd w:val="0"/>
              <w:jc w:val="left"/>
              <w:rPr>
                <w:rFonts w:ascii="方正仿宋_GBK" w:eastAsia="方正仿宋_GBK" w:cs="Times New Roman"/>
                <w:sz w:val="28"/>
                <w:szCs w:val="28"/>
              </w:rPr>
            </w:pPr>
            <w:r>
              <w:rPr>
                <w:rFonts w:hint="eastAsia" w:ascii="Times New Roman" w:hAnsi="Times New Roman" w:eastAsia="方正书宋_GBK" w:cs="方正书宋_GBK"/>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47" w:type="dxa"/>
            <w:vAlign w:val="top"/>
          </w:tcPr>
          <w:p>
            <w:pPr>
              <w:autoSpaceDE w:val="0"/>
              <w:autoSpaceDN w:val="0"/>
              <w:adjustRightInd w:val="0"/>
              <w:jc w:val="left"/>
              <w:rPr>
                <w:rFonts w:hint="eastAsia" w:ascii="方正仿宋_GBK" w:eastAsia="方正仿宋_GBK" w:cs="Times New Roman"/>
                <w:sz w:val="28"/>
                <w:szCs w:val="28"/>
                <w:lang w:eastAsia="zh-CN"/>
              </w:rPr>
            </w:pPr>
            <w:r>
              <w:rPr>
                <w:rFonts w:hint="eastAsia" w:ascii="仿宋_GB2312" w:hAnsi="仿宋_GB2312" w:eastAsia="仿宋_GB2312" w:cs="仿宋_GB2312"/>
                <w:kern w:val="0"/>
                <w:sz w:val="24"/>
                <w:szCs w:val="24"/>
                <w:lang w:eastAsia="zh-CN"/>
              </w:rPr>
              <w:t>隆尧县统计局（机关）</w:t>
            </w:r>
          </w:p>
        </w:tc>
        <w:tc>
          <w:tcPr>
            <w:tcW w:w="2636" w:type="dxa"/>
            <w:vAlign w:val="top"/>
          </w:tcPr>
          <w:p>
            <w:pPr>
              <w:autoSpaceDE w:val="0"/>
              <w:autoSpaceDN w:val="0"/>
              <w:adjustRightInd w:val="0"/>
              <w:jc w:val="left"/>
              <w:rPr>
                <w:rFonts w:ascii="方正仿宋_GBK" w:eastAsia="方正仿宋_GBK" w:cs="Times New Roman"/>
                <w:sz w:val="28"/>
                <w:szCs w:val="28"/>
              </w:rPr>
            </w:pPr>
            <w:r>
              <w:rPr>
                <w:rFonts w:hint="eastAsia" w:ascii="仿宋_GB2312" w:hAnsi="仿宋_GB2312" w:eastAsia="仿宋_GB2312" w:cs="仿宋_GB2312"/>
                <w:kern w:val="0"/>
                <w:sz w:val="24"/>
                <w:szCs w:val="24"/>
              </w:rPr>
              <w:t>行政</w:t>
            </w:r>
          </w:p>
        </w:tc>
        <w:tc>
          <w:tcPr>
            <w:tcW w:w="1842" w:type="dxa"/>
            <w:vAlign w:val="top"/>
          </w:tcPr>
          <w:p>
            <w:pPr>
              <w:autoSpaceDE w:val="0"/>
              <w:autoSpaceDN w:val="0"/>
              <w:adjustRightInd w:val="0"/>
              <w:jc w:val="left"/>
              <w:rPr>
                <w:rFonts w:ascii="方正仿宋_GBK" w:eastAsia="方正仿宋_GBK" w:cs="Times New Roman"/>
                <w:sz w:val="28"/>
                <w:szCs w:val="28"/>
              </w:rPr>
            </w:pPr>
            <w:r>
              <w:rPr>
                <w:rFonts w:hint="eastAsia" w:ascii="仿宋_GB2312" w:hAnsi="仿宋_GB2312" w:eastAsia="仿宋_GB2312" w:cs="仿宋_GB2312"/>
                <w:kern w:val="0"/>
                <w:sz w:val="24"/>
                <w:szCs w:val="24"/>
              </w:rPr>
              <w:t>正科级</w:t>
            </w:r>
          </w:p>
        </w:tc>
        <w:tc>
          <w:tcPr>
            <w:tcW w:w="2059" w:type="dxa"/>
            <w:vAlign w:val="top"/>
          </w:tcPr>
          <w:p>
            <w:pPr>
              <w:autoSpaceDE w:val="0"/>
              <w:autoSpaceDN w:val="0"/>
              <w:adjustRightInd w:val="0"/>
              <w:jc w:val="left"/>
              <w:rPr>
                <w:rFonts w:ascii="方正仿宋_GBK" w:eastAsia="方正仿宋_GBK" w:cs="Times New Roman"/>
                <w:sz w:val="28"/>
                <w:szCs w:val="28"/>
              </w:rPr>
            </w:pPr>
            <w:r>
              <w:rPr>
                <w:rFonts w:hint="eastAsia" w:ascii="仿宋_GB2312" w:hAnsi="仿宋_GB2312" w:eastAsia="仿宋_GB2312" w:cs="仿宋_GB2312"/>
                <w:kern w:val="0"/>
                <w:sz w:val="24"/>
                <w:szCs w:val="24"/>
              </w:rPr>
              <w:t>财政拨款</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按照预算管理有关规定，目前我县部门预算的编制实行综合预算管理，即全部收入和支出都反映的预算。隆尧县统计局的收支包含在部门预算中。</w:t>
      </w:r>
    </w:p>
    <w:p>
      <w:pPr>
        <w:ind w:firstLine="640"/>
        <w:rPr>
          <w:rFonts w:ascii="Times New Roman" w:hAnsi="Times New Roman" w:eastAsia="仿宋" w:cs="Times New Roman"/>
          <w:b w:val="0"/>
          <w:bCs w:val="0"/>
          <w:sz w:val="32"/>
          <w:szCs w:val="32"/>
        </w:rPr>
      </w:pPr>
      <w:r>
        <w:rPr>
          <w:rFonts w:ascii="Times New Roman" w:hAnsi="Times New Roman" w:eastAsia="仿宋" w:cs="Times New Roman"/>
          <w:b w:val="0"/>
          <w:bCs w:val="0"/>
          <w:sz w:val="32"/>
          <w:szCs w:val="32"/>
        </w:rPr>
        <w:t>1</w:t>
      </w:r>
      <w:r>
        <w:rPr>
          <w:rFonts w:hint="eastAsia" w:ascii="Times New Roman" w:hAnsi="Times New Roman" w:eastAsia="仿宋" w:cs="仿宋"/>
          <w:b w:val="0"/>
          <w:bCs w:val="0"/>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hint="eastAsia" w:ascii="Times New Roman" w:hAnsi="Times New Roman" w:eastAsia="仿宋" w:cs="Times New Roman"/>
          <w:sz w:val="32"/>
          <w:szCs w:val="32"/>
          <w:lang w:val="en-US" w:eastAsia="zh-CN"/>
        </w:rPr>
        <w:t>2021</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lang w:val="en-US" w:eastAsia="zh-CN"/>
        </w:rPr>
        <w:t>266.72</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lang w:val="en-US" w:eastAsia="zh-CN"/>
        </w:rPr>
        <w:t>266.72</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收支预算总表支出栏、基本支出表、项目支出表按经济分类和支出功能分类科目编制，反映隆尧县统计局年度部门预算中支出预算的总体情况。</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lang w:val="en-US" w:eastAsia="zh-CN"/>
        </w:rPr>
        <w:t>266.72</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lang w:val="en-US" w:eastAsia="zh-CN"/>
        </w:rPr>
        <w:t>139.96</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lang w:val="en-US" w:eastAsia="zh-CN"/>
        </w:rPr>
        <w:t>122.11</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lang w:val="en-US" w:eastAsia="zh-CN"/>
        </w:rPr>
        <w:t>17.85</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lang w:val="en-US" w:eastAsia="zh-CN"/>
        </w:rPr>
        <w:t>126.76</w:t>
      </w:r>
      <w:r>
        <w:rPr>
          <w:rFonts w:hint="eastAsia" w:ascii="Times New Roman" w:hAnsi="Times New Roman" w:eastAsia="仿宋" w:cs="仿宋"/>
          <w:sz w:val="32"/>
          <w:szCs w:val="32"/>
        </w:rPr>
        <w:t>万元，主要为统计信息事务</w:t>
      </w:r>
      <w:r>
        <w:rPr>
          <w:rFonts w:hint="eastAsia" w:ascii="Times New Roman" w:hAnsi="Times New Roman" w:eastAsia="仿宋" w:cs="Times New Roman"/>
          <w:sz w:val="32"/>
          <w:szCs w:val="32"/>
          <w:lang w:val="en-US" w:eastAsia="zh-CN"/>
        </w:rPr>
        <w:t>126.76</w:t>
      </w:r>
      <w:r>
        <w:rPr>
          <w:rFonts w:hint="eastAsia" w:ascii="Times New Roman" w:hAnsi="Times New Roman" w:eastAsia="仿宋" w:cs="仿宋"/>
          <w:sz w:val="32"/>
          <w:szCs w:val="32"/>
        </w:rPr>
        <w:t>万元。</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比上年增减情况</w:t>
      </w:r>
    </w:p>
    <w:p>
      <w:pPr>
        <w:rPr>
          <w:rFonts w:ascii="Times New Roman" w:hAnsi="Times New Roman" w:eastAsia="仿宋" w:cs="Times New Roman"/>
          <w:sz w:val="32"/>
          <w:szCs w:val="32"/>
        </w:rPr>
      </w:pPr>
      <w:r>
        <w:rPr>
          <w:rFonts w:ascii="Times New Roman" w:hAnsi="Times New Roman" w:eastAsia="仿宋" w:cs="Times New Roman"/>
          <w:color w:val="000000"/>
          <w:sz w:val="32"/>
          <w:szCs w:val="32"/>
        </w:rPr>
        <w:t xml:space="preserve">    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lang w:val="en-US" w:eastAsia="zh-CN"/>
        </w:rPr>
        <w:t>266.72</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w:t>
      </w:r>
      <w:r>
        <w:rPr>
          <w:rFonts w:hint="eastAsia" w:ascii="Times New Roman" w:hAnsi="Times New Roman" w:eastAsia="仿宋" w:cs="仿宋"/>
          <w:sz w:val="32"/>
          <w:szCs w:val="32"/>
          <w:lang w:eastAsia="zh-CN"/>
        </w:rPr>
        <w:t>增加</w:t>
      </w:r>
      <w:r>
        <w:rPr>
          <w:rFonts w:hint="eastAsia" w:ascii="Times New Roman" w:hAnsi="Times New Roman" w:eastAsia="仿宋" w:cs="Times New Roman"/>
          <w:sz w:val="32"/>
          <w:szCs w:val="32"/>
          <w:lang w:val="en-US" w:eastAsia="zh-CN"/>
        </w:rPr>
        <w:t>42.01</w:t>
      </w:r>
      <w:r>
        <w:rPr>
          <w:rFonts w:hint="eastAsia" w:ascii="Times New Roman" w:hAnsi="Times New Roman" w:eastAsia="仿宋" w:cs="仿宋"/>
          <w:sz w:val="32"/>
          <w:szCs w:val="32"/>
        </w:rPr>
        <w:t>万元，其中：基本支出</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lang w:val="en-US" w:eastAsia="zh-CN"/>
        </w:rPr>
        <w:t>3.86</w:t>
      </w:r>
      <w:r>
        <w:rPr>
          <w:rFonts w:hint="eastAsia" w:ascii="Times New Roman" w:hAnsi="Times New Roman" w:eastAsia="仿宋" w:cs="仿宋"/>
          <w:sz w:val="32"/>
          <w:szCs w:val="32"/>
        </w:rPr>
        <w:t>万元，主要是人员</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rPr>
        <w:t>，相应</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rPr>
        <w:t>人员经费和日常公用经费；项目支出</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lang w:val="en-US" w:eastAsia="zh-CN"/>
        </w:rPr>
        <w:t>38.15</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主要是开展第七次全国人口普查经费开支</w:t>
      </w:r>
      <w:r>
        <w:rPr>
          <w:rFonts w:hint="eastAsia" w:ascii="Times New Roman" w:hAnsi="Times New Roman" w:eastAsia="仿宋" w:cs="仿宋"/>
          <w:sz w:val="32"/>
          <w:szCs w:val="32"/>
        </w:rPr>
        <w:t>。</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lang w:val="en-US" w:eastAsia="zh-CN"/>
        </w:rPr>
        <w:t>17.85</w:t>
      </w:r>
      <w:r>
        <w:rPr>
          <w:rFonts w:hint="eastAsia" w:ascii="Times New Roman" w:hAnsi="Times New Roman" w:eastAsia="仿宋" w:cs="仿宋"/>
          <w:sz w:val="32"/>
          <w:szCs w:val="32"/>
        </w:rPr>
        <w:t>万元，主要用于保证机关正常运转的办公费、邮电费、福利费、工会经费</w:t>
      </w:r>
      <w:r>
        <w:rPr>
          <w:rFonts w:hint="eastAsia" w:ascii="Times New Roman" w:hAnsi="Times New Roman" w:eastAsia="仿宋" w:cs="仿宋"/>
          <w:sz w:val="32"/>
          <w:szCs w:val="32"/>
          <w:lang w:eastAsia="zh-CN"/>
        </w:rPr>
        <w:t>、交通费用</w:t>
      </w:r>
      <w:r>
        <w:rPr>
          <w:rFonts w:hint="eastAsia" w:ascii="Times New Roman" w:hAnsi="Times New Roman" w:eastAsia="仿宋" w:cs="仿宋"/>
          <w:sz w:val="32"/>
          <w:szCs w:val="32"/>
        </w:rPr>
        <w:t>等支出。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年，我部门财政拨款“三公”经费预算安排</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 xml:space="preserve"> </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五、</w:t>
      </w:r>
      <w:r>
        <w:rPr>
          <w:rFonts w:hint="eastAsia" w:ascii="黑体" w:hAnsi="黑体" w:eastAsia="黑体" w:cs="黑体"/>
          <w:sz w:val="32"/>
          <w:szCs w:val="32"/>
          <w:lang w:eastAsia="zh-CN"/>
        </w:rPr>
        <w:t>预算绩效</w:t>
      </w:r>
      <w:r>
        <w:rPr>
          <w:rFonts w:hint="eastAsia" w:ascii="黑体" w:hAnsi="黑体" w:eastAsia="黑体" w:cs="黑体"/>
          <w:sz w:val="32"/>
          <w:szCs w:val="32"/>
        </w:rPr>
        <w:t>信息</w:t>
      </w:r>
    </w:p>
    <w:p>
      <w:pPr>
        <w:autoSpaceDE w:val="0"/>
        <w:autoSpaceDN w:val="0"/>
        <w:adjustRightInd w:val="0"/>
        <w:ind w:firstLine="643" w:firstLineChars="200"/>
        <w:jc w:val="left"/>
        <w:rPr>
          <w:rFonts w:hint="eastAsia" w:ascii="仿宋" w:hAnsi="仿宋" w:eastAsia="仿宋" w:cs="仿宋"/>
          <w:b/>
          <w:bCs/>
          <w:sz w:val="32"/>
          <w:szCs w:val="32"/>
        </w:rPr>
      </w:pPr>
      <w:bookmarkStart w:id="0" w:name="_Toc471398463"/>
      <w:r>
        <w:rPr>
          <w:rFonts w:hint="eastAsia" w:ascii="仿宋" w:hAnsi="仿宋" w:eastAsia="仿宋" w:cs="仿宋"/>
          <w:b/>
          <w:bCs/>
          <w:sz w:val="32"/>
          <w:szCs w:val="32"/>
        </w:rPr>
        <w:t>总体绩效目标：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我局将在县委、县政府的正确领导下，紧紧围绕“11446”发展战略和“135”发展布局，以服务全县经济发展为宗旨，以提高统计基础工作和数据质量为主线，加强统计调查、提高统计数据质量、提升统计服务水平，积极为县委、县政府决策提供服务，圆满完成各项工作任务。</w:t>
      </w:r>
    </w:p>
    <w:p>
      <w:pPr>
        <w:spacing w:line="500" w:lineRule="exact"/>
        <w:ind w:firstLine="643" w:firstLineChars="200"/>
        <w:jc w:val="left"/>
        <w:outlineLvl w:val="1"/>
        <w:rPr>
          <w:rFonts w:hint="eastAsia" w:ascii="仿宋" w:hAnsi="仿宋" w:eastAsia="仿宋" w:cs="仿宋"/>
          <w:sz w:val="32"/>
          <w:szCs w:val="32"/>
        </w:rPr>
      </w:pPr>
      <w:r>
        <w:rPr>
          <w:rFonts w:hint="eastAsia" w:ascii="仿宋" w:hAnsi="仿宋" w:eastAsia="仿宋" w:cs="仿宋"/>
          <w:b/>
          <w:bCs/>
          <w:sz w:val="32"/>
          <w:szCs w:val="32"/>
        </w:rPr>
        <w:t>分项绩效目标</w:t>
      </w:r>
      <w:bookmarkStart w:id="1" w:name="_Toc15645"/>
      <w:bookmarkStart w:id="2" w:name="_Toc22970"/>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tc "??????" \f A \l 01</w:instrText>
      </w:r>
      <w:r>
        <w:rPr>
          <w:rFonts w:hint="eastAsia" w:ascii="仿宋" w:hAnsi="仿宋" w:eastAsia="仿宋" w:cs="仿宋"/>
          <w:sz w:val="32"/>
          <w:szCs w:val="32"/>
        </w:rPr>
        <w:fldChar w:fldCharType="end"/>
      </w:r>
      <w:bookmarkEnd w:id="1"/>
      <w:bookmarkEnd w:id="2"/>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(一）做好第七次全国人口普查工作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2020年是第七次全国人口普查年，我局按照国家、省、市有关部署开展第七次全国人口普查相关工作，本次人口普查将彻查全县人口出生变动情况以及房屋情况，为政府决策提供数据参考。</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(二)做好我县小康监测工作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继续将强化责任放在突出位置，精心筹划，周密组织，立足工作实际，责任到人，确保圆满完成明年小康监测各项报表上报及数据对比工作。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(三)继续做好扶贫攻坚工作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继续做好精准扶贫攻坚工作，完成县下达脱贫工作任务，进一步激发贫困人口脱贫致富的内生动力，坚定脱贫攻坚战的信心和决心，巩固</w:t>
      </w:r>
      <w:r>
        <w:rPr>
          <w:rFonts w:hint="eastAsia" w:ascii="仿宋" w:hAnsi="仿宋" w:eastAsia="仿宋" w:cs="仿宋"/>
          <w:sz w:val="32"/>
          <w:szCs w:val="32"/>
          <w:lang w:val="en-US" w:eastAsia="zh-CN"/>
        </w:rPr>
        <w:t>拓展</w:t>
      </w:r>
      <w:r>
        <w:rPr>
          <w:rFonts w:hint="eastAsia" w:ascii="仿宋" w:hAnsi="仿宋" w:eastAsia="仿宋" w:cs="仿宋"/>
          <w:sz w:val="32"/>
          <w:szCs w:val="32"/>
        </w:rPr>
        <w:t>脱贫攻坚成果。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(四)进一步加强机关党风廉政建设工作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是加强廉政学习。准确把握党风廉政建设的新形势、新要求，定期组织局党组成员学习中央、省、市关于党风廉政建设的各类文件和相关精神，深化提高全体党员干部对党风廉政工作的认识，对上级党风廉政建设相关精神读懂、吃透。二是强化主体责任落实。定期召开党风廉政建设工作会，部署机关党风廉政建设工作，明确工作目标、工作计划，建立工作台账。局党组在重大节日前向所有党员干部发出廉政提醒，定期为党员干部上党课，提醒党员干部牢记使命、警钟长鸣。三是改进工作作风。坚持作风建设重点抓、经常抓、长期抓、深入抓，进一步严明纪律要求，完善机关各项制度，强化干部管理，确保我县统计队伍的长期纯洁，为全县经济社会发展提供强有力的统计支持。</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(五)全面做好党建工作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是抓理论学习，提高理论素养。严格执行“三会一课”制度，制定切实可行学习计划，明确学习目的，促进全体党员的理论学习，提高全体干部职工的理论素养。二是抓思想教育，提高党性认识。通过召开专题民主生活会和组织生活会，深刻剖析查找问题，使党员干部时刻清醒坚定政治信念。三是加强组织建设，增强党组织的凝聚力和战斗力。重点在发展党员工作、教育实践活动、党内政治生活和制度建设质量等方面下功夫，强化政治引领，发挥好党员先锋模范作用，带领全体干部职工自觉贯彻执行县委、县政府下达的各项重大部署和工作任务，确保正确方向，务求落到实处。</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(六）加强意识形态建设工作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认真把握“经济建设是党的工作重心，意识形态工作是党的一项极其重要的工作”的内涵，根据县委、县政府要求，围绕统计工作任务，找准立足点，发挥思想引领、舆论推动、精神激励的重要作用，扎实做好意识形态工作。</w:t>
      </w:r>
    </w:p>
    <w:p>
      <w:pPr>
        <w:spacing w:line="500" w:lineRule="exact"/>
        <w:ind w:firstLine="643" w:firstLineChars="200"/>
        <w:jc w:val="left"/>
        <w:outlineLvl w:val="1"/>
        <w:rPr>
          <w:rFonts w:hint="eastAsia" w:ascii="仿宋" w:hAnsi="仿宋" w:eastAsia="仿宋" w:cs="仿宋"/>
          <w:sz w:val="32"/>
          <w:szCs w:val="32"/>
        </w:rPr>
      </w:pPr>
      <w:r>
        <w:rPr>
          <w:rFonts w:hint="eastAsia" w:ascii="仿宋" w:hAnsi="仿宋" w:eastAsia="仿宋" w:cs="仿宋"/>
          <w:b/>
          <w:bCs/>
          <w:sz w:val="32"/>
          <w:szCs w:val="32"/>
        </w:rPr>
        <w:t>工作保障措施</w:t>
      </w:r>
      <w:bookmarkStart w:id="10" w:name="_GoBack"/>
      <w:bookmarkEnd w:id="10"/>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继继续围绕全县经济发展，扎实做好各项经济指标统计工作。严格遵照各项统计调查制度，认真组织实施好农业、工业、贸易、能源、投资、建筑、房地产、劳动工资等涉及各行业各领域的统计调查。完成农业、工业、服务业等专业年报和月报、季报工作。在调查工作中将以高度的政治责任感，严把源头数据质量，强化数据审核评估，严格执行联网直报各项规定，恪守“四条红线”，确保上报数据真实可靠。</w:t>
      </w: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ascii="方正仿宋_GBK" w:hAnsi="方正仿宋_GBK" w:eastAsia="方正仿宋_GBK" w:cs="Times New Roman"/>
          <w:b/>
          <w:bCs/>
          <w:sz w:val="28"/>
          <w:szCs w:val="28"/>
        </w:rPr>
      </w:pPr>
      <w:r>
        <w:rPr>
          <w:rFonts w:hint="eastAsia" w:ascii="仿宋" w:hAnsi="仿宋" w:eastAsia="仿宋" w:cs="仿宋"/>
          <w:b/>
          <w:bCs/>
          <w:sz w:val="32"/>
          <w:szCs w:val="32"/>
        </w:rPr>
        <w:t>预算项目绩效目标</w:t>
      </w:r>
    </w:p>
    <w:p>
      <w:pPr>
        <w:ind w:firstLine="640" w:firstLineChars="200"/>
        <w:jc w:val="left"/>
        <w:outlineLvl w:val="3"/>
        <w:rPr>
          <w:rFonts w:ascii="Times New Roman" w:hAnsi="宋体"/>
          <w:b/>
          <w:sz w:val="28"/>
        </w:rPr>
      </w:pPr>
      <w:bookmarkStart w:id="3" w:name="_Toc66061265"/>
      <w:r>
        <w:rPr>
          <w:rFonts w:hint="eastAsia" w:ascii="仿宋" w:hAnsi="仿宋" w:eastAsia="仿宋" w:cs="仿宋"/>
          <w:b w:val="0"/>
          <w:bCs/>
          <w:sz w:val="32"/>
          <w:szCs w:val="32"/>
        </w:rPr>
        <w:t>1.企业统计员补贴绩效目标表</w:t>
      </w:r>
      <w:bookmarkEnd w:id="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1、企业统计员补贴绩效目标表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隆尧县统计局本级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130525215RKSP94ZYZ7Z1</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企业统计员补贴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576000.00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576000.00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根据省市统计局双基建设的要求，为加强统计队伍的建设、保障统计队伍的稳定性，提高统计数据的质量，参照兄弟县市，我县</w:t>
            </w:r>
            <w:r>
              <w:rPr>
                <w:rFonts w:ascii="方正书宋_GBK" w:eastAsia="方正书宋_GBK"/>
              </w:rPr>
              <w:t>160</w:t>
            </w:r>
            <w:r>
              <w:rPr>
                <w:rFonts w:hint="eastAsia" w:ascii="方正书宋_GBK" w:eastAsia="方正书宋_GBK"/>
              </w:rPr>
              <w:t>家四上企业的统计员给予每人每月</w:t>
            </w:r>
            <w:r>
              <w:rPr>
                <w:rFonts w:ascii="方正书宋_GBK" w:eastAsia="方正书宋_GBK"/>
              </w:rPr>
              <w:t>300</w:t>
            </w:r>
            <w:r>
              <w:rPr>
                <w:rFonts w:hint="eastAsia" w:ascii="方正书宋_GBK" w:eastAsia="方正书宋_GBK"/>
              </w:rPr>
              <w:t>元的津贴补贴。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加强统计队伍建设，提高统计质量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统计信息准确及时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保障统计队伍稳定性</w:t>
            </w:r>
          </w:p>
        </w:tc>
      </w:tr>
    </w:tbl>
    <w:p>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调查对象覆盖率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调查对象覆盖率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失误率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出错比率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严格控制失误比率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完工及时率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按照预计时间完成企业统计员补贴的发放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人均发放水平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确保企业统计员补贴发放，提高工作积极性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统计员补贴发放完成率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统计员补贴全部发放完成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补贴发放满意度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统计员对补贴发放满意度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统计员对补贴的满意度</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640" w:firstLineChars="200"/>
        <w:jc w:val="left"/>
        <w:outlineLvl w:val="3"/>
        <w:rPr>
          <w:rFonts w:ascii="Times New Roman" w:hAnsi="宋体"/>
          <w:b/>
          <w:sz w:val="28"/>
        </w:rPr>
      </w:pPr>
      <w:bookmarkStart w:id="4" w:name="_Toc66061266"/>
      <w:r>
        <w:rPr>
          <w:rFonts w:hint="eastAsia" w:ascii="仿宋" w:hAnsi="仿宋" w:eastAsia="仿宋" w:cs="仿宋"/>
          <w:b w:val="0"/>
          <w:bCs/>
          <w:sz w:val="32"/>
          <w:szCs w:val="32"/>
        </w:rPr>
        <w:t>2.统计内网绩效目标表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2、统计内网绩效目标表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隆尧县统计局本级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13052521AGZ9RHTH92W7Z</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统计内网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9360.00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9360.00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为隆尧县各乡、镇统计所或基层统计服务站安装统计内网，提升统计报送效果和质量。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为隆尧县各乡、镇统计所或基层统计服务站安装统计内网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提升统计数据报送效果和质量。</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为相关部门科学决策提供依据。</w:t>
            </w:r>
          </w:p>
        </w:tc>
      </w:tr>
    </w:tbl>
    <w:p>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统计内网安装数量</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统计内网安装数量要求</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分</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乡镇统计内网全覆盖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统计内网报修率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提升统计内网稳定性</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统计内网稳定性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故障排除平均时效</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出现故障维修时效</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提升维修时效性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控制成本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控制统计内网成本</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实际使用资金成本与预计成本之间的比率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服务效率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服务效率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提升工作效率，便于工作开展作为评分标准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用户使用满意度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乡镇对统计内网使用满意度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通过反馈机制，提升内网效率</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640" w:firstLineChars="200"/>
        <w:jc w:val="left"/>
        <w:outlineLvl w:val="3"/>
        <w:rPr>
          <w:rFonts w:hint="eastAsia" w:ascii="仿宋" w:hAnsi="仿宋" w:eastAsia="仿宋" w:cs="仿宋"/>
          <w:b/>
          <w:sz w:val="32"/>
          <w:szCs w:val="32"/>
        </w:rPr>
      </w:pPr>
      <w:bookmarkStart w:id="5" w:name="_Toc66061267"/>
      <w:r>
        <w:rPr>
          <w:rFonts w:hint="eastAsia" w:ascii="仿宋" w:hAnsi="仿宋" w:eastAsia="仿宋" w:cs="仿宋"/>
          <w:b w:val="0"/>
          <w:bCs/>
          <w:sz w:val="32"/>
          <w:szCs w:val="32"/>
        </w:rPr>
        <w:t>3.委托业务费绩效目标表</w:t>
      </w:r>
      <w:bookmarkEnd w:id="5"/>
      <w:r>
        <w:rPr>
          <w:rFonts w:hint="eastAsia" w:ascii="仿宋" w:hAnsi="仿宋" w:eastAsia="仿宋" w:cs="仿宋"/>
          <w:sz w:val="32"/>
          <w:szCs w:val="32"/>
        </w:rPr>
        <w:fldChar w:fldCharType="begin"/>
      </w:r>
      <w:r>
        <w:rPr>
          <w:rFonts w:hint="eastAsia" w:ascii="仿宋" w:hAnsi="仿宋" w:eastAsia="仿宋" w:cs="仿宋"/>
          <w:b/>
          <w:sz w:val="32"/>
          <w:szCs w:val="32"/>
        </w:rPr>
        <w:instrText xml:space="preserve"> TC 3、委托业务费绩效目标表 \f C \l 1 </w:instrText>
      </w:r>
      <w:r>
        <w:rPr>
          <w:rFonts w:hint="eastAsia" w:ascii="仿宋" w:hAnsi="仿宋" w:eastAsia="仿宋" w:cs="仿宋"/>
          <w:b/>
          <w:sz w:val="32"/>
          <w:szCs w:val="32"/>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隆尧县统计局本级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13052521E3OTNRGAUHG0G</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委托业务费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38412.00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38412.00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支付中基会计师事务所审计固定资产投资费用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支付中基会计师事务所审计固定资产投资费用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提升固定资产投资账务规范性</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提升统计数据准确性</w:t>
            </w:r>
          </w:p>
        </w:tc>
      </w:tr>
    </w:tbl>
    <w:p>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检查固定资产投资个数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检查固定资产投资个数</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固定资产投资实际检查数量与应检查数量的比例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检查中存在的问题实数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检查中存在的问题实数</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通过检查提升固定资产投资账务规范性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实际完成天使与应完成天数的比率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通过完成率提升工作效率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审计成本率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通过成本率节约开支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在全县的重要影响，得到广大受众的充分认可</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&lt;95%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通过固定资产投资检查提升影响力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通过固投检查，提升满意度</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640" w:firstLineChars="200"/>
        <w:jc w:val="left"/>
        <w:outlineLvl w:val="3"/>
        <w:rPr>
          <w:rFonts w:ascii="Times New Roman" w:hAnsi="宋体"/>
          <w:b/>
          <w:sz w:val="28"/>
        </w:rPr>
      </w:pPr>
      <w:bookmarkStart w:id="6" w:name="_Toc66061268"/>
      <w:r>
        <w:rPr>
          <w:rFonts w:hint="eastAsia" w:ascii="仿宋" w:hAnsi="仿宋" w:eastAsia="仿宋" w:cs="仿宋"/>
          <w:b w:val="0"/>
          <w:bCs/>
          <w:sz w:val="32"/>
          <w:szCs w:val="32"/>
        </w:rPr>
        <w:t>4.城乡住户调查绩效目标表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4、城乡住户调查绩效目标表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隆尧县统计局本级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13052521VLCMSO6A9DK8Y</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城乡住户调查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182240.00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182240.00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根据国家统计局河北调查总队和邢台市人民政府关于进一步加强全市住户调查工作的通知要求，为了统计我县城镇居民收入和农民人均收入开展城乡住户调查活动。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组织开展专项统计调查工作。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了解基层情况和动态提供统计信息和咨询建议。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为上级科学决策提供政策依据。</w:t>
            </w:r>
          </w:p>
        </w:tc>
      </w:tr>
    </w:tbl>
    <w:p>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调查对象覆盖率（</w:t>
            </w:r>
            <w:r>
              <w:rPr>
                <w:rFonts w:ascii="方正书宋_GBK" w:eastAsia="方正书宋_GBK"/>
              </w:rPr>
              <w:t>%</w:t>
            </w:r>
            <w:r>
              <w:rPr>
                <w:rFonts w:hint="eastAsia" w:ascii="方正书宋_GBK" w:eastAsia="方正书宋_GBK"/>
              </w:rPr>
              <w:t>）</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选取样本数量占调研对象总量的比率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样本数量占调研对象总量占比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存量数据质量检查率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存量数据质量检查率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存量数据质量抽样检查率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按时完成</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实际完成天数与预计天数之间的比率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实际使用资金与预计使用资金所占比率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统计失误率（</w:t>
            </w:r>
            <w:r>
              <w:rPr>
                <w:rFonts w:ascii="方正书宋_GBK" w:eastAsia="方正书宋_GBK"/>
              </w:rPr>
              <w:t>%</w:t>
            </w:r>
            <w:r>
              <w:rPr>
                <w:rFonts w:hint="eastAsia" w:ascii="方正书宋_GBK" w:eastAsia="方正书宋_GBK"/>
              </w:rPr>
              <w:t>）</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抽样调查失误数占抽样调查总数的比率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抽样调查失误数占抽样调查总数的比率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群众对统计调查的整体满意度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抽样群众调查数量</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640" w:firstLineChars="200"/>
        <w:jc w:val="left"/>
        <w:outlineLvl w:val="3"/>
        <w:rPr>
          <w:rFonts w:ascii="Times New Roman" w:hAnsi="宋体"/>
          <w:b/>
          <w:sz w:val="28"/>
        </w:rPr>
      </w:pPr>
      <w:bookmarkStart w:id="7" w:name="_Toc66061269"/>
      <w:r>
        <w:rPr>
          <w:rFonts w:hint="eastAsia" w:ascii="仿宋" w:hAnsi="仿宋" w:eastAsia="仿宋" w:cs="仿宋"/>
          <w:b w:val="0"/>
          <w:bCs/>
          <w:sz w:val="32"/>
          <w:szCs w:val="32"/>
        </w:rPr>
        <w:t>5.第七次全国人口普查绩效目标表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5、第七次全国人口普查绩效目标表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隆尧县统计局本级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13052521YMH60YXTM8W0G</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第七次全国人口普查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461588.00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461588.00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我国正在进行全国人口普查，普查经费是普查工作的基本保障，普查经费能否足额落实，将直接影响普查工作的质量。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我国正在进行全国人口普查，普查经费是普查工作的基本保障，普查经费能否足额落实，将直接影响普查工作的质量。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汇总整理和提供有关县情县力方面的统计数据。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确保人口普查工作保质保量完成。</w:t>
            </w:r>
          </w:p>
        </w:tc>
      </w:tr>
    </w:tbl>
    <w:p>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普查个体户数占比</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人口普查登记的个体户数与应普查数的比例</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实际普查户数占应普查户数的比例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调查数据审核准确率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调查数据审核准确率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抽样户数数据准确数占应抽样户数比例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完工及时率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实际完成普查户数天数占应完成普查天数比例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人口普查实际使用资金占总预算资金的比例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普查数据准确性</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普查数据可参考性</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根据数据使用单位反馈数据准确与使用单位的比例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提供给政府相关部门数据反馈情况</w:t>
            </w:r>
          </w:p>
        </w:tc>
      </w:tr>
    </w:tbl>
    <w:p>
      <w:pPr>
        <w:spacing w:line="500" w:lineRule="exact"/>
        <w:rPr>
          <w:rFonts w:ascii="仿宋" w:hAnsi="仿宋" w:eastAsia="仿宋" w:cs="Times New Roman"/>
          <w:sz w:val="32"/>
          <w:szCs w:val="32"/>
        </w:rPr>
      </w:pPr>
    </w:p>
    <w:p>
      <w:pPr>
        <w:spacing w:line="500" w:lineRule="exact"/>
        <w:rPr>
          <w:rFonts w:ascii="仿宋" w:hAnsi="仿宋" w:eastAsia="仿宋" w:cs="Times New Roman"/>
          <w:sz w:val="32"/>
          <w:szCs w:val="32"/>
        </w:rPr>
      </w:pPr>
    </w:p>
    <w:p>
      <w:pPr>
        <w:spacing w:line="500" w:lineRule="exact"/>
        <w:rPr>
          <w:rFonts w:ascii="仿宋" w:hAnsi="仿宋" w:eastAsia="仿宋" w:cs="Times New Roman"/>
          <w:sz w:val="32"/>
          <w:szCs w:val="32"/>
        </w:rPr>
      </w:pPr>
    </w:p>
    <w:p>
      <w:pPr>
        <w:spacing w:line="500" w:lineRule="exact"/>
        <w:rPr>
          <w:rFonts w:ascii="仿宋" w:hAnsi="仿宋" w:eastAsia="仿宋" w:cs="Times New Roman"/>
          <w:sz w:val="32"/>
          <w:szCs w:val="32"/>
        </w:rPr>
      </w:pPr>
    </w:p>
    <w:p>
      <w:pPr>
        <w:spacing w:line="500" w:lineRule="exact"/>
        <w:rPr>
          <w:rFonts w:ascii="仿宋" w:hAnsi="仿宋" w:eastAsia="仿宋" w:cs="Times New Roman"/>
          <w:sz w:val="32"/>
          <w:szCs w:val="32"/>
        </w:rPr>
      </w:pPr>
    </w:p>
    <w:p>
      <w:pPr>
        <w:spacing w:line="500" w:lineRule="exact"/>
        <w:rPr>
          <w:rFonts w:ascii="仿宋" w:hAnsi="仿宋" w:eastAsia="仿宋" w:cs="Times New Roman"/>
          <w:sz w:val="32"/>
          <w:szCs w:val="32"/>
        </w:rPr>
      </w:pPr>
    </w:p>
    <w:bookmarkEnd w:id="0"/>
    <w:p>
      <w:pPr>
        <w:autoSpaceDE w:val="0"/>
        <w:autoSpaceDN w:val="0"/>
        <w:adjustRightInd w:val="0"/>
        <w:ind w:firstLine="960" w:firstLineChars="300"/>
        <w:jc w:val="left"/>
        <w:rPr>
          <w:rFonts w:ascii="黑体" w:hAnsi="黑体" w:eastAsia="黑体" w:cs="Times New Roman"/>
          <w:color w:val="auto"/>
          <w:sz w:val="32"/>
          <w:szCs w:val="32"/>
        </w:rPr>
      </w:pPr>
      <w:r>
        <w:rPr>
          <w:rFonts w:hint="eastAsia" w:ascii="黑体" w:hAnsi="黑体" w:eastAsia="黑体" w:cs="黑体"/>
          <w:color w:val="auto"/>
          <w:sz w:val="32"/>
          <w:szCs w:val="32"/>
        </w:rPr>
        <w:t>六、政府采购预算情况</w:t>
      </w:r>
    </w:p>
    <w:p>
      <w:pPr>
        <w:ind w:firstLine="640" w:firstLineChars="200"/>
        <w:outlineLvl w:val="0"/>
        <w:rPr>
          <w:rFonts w:ascii="Times New Roman" w:hAnsi="Times New Roman" w:eastAsia="仿宋" w:cs="Times New Roman"/>
          <w:color w:val="auto"/>
          <w:sz w:val="32"/>
          <w:szCs w:val="32"/>
        </w:rPr>
      </w:pPr>
      <w:bookmarkStart w:id="8" w:name="_Toc471398468"/>
      <w:r>
        <w:rPr>
          <w:rFonts w:ascii="Times New Roman" w:hAnsi="Times New Roman" w:eastAsia="仿宋" w:cs="Times New Roman"/>
          <w:color w:val="auto"/>
          <w:sz w:val="32"/>
          <w:szCs w:val="32"/>
        </w:rPr>
        <w:t xml:space="preserve"> 2020</w:t>
      </w:r>
      <w:r>
        <w:rPr>
          <w:rFonts w:hint="eastAsia" w:ascii="Times New Roman" w:hAnsi="Times New Roman" w:eastAsia="仿宋" w:cs="仿宋"/>
          <w:color w:val="auto"/>
          <w:sz w:val="32"/>
          <w:szCs w:val="32"/>
        </w:rPr>
        <w:t>年，我部门安排政府采购预算</w:t>
      </w:r>
      <w:r>
        <w:rPr>
          <w:rFonts w:hint="eastAsia" w:ascii="Times New Roman" w:hAnsi="Times New Roman" w:eastAsia="仿宋" w:cs="Times New Roman"/>
          <w:color w:val="auto"/>
          <w:sz w:val="32"/>
          <w:szCs w:val="32"/>
          <w:lang w:val="en-US" w:eastAsia="zh-CN"/>
        </w:rPr>
        <w:t>5</w:t>
      </w:r>
      <w:r>
        <w:rPr>
          <w:rFonts w:hint="eastAsia" w:ascii="Times New Roman" w:hAnsi="Times New Roman" w:eastAsia="仿宋" w:cs="仿宋"/>
          <w:color w:val="auto"/>
          <w:sz w:val="32"/>
          <w:szCs w:val="32"/>
        </w:rPr>
        <w:t>万元。具体内容见下表。</w:t>
      </w:r>
      <w:bookmarkEnd w:id="8"/>
    </w:p>
    <w:p>
      <w:pPr>
        <w:jc w:val="center"/>
        <w:outlineLvl w:val="0"/>
        <w:rPr>
          <w:rFonts w:ascii="方正小标宋_GBK" w:eastAsia="方正小标宋_GBK" w:cs="Times New Roman"/>
          <w:color w:val="auto"/>
          <w:sz w:val="32"/>
          <w:szCs w:val="32"/>
        </w:rPr>
      </w:pPr>
      <w:bookmarkStart w:id="9" w:name="_Toc1979031"/>
      <w:r>
        <w:rPr>
          <w:rFonts w:hint="eastAsia" w:ascii="方正小标宋_GBK" w:eastAsia="方正小标宋_GBK" w:cs="方正小标宋_GBK"/>
          <w:color w:val="auto"/>
          <w:sz w:val="32"/>
          <w:szCs w:val="32"/>
        </w:rPr>
        <w:t>部门政府采购预算</w:t>
      </w:r>
      <w:bookmarkEnd w:id="9"/>
    </w:p>
    <w:tbl>
      <w:tblPr>
        <w:tblStyle w:val="9"/>
        <w:tblW w:w="96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1"/>
        <w:gridCol w:w="883"/>
        <w:gridCol w:w="427"/>
        <w:gridCol w:w="1349"/>
        <w:gridCol w:w="427"/>
        <w:gridCol w:w="636"/>
        <w:gridCol w:w="883"/>
        <w:gridCol w:w="760"/>
        <w:gridCol w:w="760"/>
        <w:gridCol w:w="760"/>
        <w:gridCol w:w="427"/>
        <w:gridCol w:w="427"/>
        <w:gridCol w:w="427"/>
        <w:gridCol w:w="4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696" w:type="dxa"/>
            <w:gridSpan w:val="7"/>
            <w:tcBorders>
              <w:top w:val="single" w:color="FFFFFF" w:sz="6" w:space="0"/>
              <w:left w:val="single" w:color="FFFFFF" w:sz="6" w:space="0"/>
              <w:right w:val="single" w:color="FFFFFF" w:sz="6" w:space="0"/>
            </w:tcBorders>
            <w:vAlign w:val="center"/>
          </w:tcPr>
          <w:p>
            <w:pPr>
              <w:pStyle w:val="2"/>
              <w:bidi w:val="0"/>
            </w:pPr>
            <w:r>
              <w:t>410</w:t>
            </w:r>
            <w:r>
              <w:rPr>
                <w:rFonts w:hint="eastAsia"/>
              </w:rPr>
              <w:t>隆尧县统计局</w:t>
            </w:r>
          </w:p>
        </w:tc>
        <w:tc>
          <w:tcPr>
            <w:tcW w:w="3988"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color w:val="auto"/>
                <w:sz w:val="24"/>
                <w:szCs w:val="24"/>
              </w:rPr>
            </w:pPr>
            <w:r>
              <w:rPr>
                <w:rFonts w:hint="eastAsia" w:ascii="方正书宋_GBK" w:eastAsia="方正书宋_GBK" w:cs="方正书宋_GBK"/>
                <w:color w:val="auto"/>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974" w:type="dxa"/>
            <w:gridSpan w:val="2"/>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政府采购项目来源</w:t>
            </w:r>
          </w:p>
        </w:tc>
        <w:tc>
          <w:tcPr>
            <w:tcW w:w="427"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采购物品名称</w:t>
            </w:r>
          </w:p>
        </w:tc>
        <w:tc>
          <w:tcPr>
            <w:tcW w:w="1349"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政府采购目录序号</w:t>
            </w:r>
          </w:p>
        </w:tc>
        <w:tc>
          <w:tcPr>
            <w:tcW w:w="427"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数量</w:t>
            </w:r>
            <w:r>
              <w:rPr>
                <w:rFonts w:ascii="方正书宋_GBK" w:eastAsia="方正书宋_GBK" w:cs="方正书宋_GBK"/>
                <w:b/>
                <w:bCs/>
                <w:color w:val="auto"/>
              </w:rPr>
              <w:t xml:space="preserve">  </w:t>
            </w:r>
            <w:r>
              <w:rPr>
                <w:rFonts w:hint="eastAsia" w:ascii="方正书宋_GBK" w:eastAsia="方正书宋_GBK" w:cs="方正书宋_GBK"/>
                <w:b/>
                <w:bCs/>
                <w:color w:val="auto"/>
              </w:rPr>
              <w:t>单位</w:t>
            </w:r>
          </w:p>
        </w:tc>
        <w:tc>
          <w:tcPr>
            <w:tcW w:w="636"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数量</w:t>
            </w:r>
          </w:p>
        </w:tc>
        <w:tc>
          <w:tcPr>
            <w:tcW w:w="883"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单价</w:t>
            </w:r>
          </w:p>
        </w:tc>
        <w:tc>
          <w:tcPr>
            <w:tcW w:w="3988" w:type="dxa"/>
            <w:gridSpan w:val="7"/>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091"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项目名称</w:t>
            </w:r>
          </w:p>
        </w:tc>
        <w:tc>
          <w:tcPr>
            <w:tcW w:w="883"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预算资金</w:t>
            </w:r>
          </w:p>
        </w:tc>
        <w:tc>
          <w:tcPr>
            <w:tcW w:w="427" w:type="dxa"/>
            <w:vMerge w:val="continue"/>
            <w:vAlign w:val="center"/>
          </w:tcPr>
          <w:p>
            <w:pPr>
              <w:spacing w:line="300" w:lineRule="exact"/>
              <w:jc w:val="left"/>
              <w:outlineLvl w:val="0"/>
              <w:rPr>
                <w:rFonts w:cs="Times New Roman"/>
                <w:color w:val="auto"/>
              </w:rPr>
            </w:pPr>
          </w:p>
        </w:tc>
        <w:tc>
          <w:tcPr>
            <w:tcW w:w="1349" w:type="dxa"/>
            <w:vMerge w:val="continue"/>
            <w:vAlign w:val="center"/>
          </w:tcPr>
          <w:p>
            <w:pPr>
              <w:spacing w:line="300" w:lineRule="exact"/>
              <w:jc w:val="left"/>
              <w:outlineLvl w:val="0"/>
              <w:rPr>
                <w:rFonts w:cs="Times New Roman"/>
                <w:color w:val="auto"/>
              </w:rPr>
            </w:pPr>
          </w:p>
        </w:tc>
        <w:tc>
          <w:tcPr>
            <w:tcW w:w="427" w:type="dxa"/>
            <w:vMerge w:val="continue"/>
            <w:vAlign w:val="center"/>
          </w:tcPr>
          <w:p>
            <w:pPr>
              <w:spacing w:line="300" w:lineRule="exact"/>
              <w:jc w:val="left"/>
              <w:outlineLvl w:val="0"/>
              <w:rPr>
                <w:rFonts w:cs="Times New Roman"/>
                <w:color w:val="auto"/>
              </w:rPr>
            </w:pPr>
          </w:p>
        </w:tc>
        <w:tc>
          <w:tcPr>
            <w:tcW w:w="636" w:type="dxa"/>
            <w:vMerge w:val="continue"/>
            <w:vAlign w:val="center"/>
          </w:tcPr>
          <w:p>
            <w:pPr>
              <w:spacing w:line="300" w:lineRule="exact"/>
              <w:jc w:val="left"/>
              <w:outlineLvl w:val="0"/>
              <w:rPr>
                <w:rFonts w:cs="Times New Roman"/>
                <w:color w:val="auto"/>
              </w:rPr>
            </w:pPr>
          </w:p>
        </w:tc>
        <w:tc>
          <w:tcPr>
            <w:tcW w:w="883" w:type="dxa"/>
            <w:vMerge w:val="continue"/>
            <w:vAlign w:val="center"/>
          </w:tcPr>
          <w:p>
            <w:pPr>
              <w:spacing w:line="300" w:lineRule="exact"/>
              <w:jc w:val="left"/>
              <w:outlineLvl w:val="0"/>
              <w:rPr>
                <w:rFonts w:cs="Times New Roman"/>
                <w:color w:val="auto"/>
              </w:rPr>
            </w:pPr>
          </w:p>
        </w:tc>
        <w:tc>
          <w:tcPr>
            <w:tcW w:w="760"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总计</w:t>
            </w:r>
          </w:p>
        </w:tc>
        <w:tc>
          <w:tcPr>
            <w:tcW w:w="2801" w:type="dxa"/>
            <w:gridSpan w:val="5"/>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当年部门预算安排资金</w:t>
            </w:r>
          </w:p>
        </w:tc>
        <w:tc>
          <w:tcPr>
            <w:tcW w:w="427"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091" w:type="dxa"/>
            <w:vMerge w:val="continue"/>
            <w:vAlign w:val="center"/>
          </w:tcPr>
          <w:p>
            <w:pPr>
              <w:spacing w:line="300" w:lineRule="exact"/>
              <w:jc w:val="left"/>
              <w:outlineLvl w:val="0"/>
              <w:rPr>
                <w:rFonts w:cs="Times New Roman"/>
                <w:color w:val="auto"/>
              </w:rPr>
            </w:pPr>
          </w:p>
        </w:tc>
        <w:tc>
          <w:tcPr>
            <w:tcW w:w="883" w:type="dxa"/>
            <w:vMerge w:val="continue"/>
            <w:vAlign w:val="center"/>
          </w:tcPr>
          <w:p>
            <w:pPr>
              <w:spacing w:line="300" w:lineRule="exact"/>
              <w:jc w:val="left"/>
              <w:outlineLvl w:val="0"/>
              <w:rPr>
                <w:rFonts w:cs="Times New Roman"/>
                <w:color w:val="auto"/>
              </w:rPr>
            </w:pPr>
          </w:p>
        </w:tc>
        <w:tc>
          <w:tcPr>
            <w:tcW w:w="427" w:type="dxa"/>
            <w:vMerge w:val="continue"/>
            <w:vAlign w:val="center"/>
          </w:tcPr>
          <w:p>
            <w:pPr>
              <w:spacing w:line="300" w:lineRule="exact"/>
              <w:jc w:val="left"/>
              <w:outlineLvl w:val="0"/>
              <w:rPr>
                <w:rFonts w:cs="Times New Roman"/>
                <w:color w:val="auto"/>
              </w:rPr>
            </w:pPr>
          </w:p>
        </w:tc>
        <w:tc>
          <w:tcPr>
            <w:tcW w:w="1349" w:type="dxa"/>
            <w:vMerge w:val="continue"/>
            <w:vAlign w:val="center"/>
          </w:tcPr>
          <w:p>
            <w:pPr>
              <w:spacing w:line="300" w:lineRule="exact"/>
              <w:jc w:val="left"/>
              <w:outlineLvl w:val="0"/>
              <w:rPr>
                <w:rFonts w:cs="Times New Roman"/>
                <w:color w:val="auto"/>
              </w:rPr>
            </w:pPr>
          </w:p>
        </w:tc>
        <w:tc>
          <w:tcPr>
            <w:tcW w:w="427" w:type="dxa"/>
            <w:vMerge w:val="continue"/>
            <w:vAlign w:val="center"/>
          </w:tcPr>
          <w:p>
            <w:pPr>
              <w:spacing w:line="300" w:lineRule="exact"/>
              <w:jc w:val="left"/>
              <w:outlineLvl w:val="0"/>
              <w:rPr>
                <w:rFonts w:cs="Times New Roman"/>
                <w:color w:val="auto"/>
              </w:rPr>
            </w:pPr>
          </w:p>
        </w:tc>
        <w:tc>
          <w:tcPr>
            <w:tcW w:w="636" w:type="dxa"/>
            <w:vMerge w:val="continue"/>
            <w:vAlign w:val="center"/>
          </w:tcPr>
          <w:p>
            <w:pPr>
              <w:spacing w:line="300" w:lineRule="exact"/>
              <w:jc w:val="left"/>
              <w:outlineLvl w:val="0"/>
              <w:rPr>
                <w:rFonts w:cs="Times New Roman"/>
                <w:color w:val="auto"/>
              </w:rPr>
            </w:pPr>
          </w:p>
        </w:tc>
        <w:tc>
          <w:tcPr>
            <w:tcW w:w="883" w:type="dxa"/>
            <w:vMerge w:val="continue"/>
            <w:vAlign w:val="center"/>
          </w:tcPr>
          <w:p>
            <w:pPr>
              <w:spacing w:line="300" w:lineRule="exact"/>
              <w:jc w:val="left"/>
              <w:outlineLvl w:val="0"/>
              <w:rPr>
                <w:rFonts w:cs="Times New Roman"/>
                <w:color w:val="auto"/>
              </w:rPr>
            </w:pPr>
          </w:p>
        </w:tc>
        <w:tc>
          <w:tcPr>
            <w:tcW w:w="760" w:type="dxa"/>
            <w:vMerge w:val="continue"/>
            <w:vAlign w:val="center"/>
          </w:tcPr>
          <w:p>
            <w:pPr>
              <w:spacing w:line="300" w:lineRule="exact"/>
              <w:jc w:val="left"/>
              <w:outlineLvl w:val="0"/>
              <w:rPr>
                <w:rFonts w:cs="Times New Roman"/>
                <w:color w:val="auto"/>
              </w:rPr>
            </w:pPr>
          </w:p>
        </w:tc>
        <w:tc>
          <w:tcPr>
            <w:tcW w:w="760"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合计</w:t>
            </w:r>
          </w:p>
        </w:tc>
        <w:tc>
          <w:tcPr>
            <w:tcW w:w="760"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一般公共预算拨款</w:t>
            </w:r>
          </w:p>
        </w:tc>
        <w:tc>
          <w:tcPr>
            <w:tcW w:w="427"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基金预算拨款</w:t>
            </w:r>
          </w:p>
        </w:tc>
        <w:tc>
          <w:tcPr>
            <w:tcW w:w="427"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财政专户核拨</w:t>
            </w:r>
          </w:p>
        </w:tc>
        <w:tc>
          <w:tcPr>
            <w:tcW w:w="427"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其他来源收入</w:t>
            </w:r>
          </w:p>
        </w:tc>
        <w:tc>
          <w:tcPr>
            <w:tcW w:w="427" w:type="dxa"/>
            <w:vMerge w:val="continue"/>
            <w:vAlign w:val="center"/>
          </w:tcPr>
          <w:p>
            <w:pPr>
              <w:spacing w:line="300" w:lineRule="exact"/>
              <w:jc w:val="left"/>
              <w:outlineLvl w:val="0"/>
              <w:rPr>
                <w:rFonts w:cs="Times New Roman"/>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合　计</w:t>
            </w:r>
          </w:p>
        </w:tc>
        <w:tc>
          <w:tcPr>
            <w:tcW w:w="883" w:type="dxa"/>
            <w:vAlign w:val="center"/>
          </w:tcPr>
          <w:p>
            <w:pPr>
              <w:spacing w:line="300" w:lineRule="exact"/>
              <w:jc w:val="right"/>
              <w:rPr>
                <w:rFonts w:ascii="方正书宋_GBK" w:eastAsia="方正书宋_GBK" w:cs="Times New Roman"/>
                <w:b/>
                <w:bCs/>
                <w:color w:val="auto"/>
              </w:rPr>
            </w:pPr>
          </w:p>
        </w:tc>
        <w:tc>
          <w:tcPr>
            <w:tcW w:w="427" w:type="dxa"/>
            <w:vAlign w:val="center"/>
          </w:tcPr>
          <w:p>
            <w:pPr>
              <w:spacing w:line="300" w:lineRule="exact"/>
              <w:jc w:val="left"/>
              <w:rPr>
                <w:rFonts w:ascii="方正书宋_GBK" w:eastAsia="方正书宋_GBK" w:cs="Times New Roman"/>
                <w:b/>
                <w:bCs/>
                <w:color w:val="auto"/>
              </w:rPr>
            </w:pPr>
          </w:p>
        </w:tc>
        <w:tc>
          <w:tcPr>
            <w:tcW w:w="1349" w:type="dxa"/>
            <w:vAlign w:val="center"/>
          </w:tcPr>
          <w:p>
            <w:pPr>
              <w:spacing w:line="300" w:lineRule="exact"/>
              <w:jc w:val="left"/>
              <w:rPr>
                <w:rFonts w:ascii="方正书宋_GBK" w:eastAsia="方正书宋_GBK" w:cs="Times New Roman"/>
                <w:b/>
                <w:bCs/>
                <w:color w:val="auto"/>
              </w:rPr>
            </w:pPr>
          </w:p>
        </w:tc>
        <w:tc>
          <w:tcPr>
            <w:tcW w:w="427" w:type="dxa"/>
            <w:vAlign w:val="center"/>
          </w:tcPr>
          <w:p>
            <w:pPr>
              <w:spacing w:line="300" w:lineRule="exact"/>
              <w:jc w:val="left"/>
              <w:rPr>
                <w:rFonts w:ascii="方正书宋_GBK" w:eastAsia="方正书宋_GBK" w:cs="Times New Roman"/>
                <w:b/>
                <w:bCs/>
                <w:color w:val="auto"/>
              </w:rPr>
            </w:pPr>
          </w:p>
        </w:tc>
        <w:tc>
          <w:tcPr>
            <w:tcW w:w="636" w:type="dxa"/>
            <w:vAlign w:val="center"/>
          </w:tcPr>
          <w:p>
            <w:pPr>
              <w:spacing w:line="300" w:lineRule="exact"/>
              <w:jc w:val="right"/>
              <w:rPr>
                <w:rFonts w:ascii="方正书宋_GBK" w:eastAsia="方正书宋_GBK" w:cs="Times New Roman"/>
                <w:b/>
                <w:bCs/>
                <w:color w:val="auto"/>
              </w:rPr>
            </w:pPr>
          </w:p>
        </w:tc>
        <w:tc>
          <w:tcPr>
            <w:tcW w:w="883" w:type="dxa"/>
            <w:vAlign w:val="center"/>
          </w:tcPr>
          <w:p>
            <w:pPr>
              <w:spacing w:line="300" w:lineRule="exact"/>
              <w:jc w:val="right"/>
              <w:rPr>
                <w:rFonts w:ascii="方正书宋_GBK" w:eastAsia="方正书宋_GBK" w:cs="Times New Roman"/>
                <w:b/>
                <w:bCs/>
                <w:color w:val="auto"/>
              </w:rPr>
            </w:pPr>
          </w:p>
        </w:tc>
        <w:tc>
          <w:tcPr>
            <w:tcW w:w="760" w:type="dxa"/>
            <w:vAlign w:val="center"/>
          </w:tcPr>
          <w:p>
            <w:pPr>
              <w:spacing w:line="300" w:lineRule="exact"/>
              <w:jc w:val="right"/>
              <w:rPr>
                <w:rFonts w:hint="eastAsia" w:ascii="方正书宋_GBK" w:eastAsia="方正书宋_GBK" w:cs="方正书宋_GBK"/>
                <w:b/>
                <w:bCs/>
                <w:color w:val="auto"/>
                <w:lang w:eastAsia="zh-CN"/>
              </w:rPr>
            </w:pPr>
            <w:r>
              <w:rPr>
                <w:rFonts w:hint="eastAsia" w:ascii="方正书宋_GBK" w:eastAsia="方正书宋_GBK" w:cs="方正书宋_GBK"/>
                <w:b/>
                <w:bCs/>
                <w:color w:val="auto"/>
                <w:lang w:val="en-US" w:eastAsia="zh-CN"/>
              </w:rPr>
              <w:t>5</w:t>
            </w:r>
          </w:p>
        </w:tc>
        <w:tc>
          <w:tcPr>
            <w:tcW w:w="760" w:type="dxa"/>
            <w:vAlign w:val="center"/>
          </w:tcPr>
          <w:p>
            <w:pPr>
              <w:spacing w:line="300" w:lineRule="exact"/>
              <w:jc w:val="right"/>
              <w:rPr>
                <w:rFonts w:hint="eastAsia" w:ascii="方正书宋_GBK" w:eastAsia="方正书宋_GBK" w:cs="方正书宋_GBK"/>
                <w:b/>
                <w:bCs/>
                <w:color w:val="auto"/>
                <w:lang w:eastAsia="zh-CN"/>
              </w:rPr>
            </w:pPr>
            <w:r>
              <w:rPr>
                <w:rFonts w:hint="eastAsia" w:ascii="方正书宋_GBK" w:eastAsia="方正书宋_GBK" w:cs="方正书宋_GBK"/>
                <w:b/>
                <w:bCs/>
                <w:color w:val="auto"/>
                <w:lang w:val="en-US" w:eastAsia="zh-CN"/>
              </w:rPr>
              <w:t>5</w:t>
            </w:r>
          </w:p>
        </w:tc>
        <w:tc>
          <w:tcPr>
            <w:tcW w:w="760" w:type="dxa"/>
            <w:vAlign w:val="center"/>
          </w:tcPr>
          <w:p>
            <w:pPr>
              <w:spacing w:line="300" w:lineRule="exact"/>
              <w:jc w:val="right"/>
              <w:rPr>
                <w:rFonts w:hint="eastAsia" w:ascii="方正书宋_GBK" w:eastAsia="方正书宋_GBK" w:cs="方正书宋_GBK"/>
                <w:b/>
                <w:bCs/>
                <w:color w:val="auto"/>
                <w:lang w:eastAsia="zh-CN"/>
              </w:rPr>
            </w:pPr>
            <w:r>
              <w:rPr>
                <w:rFonts w:hint="eastAsia" w:ascii="方正书宋_GBK" w:eastAsia="方正书宋_GBK" w:cs="方正书宋_GBK"/>
                <w:b/>
                <w:bCs/>
                <w:color w:val="auto"/>
                <w:lang w:val="en-US" w:eastAsia="zh-CN"/>
              </w:rPr>
              <w:t>5</w:t>
            </w:r>
          </w:p>
        </w:tc>
        <w:tc>
          <w:tcPr>
            <w:tcW w:w="427" w:type="dxa"/>
            <w:vAlign w:val="center"/>
          </w:tcPr>
          <w:p>
            <w:pPr>
              <w:spacing w:line="300" w:lineRule="exact"/>
              <w:jc w:val="right"/>
              <w:rPr>
                <w:rFonts w:ascii="方正书宋_GBK" w:eastAsia="方正书宋_GBK" w:cs="方正书宋_GBK"/>
                <w:b/>
                <w:bCs/>
                <w:color w:val="auto"/>
              </w:rPr>
            </w:pPr>
          </w:p>
        </w:tc>
        <w:tc>
          <w:tcPr>
            <w:tcW w:w="427" w:type="dxa"/>
            <w:vAlign w:val="center"/>
          </w:tcPr>
          <w:p>
            <w:pPr>
              <w:spacing w:line="300" w:lineRule="exact"/>
              <w:jc w:val="right"/>
              <w:rPr>
                <w:rFonts w:ascii="方正书宋_GBK" w:eastAsia="方正书宋_GBK" w:cs="方正书宋_GBK"/>
                <w:b/>
                <w:bCs/>
                <w:color w:val="auto"/>
              </w:rPr>
            </w:pPr>
          </w:p>
        </w:tc>
        <w:tc>
          <w:tcPr>
            <w:tcW w:w="427" w:type="dxa"/>
            <w:vAlign w:val="center"/>
          </w:tcPr>
          <w:p>
            <w:pPr>
              <w:spacing w:line="300" w:lineRule="exact"/>
              <w:jc w:val="right"/>
              <w:rPr>
                <w:rFonts w:ascii="方正书宋_GBK" w:eastAsia="方正书宋_GBK" w:cs="方正书宋_GBK"/>
                <w:b/>
                <w:bCs/>
                <w:color w:val="auto"/>
              </w:rPr>
            </w:pPr>
          </w:p>
        </w:tc>
        <w:tc>
          <w:tcPr>
            <w:tcW w:w="427" w:type="dxa"/>
            <w:vAlign w:val="center"/>
          </w:tcPr>
          <w:p>
            <w:pPr>
              <w:spacing w:line="300" w:lineRule="exact"/>
              <w:jc w:val="right"/>
              <w:rPr>
                <w:rFonts w:ascii="方正书宋_GBK" w:eastAsia="方正书宋_GBK" w:cs="方正书宋_GBK"/>
                <w:b/>
                <w:bCs/>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隆尧县统计局小计</w:t>
            </w:r>
          </w:p>
        </w:tc>
        <w:tc>
          <w:tcPr>
            <w:tcW w:w="883" w:type="dxa"/>
            <w:vAlign w:val="center"/>
          </w:tcPr>
          <w:p>
            <w:pPr>
              <w:spacing w:line="300" w:lineRule="exact"/>
              <w:jc w:val="right"/>
              <w:rPr>
                <w:rFonts w:ascii="方正书宋_GBK" w:eastAsia="方正书宋_GBK" w:cs="Times New Roman"/>
                <w:b/>
                <w:bCs/>
                <w:color w:val="auto"/>
              </w:rPr>
            </w:pPr>
          </w:p>
        </w:tc>
        <w:tc>
          <w:tcPr>
            <w:tcW w:w="427" w:type="dxa"/>
            <w:vAlign w:val="center"/>
          </w:tcPr>
          <w:p>
            <w:pPr>
              <w:spacing w:line="300" w:lineRule="exact"/>
              <w:jc w:val="left"/>
              <w:rPr>
                <w:rFonts w:ascii="方正书宋_GBK" w:eastAsia="方正书宋_GBK" w:cs="Times New Roman"/>
                <w:b/>
                <w:bCs/>
                <w:color w:val="auto"/>
              </w:rPr>
            </w:pPr>
          </w:p>
        </w:tc>
        <w:tc>
          <w:tcPr>
            <w:tcW w:w="1349" w:type="dxa"/>
            <w:vAlign w:val="center"/>
          </w:tcPr>
          <w:p>
            <w:pPr>
              <w:spacing w:line="300" w:lineRule="exact"/>
              <w:jc w:val="left"/>
              <w:rPr>
                <w:rFonts w:ascii="方正书宋_GBK" w:eastAsia="方正书宋_GBK" w:cs="Times New Roman"/>
                <w:b/>
                <w:bCs/>
                <w:color w:val="auto"/>
              </w:rPr>
            </w:pPr>
          </w:p>
        </w:tc>
        <w:tc>
          <w:tcPr>
            <w:tcW w:w="427" w:type="dxa"/>
            <w:vAlign w:val="center"/>
          </w:tcPr>
          <w:p>
            <w:pPr>
              <w:spacing w:line="300" w:lineRule="exact"/>
              <w:jc w:val="left"/>
              <w:rPr>
                <w:rFonts w:ascii="方正书宋_GBK" w:eastAsia="方正书宋_GBK" w:cs="Times New Roman"/>
                <w:b/>
                <w:bCs/>
                <w:color w:val="auto"/>
              </w:rPr>
            </w:pPr>
          </w:p>
        </w:tc>
        <w:tc>
          <w:tcPr>
            <w:tcW w:w="636" w:type="dxa"/>
            <w:vAlign w:val="center"/>
          </w:tcPr>
          <w:p>
            <w:pPr>
              <w:spacing w:line="300" w:lineRule="exact"/>
              <w:jc w:val="right"/>
              <w:rPr>
                <w:rFonts w:ascii="方正书宋_GBK" w:eastAsia="方正书宋_GBK" w:cs="Times New Roman"/>
                <w:b/>
                <w:bCs/>
                <w:color w:val="auto"/>
              </w:rPr>
            </w:pPr>
          </w:p>
        </w:tc>
        <w:tc>
          <w:tcPr>
            <w:tcW w:w="883" w:type="dxa"/>
            <w:vAlign w:val="center"/>
          </w:tcPr>
          <w:p>
            <w:pPr>
              <w:spacing w:line="300" w:lineRule="exact"/>
              <w:jc w:val="right"/>
              <w:rPr>
                <w:rFonts w:ascii="方正书宋_GBK" w:eastAsia="方正书宋_GBK" w:cs="Times New Roman"/>
                <w:b/>
                <w:bCs/>
                <w:color w:val="auto"/>
              </w:rPr>
            </w:pPr>
          </w:p>
        </w:tc>
        <w:tc>
          <w:tcPr>
            <w:tcW w:w="760" w:type="dxa"/>
            <w:vAlign w:val="center"/>
          </w:tcPr>
          <w:p>
            <w:pPr>
              <w:spacing w:line="300" w:lineRule="exact"/>
              <w:jc w:val="right"/>
              <w:rPr>
                <w:rFonts w:hint="eastAsia" w:ascii="方正书宋_GBK" w:eastAsia="方正书宋_GBK" w:cs="方正书宋_GBK"/>
                <w:b/>
                <w:bCs/>
                <w:color w:val="auto"/>
                <w:lang w:eastAsia="zh-CN"/>
              </w:rPr>
            </w:pPr>
            <w:r>
              <w:rPr>
                <w:rFonts w:hint="eastAsia" w:ascii="方正书宋_GBK" w:eastAsia="方正书宋_GBK" w:cs="方正书宋_GBK"/>
                <w:b/>
                <w:bCs/>
                <w:color w:val="auto"/>
                <w:lang w:val="en-US" w:eastAsia="zh-CN"/>
              </w:rPr>
              <w:t>5</w:t>
            </w:r>
          </w:p>
        </w:tc>
        <w:tc>
          <w:tcPr>
            <w:tcW w:w="760" w:type="dxa"/>
            <w:vAlign w:val="center"/>
          </w:tcPr>
          <w:p>
            <w:pPr>
              <w:spacing w:line="300" w:lineRule="exact"/>
              <w:jc w:val="right"/>
              <w:rPr>
                <w:rFonts w:hint="eastAsia" w:ascii="方正书宋_GBK" w:eastAsia="方正书宋_GBK" w:cs="方正书宋_GBK"/>
                <w:b/>
                <w:bCs/>
                <w:color w:val="auto"/>
                <w:lang w:eastAsia="zh-CN"/>
              </w:rPr>
            </w:pPr>
            <w:r>
              <w:rPr>
                <w:rFonts w:hint="eastAsia" w:ascii="方正书宋_GBK" w:eastAsia="方正书宋_GBK" w:cs="方正书宋_GBK"/>
                <w:b/>
                <w:bCs/>
                <w:color w:val="auto"/>
                <w:lang w:val="en-US" w:eastAsia="zh-CN"/>
              </w:rPr>
              <w:t>5</w:t>
            </w:r>
          </w:p>
        </w:tc>
        <w:tc>
          <w:tcPr>
            <w:tcW w:w="760" w:type="dxa"/>
            <w:vAlign w:val="center"/>
          </w:tcPr>
          <w:p>
            <w:pPr>
              <w:spacing w:line="300" w:lineRule="exact"/>
              <w:jc w:val="right"/>
              <w:rPr>
                <w:rFonts w:hint="eastAsia" w:ascii="方正书宋_GBK" w:eastAsia="方正书宋_GBK" w:cs="方正书宋_GBK"/>
                <w:b/>
                <w:bCs/>
                <w:color w:val="auto"/>
                <w:lang w:eastAsia="zh-CN"/>
              </w:rPr>
            </w:pPr>
            <w:r>
              <w:rPr>
                <w:rFonts w:hint="eastAsia" w:ascii="方正书宋_GBK" w:eastAsia="方正书宋_GBK" w:cs="方正书宋_GBK"/>
                <w:b/>
                <w:bCs/>
                <w:color w:val="auto"/>
                <w:lang w:val="en-US" w:eastAsia="zh-CN"/>
              </w:rPr>
              <w:t>5</w:t>
            </w:r>
          </w:p>
        </w:tc>
        <w:tc>
          <w:tcPr>
            <w:tcW w:w="427" w:type="dxa"/>
            <w:vAlign w:val="center"/>
          </w:tcPr>
          <w:p>
            <w:pPr>
              <w:spacing w:line="300" w:lineRule="exact"/>
              <w:jc w:val="right"/>
              <w:rPr>
                <w:rFonts w:ascii="方正书宋_GBK" w:eastAsia="方正书宋_GBK" w:cs="方正书宋_GBK"/>
                <w:b/>
                <w:bCs/>
                <w:color w:val="auto"/>
              </w:rPr>
            </w:pPr>
          </w:p>
        </w:tc>
        <w:tc>
          <w:tcPr>
            <w:tcW w:w="427" w:type="dxa"/>
            <w:vAlign w:val="center"/>
          </w:tcPr>
          <w:p>
            <w:pPr>
              <w:spacing w:line="300" w:lineRule="exact"/>
              <w:jc w:val="right"/>
              <w:rPr>
                <w:rFonts w:ascii="方正书宋_GBK" w:eastAsia="方正书宋_GBK" w:cs="方正书宋_GBK"/>
                <w:b/>
                <w:bCs/>
                <w:color w:val="auto"/>
              </w:rPr>
            </w:pPr>
          </w:p>
        </w:tc>
        <w:tc>
          <w:tcPr>
            <w:tcW w:w="427" w:type="dxa"/>
            <w:vAlign w:val="center"/>
          </w:tcPr>
          <w:p>
            <w:pPr>
              <w:spacing w:line="300" w:lineRule="exact"/>
              <w:jc w:val="right"/>
              <w:rPr>
                <w:rFonts w:ascii="方正书宋_GBK" w:eastAsia="方正书宋_GBK" w:cs="方正书宋_GBK"/>
                <w:b/>
                <w:bCs/>
                <w:color w:val="auto"/>
              </w:rPr>
            </w:pPr>
          </w:p>
        </w:tc>
        <w:tc>
          <w:tcPr>
            <w:tcW w:w="427" w:type="dxa"/>
            <w:vAlign w:val="center"/>
          </w:tcPr>
          <w:p>
            <w:pPr>
              <w:spacing w:line="300" w:lineRule="exact"/>
              <w:jc w:val="right"/>
              <w:rPr>
                <w:rFonts w:ascii="方正书宋_GBK" w:eastAsia="方正书宋_GBK" w:cs="方正书宋_GBK"/>
                <w:b/>
                <w:bCs/>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88" w:hRule="atLeast"/>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1.5</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台式计算机</w:t>
            </w:r>
          </w:p>
        </w:tc>
        <w:tc>
          <w:tcPr>
            <w:tcW w:w="1349" w:type="dxa"/>
            <w:vAlign w:val="center"/>
          </w:tcPr>
          <w:p>
            <w:pPr>
              <w:spacing w:line="300" w:lineRule="exact"/>
              <w:jc w:val="left"/>
              <w:rPr>
                <w:rFonts w:ascii="方正书宋_GBK" w:eastAsia="方正书宋_GBK" w:cs="方正书宋_GBK"/>
                <w:color w:val="auto"/>
              </w:rPr>
            </w:pPr>
            <w:r>
              <w:rPr>
                <w:rFonts w:ascii="方正书宋_GBK" w:eastAsia="方正书宋_GBK" w:cs="方正书宋_GBK"/>
                <w:color w:val="auto"/>
              </w:rPr>
              <w:t>A02010104</w:t>
            </w:r>
          </w:p>
        </w:tc>
        <w:tc>
          <w:tcPr>
            <w:tcW w:w="427"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个</w:t>
            </w:r>
          </w:p>
        </w:tc>
        <w:tc>
          <w:tcPr>
            <w:tcW w:w="636" w:type="dxa"/>
            <w:vAlign w:val="center"/>
          </w:tcPr>
          <w:p>
            <w:pPr>
              <w:spacing w:line="300" w:lineRule="exact"/>
              <w:jc w:val="right"/>
              <w:rPr>
                <w:rFonts w:ascii="方正书宋_GBK" w:eastAsia="方正书宋_GBK" w:cs="方正书宋_GBK"/>
                <w:color w:val="auto"/>
              </w:rPr>
            </w:pPr>
            <w:r>
              <w:rPr>
                <w:rFonts w:hint="eastAsia" w:ascii="方正书宋_GBK" w:eastAsia="方正书宋_GBK" w:cs="方正书宋_GBK"/>
                <w:color w:val="auto"/>
                <w:lang w:val="en-US" w:eastAsia="zh-CN"/>
              </w:rPr>
              <w:t>3</w:t>
            </w:r>
            <w:r>
              <w:rPr>
                <w:rFonts w:ascii="方正书宋_GBK" w:eastAsia="方正书宋_GBK" w:cs="方正书宋_GBK"/>
                <w:color w:val="auto"/>
              </w:rPr>
              <w:t>.00</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0.50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1.5</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1.5</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1.5</w:t>
            </w: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方正书宋_GBK"/>
                <w:color w:val="auto"/>
                <w:lang w:eastAsia="zh-CN"/>
              </w:rPr>
              <w:t>笔记本电脑</w:t>
            </w:r>
          </w:p>
        </w:tc>
        <w:tc>
          <w:tcPr>
            <w:tcW w:w="1349" w:type="dxa"/>
            <w:vAlign w:val="center"/>
          </w:tcPr>
          <w:p>
            <w:pPr>
              <w:spacing w:line="300" w:lineRule="exact"/>
              <w:jc w:val="left"/>
              <w:rPr>
                <w:rFonts w:ascii="方正书宋_GBK" w:eastAsia="方正书宋_GBK" w:cs="方正书宋_GBK"/>
                <w:color w:val="auto"/>
              </w:rPr>
            </w:pPr>
            <w:r>
              <w:rPr>
                <w:rFonts w:ascii="方正书宋_GBK" w:eastAsia="方正书宋_GBK" w:cs="方正书宋_GBK"/>
                <w:color w:val="auto"/>
              </w:rPr>
              <w:t>A02010105</w:t>
            </w:r>
          </w:p>
        </w:tc>
        <w:tc>
          <w:tcPr>
            <w:tcW w:w="427"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个</w:t>
            </w:r>
          </w:p>
        </w:tc>
        <w:tc>
          <w:tcPr>
            <w:tcW w:w="636" w:type="dxa"/>
            <w:vAlign w:val="center"/>
          </w:tcPr>
          <w:p>
            <w:pPr>
              <w:spacing w:line="300" w:lineRule="exact"/>
              <w:jc w:val="right"/>
              <w:rPr>
                <w:rFonts w:ascii="方正书宋_GBK" w:eastAsia="方正书宋_GBK" w:cs="方正书宋_GBK"/>
                <w:color w:val="auto"/>
              </w:rPr>
            </w:pPr>
            <w:r>
              <w:rPr>
                <w:rFonts w:ascii="方正书宋_GBK" w:eastAsia="方正书宋_GBK" w:cs="方正书宋_GBK"/>
                <w:color w:val="auto"/>
              </w:rPr>
              <w:t>1.00</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0.60</w:t>
            </w: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0.8</w:t>
            </w:r>
          </w:p>
        </w:tc>
        <w:tc>
          <w:tcPr>
            <w:tcW w:w="427"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平板式微型计算机</w:t>
            </w:r>
          </w:p>
        </w:tc>
        <w:tc>
          <w:tcPr>
            <w:tcW w:w="1349" w:type="dxa"/>
            <w:vAlign w:val="center"/>
          </w:tcPr>
          <w:p>
            <w:pPr>
              <w:spacing w:line="300" w:lineRule="exact"/>
              <w:jc w:val="left"/>
              <w:rPr>
                <w:rFonts w:ascii="方正书宋_GBK" w:eastAsia="方正书宋_GBK" w:cs="方正书宋_GBK"/>
                <w:color w:val="auto"/>
              </w:rPr>
            </w:pPr>
            <w:r>
              <w:rPr>
                <w:rFonts w:ascii="方正书宋_GBK" w:eastAsia="方正书宋_GBK" w:cs="方正书宋_GBK"/>
                <w:color w:val="auto"/>
              </w:rPr>
              <w:t>A02010107</w:t>
            </w:r>
          </w:p>
        </w:tc>
        <w:tc>
          <w:tcPr>
            <w:tcW w:w="427"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台</w:t>
            </w:r>
          </w:p>
        </w:tc>
        <w:tc>
          <w:tcPr>
            <w:tcW w:w="636"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2.00</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0.80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0.80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0.80</w:t>
            </w: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打印机</w:t>
            </w:r>
          </w:p>
        </w:tc>
        <w:tc>
          <w:tcPr>
            <w:tcW w:w="1349" w:type="dxa"/>
            <w:vAlign w:val="center"/>
          </w:tcPr>
          <w:p>
            <w:pPr>
              <w:spacing w:line="300" w:lineRule="exact"/>
              <w:jc w:val="lef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A0201060101</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台</w:t>
            </w:r>
          </w:p>
        </w:tc>
        <w:tc>
          <w:tcPr>
            <w:tcW w:w="636"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2.00</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0.20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0" w:hRule="atLeast"/>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0.64</w:t>
            </w:r>
          </w:p>
        </w:tc>
        <w:tc>
          <w:tcPr>
            <w:tcW w:w="427" w:type="dxa"/>
            <w:vAlign w:val="center"/>
          </w:tcPr>
          <w:p>
            <w:pPr>
              <w:spacing w:line="300" w:lineRule="exact"/>
              <w:jc w:val="left"/>
              <w:rPr>
                <w:rFonts w:hint="eastAsia" w:ascii="方正书宋_GBK" w:eastAsia="方正书宋_GBK" w:cs="方正书宋_GBK"/>
                <w:color w:val="auto"/>
                <w:lang w:eastAsia="zh-CN"/>
              </w:rPr>
            </w:pPr>
            <w:r>
              <w:rPr>
                <w:rFonts w:hint="eastAsia" w:ascii="方正书宋_GBK" w:eastAsia="方正书宋_GBK" w:cs="方正书宋_GBK"/>
                <w:color w:val="auto"/>
                <w:lang w:eastAsia="zh-CN"/>
              </w:rPr>
              <w:t>文件柜</w:t>
            </w:r>
          </w:p>
        </w:tc>
        <w:tc>
          <w:tcPr>
            <w:tcW w:w="1349" w:type="dxa"/>
            <w:vAlign w:val="center"/>
          </w:tcPr>
          <w:p>
            <w:pPr>
              <w:spacing w:line="300" w:lineRule="exact"/>
              <w:jc w:val="left"/>
              <w:rPr>
                <w:rFonts w:hint="default" w:ascii="方正书宋_GBK" w:eastAsia="方正书宋_GBK" w:cs="方正书宋_GBK"/>
                <w:color w:val="auto"/>
                <w:sz w:val="15"/>
                <w:szCs w:val="15"/>
                <w:lang w:val="en-US" w:eastAsia="zh-CN"/>
              </w:rPr>
            </w:pPr>
            <w:r>
              <w:rPr>
                <w:rFonts w:hint="eastAsia" w:ascii="方正书宋_GBK" w:eastAsia="方正书宋_GBK" w:cs="方正书宋_GBK"/>
                <w:color w:val="auto"/>
                <w:lang w:val="en-US" w:eastAsia="zh-CN"/>
              </w:rPr>
              <w:t>A06</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个</w:t>
            </w:r>
          </w:p>
        </w:tc>
        <w:tc>
          <w:tcPr>
            <w:tcW w:w="636"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10</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0.064</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0.64</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0.64</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0.64</w:t>
            </w: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办公桌</w:t>
            </w:r>
          </w:p>
        </w:tc>
        <w:tc>
          <w:tcPr>
            <w:tcW w:w="1349" w:type="dxa"/>
            <w:vAlign w:val="center"/>
          </w:tcPr>
          <w:p>
            <w:pPr>
              <w:spacing w:line="300" w:lineRule="exact"/>
              <w:jc w:val="lef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A06</w:t>
            </w:r>
          </w:p>
        </w:tc>
        <w:tc>
          <w:tcPr>
            <w:tcW w:w="427" w:type="dxa"/>
            <w:vAlign w:val="center"/>
          </w:tcPr>
          <w:p>
            <w:pPr>
              <w:spacing w:line="300" w:lineRule="exact"/>
              <w:jc w:val="left"/>
              <w:rPr>
                <w:rFonts w:hint="eastAsia" w:ascii="方正书宋_GBK" w:eastAsia="方正书宋_GBK" w:cs="Times New Roman"/>
                <w:color w:val="auto"/>
                <w:lang w:val="en-US" w:eastAsia="zh-CN"/>
              </w:rPr>
            </w:pPr>
            <w:r>
              <w:rPr>
                <w:rFonts w:hint="eastAsia" w:ascii="方正书宋_GBK" w:eastAsia="方正书宋_GBK" w:cs="Times New Roman"/>
                <w:color w:val="auto"/>
                <w:lang w:val="en-US" w:eastAsia="zh-CN"/>
              </w:rPr>
              <w:t>个</w:t>
            </w:r>
          </w:p>
        </w:tc>
        <w:tc>
          <w:tcPr>
            <w:tcW w:w="636" w:type="dxa"/>
            <w:vAlign w:val="center"/>
          </w:tcPr>
          <w:p>
            <w:pPr>
              <w:spacing w:line="300" w:lineRule="exact"/>
              <w:jc w:val="right"/>
              <w:rPr>
                <w:rFonts w:hint="eastAsia" w:ascii="方正书宋_GBK" w:eastAsia="方正书宋_GBK" w:cs="方正书宋_GBK"/>
                <w:color w:val="auto"/>
                <w:lang w:val="en-US" w:eastAsia="zh-CN"/>
              </w:rPr>
            </w:pPr>
            <w:r>
              <w:rPr>
                <w:rFonts w:hint="eastAsia" w:ascii="方正书宋_GBK" w:eastAsia="方正书宋_GBK" w:cs="方正书宋_GBK"/>
                <w:color w:val="auto"/>
                <w:lang w:val="en-US" w:eastAsia="zh-CN"/>
              </w:rPr>
              <w:t>5</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0.08</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427" w:type="dxa"/>
            <w:vAlign w:val="center"/>
          </w:tcPr>
          <w:p>
            <w:pPr>
              <w:wordWrap w:val="0"/>
              <w:spacing w:line="300" w:lineRule="exact"/>
              <w:jc w:val="right"/>
              <w:rPr>
                <w:rFonts w:ascii="方正书宋_GBK" w:eastAsia="方正书宋_GBK" w:cs="方正书宋_GBK"/>
                <w:color w:val="auto"/>
              </w:rPr>
            </w:pPr>
            <w:r>
              <w:rPr>
                <w:rFonts w:ascii="方正书宋_GBK" w:eastAsia="方正书宋_GBK" w:cs="方正书宋_GBK"/>
                <w:color w:val="auto"/>
              </w:rPr>
              <w:t xml:space="preserve"> </w:t>
            </w:r>
          </w:p>
        </w:tc>
        <w:tc>
          <w:tcPr>
            <w:tcW w:w="427" w:type="dxa"/>
            <w:vAlign w:val="center"/>
          </w:tcPr>
          <w:p>
            <w:pPr>
              <w:spacing w:line="300" w:lineRule="exact"/>
              <w:jc w:val="right"/>
              <w:rPr>
                <w:rFonts w:ascii="方正书宋_GBK" w:eastAsia="方正书宋_GBK" w:cs="Times New Roman"/>
                <w:color w:val="auto"/>
              </w:rPr>
            </w:pPr>
          </w:p>
        </w:tc>
        <w:tc>
          <w:tcPr>
            <w:tcW w:w="427" w:type="dxa"/>
            <w:vAlign w:val="center"/>
          </w:tcPr>
          <w:p>
            <w:pPr>
              <w:spacing w:line="300" w:lineRule="exact"/>
              <w:jc w:val="right"/>
              <w:rPr>
                <w:rFonts w:ascii="方正书宋_GBK" w:eastAsia="方正书宋_GBK" w:cs="Times New Roman"/>
                <w:color w:val="auto"/>
              </w:rPr>
            </w:pPr>
          </w:p>
        </w:tc>
        <w:tc>
          <w:tcPr>
            <w:tcW w:w="427" w:type="dxa"/>
            <w:vAlign w:val="center"/>
          </w:tcPr>
          <w:p>
            <w:pPr>
              <w:spacing w:line="300" w:lineRule="exact"/>
              <w:jc w:val="right"/>
              <w:rPr>
                <w:rFonts w:ascii="方正书宋_GBK" w:eastAsia="方正书宋_GBK" w:cs="Times New Roman"/>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0.66</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沙发</w:t>
            </w:r>
          </w:p>
        </w:tc>
        <w:tc>
          <w:tcPr>
            <w:tcW w:w="1349" w:type="dxa"/>
            <w:vAlign w:val="center"/>
          </w:tcPr>
          <w:p>
            <w:pPr>
              <w:spacing w:line="300" w:lineRule="exact"/>
              <w:jc w:val="left"/>
              <w:rPr>
                <w:rFonts w:ascii="方正书宋_GBK" w:eastAsia="方正书宋_GBK" w:cs="方正书宋_GBK"/>
                <w:color w:val="auto"/>
              </w:rPr>
            </w:pPr>
            <w:r>
              <w:rPr>
                <w:rFonts w:hint="eastAsia" w:ascii="方正书宋_GBK" w:eastAsia="方正书宋_GBK" w:cs="方正书宋_GBK"/>
                <w:color w:val="auto"/>
                <w:lang w:val="en-US" w:eastAsia="zh-CN"/>
              </w:rPr>
              <w:t>A06</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组</w:t>
            </w:r>
          </w:p>
        </w:tc>
        <w:tc>
          <w:tcPr>
            <w:tcW w:w="636" w:type="dxa"/>
            <w:vAlign w:val="center"/>
          </w:tcPr>
          <w:p>
            <w:pPr>
              <w:spacing w:line="300" w:lineRule="exact"/>
              <w:jc w:val="right"/>
              <w:rPr>
                <w:rFonts w:hint="eastAsia" w:ascii="方正书宋_GBK" w:eastAsia="方正书宋_GBK" w:cs="方正书宋_GBK"/>
                <w:color w:val="auto"/>
                <w:lang w:val="en-US" w:eastAsia="zh-CN"/>
              </w:rPr>
            </w:pPr>
            <w:r>
              <w:rPr>
                <w:rFonts w:hint="eastAsia" w:ascii="方正书宋_GBK" w:eastAsia="方正书宋_GBK" w:cs="方正书宋_GBK"/>
                <w:color w:val="auto"/>
                <w:lang w:val="en-US" w:eastAsia="zh-CN"/>
              </w:rPr>
              <w:t>3</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0.22</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0.66</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0.66</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0.66</w:t>
            </w: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r>
    </w:tbl>
    <w:p>
      <w:pPr>
        <w:jc w:val="both"/>
        <w:outlineLvl w:val="0"/>
        <w:rPr>
          <w:rFonts w:ascii="方正小标宋_GBK" w:eastAsia="方正小标宋_GBK" w:cs="Times New Roman"/>
          <w:color w:val="0000FF"/>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隆尧县统计局</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themeColor="text1"/>
          <w:sz w:val="32"/>
          <w:szCs w:val="32"/>
          <w:lang w:val="en-US" w:eastAsia="zh-CN"/>
        </w:rPr>
        <w:t>88.46</w:t>
      </w:r>
      <w:r>
        <w:rPr>
          <w:rFonts w:hint="eastAsia" w:ascii="Times New Roman" w:hAnsi="Times New Roman" w:eastAsia="仿宋" w:cs="仿宋"/>
          <w:color w:val="000000" w:themeColor="text1"/>
          <w:sz w:val="32"/>
          <w:szCs w:val="32"/>
        </w:rPr>
        <w:t>万</w:t>
      </w:r>
      <w:r>
        <w:rPr>
          <w:rFonts w:hint="eastAsia" w:ascii="Times New Roman" w:hAnsi="Times New Roman" w:eastAsia="仿宋" w:cs="仿宋"/>
          <w:color w:val="000000"/>
          <w:sz w:val="32"/>
          <w:szCs w:val="32"/>
        </w:rPr>
        <w:t>元（详见下表），本年度各单位（处室）拟购置固定资产总额为</w:t>
      </w:r>
      <w:r>
        <w:rPr>
          <w:rFonts w:hint="eastAsia" w:ascii="Times New Roman" w:hAnsi="Times New Roman" w:eastAsia="仿宋" w:cs="Times New Roman"/>
          <w:color w:val="000000"/>
          <w:sz w:val="32"/>
          <w:szCs w:val="32"/>
          <w:lang w:val="en-US" w:eastAsia="zh-CN"/>
        </w:rPr>
        <w:t>5</w:t>
      </w:r>
      <w:r>
        <w:rPr>
          <w:rFonts w:hint="eastAsia" w:ascii="Times New Roman" w:hAnsi="Times New Roman" w:eastAsia="仿宋" w:cs="仿宋"/>
          <w:color w:val="000000"/>
          <w:sz w:val="32"/>
          <w:szCs w:val="32"/>
        </w:rPr>
        <w:t>万元，主要为</w:t>
      </w:r>
      <w:r>
        <w:rPr>
          <w:rFonts w:hint="eastAsia" w:ascii="Times New Roman" w:hAnsi="Times New Roman" w:eastAsia="仿宋" w:cs="仿宋"/>
          <w:color w:val="000000"/>
          <w:sz w:val="32"/>
          <w:szCs w:val="32"/>
          <w:lang w:eastAsia="zh-CN"/>
        </w:rPr>
        <w:t>计算机、打印机等</w:t>
      </w:r>
      <w:r>
        <w:rPr>
          <w:rFonts w:hint="eastAsia" w:ascii="Times New Roman" w:hAnsi="Times New Roman" w:eastAsia="仿宋" w:cs="仿宋"/>
          <w:color w:val="000000"/>
          <w:sz w:val="32"/>
          <w:szCs w:val="32"/>
        </w:rPr>
        <w:t>。</w:t>
      </w:r>
    </w:p>
    <w:tbl>
      <w:tblPr>
        <w:tblStyle w:val="9"/>
        <w:tblW w:w="9684" w:type="dxa"/>
        <w:tblInd w:w="-106" w:type="dxa"/>
        <w:tblLayout w:type="fixed"/>
        <w:tblCellMar>
          <w:top w:w="0" w:type="dxa"/>
          <w:left w:w="108" w:type="dxa"/>
          <w:bottom w:w="0" w:type="dxa"/>
          <w:right w:w="108" w:type="dxa"/>
        </w:tblCellMar>
      </w:tblPr>
      <w:tblGrid>
        <w:gridCol w:w="3752"/>
        <w:gridCol w:w="2266"/>
        <w:gridCol w:w="3666"/>
      </w:tblGrid>
      <w:tr>
        <w:trPr>
          <w:trHeight w:val="705" w:hRule="atLeast"/>
        </w:trPr>
        <w:tc>
          <w:tcPr>
            <w:tcW w:w="9684"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隆尧县统计局固定资产占用情况表</w:t>
            </w:r>
          </w:p>
        </w:tc>
      </w:tr>
      <w:tr>
        <w:tblPrEx>
          <w:tblCellMar>
            <w:top w:w="0" w:type="dxa"/>
            <w:left w:w="108" w:type="dxa"/>
            <w:bottom w:w="0" w:type="dxa"/>
            <w:right w:w="108" w:type="dxa"/>
          </w:tblCellMar>
        </w:tblPrEx>
        <w:trPr>
          <w:trHeight w:val="510" w:hRule="atLeast"/>
        </w:trPr>
        <w:tc>
          <w:tcPr>
            <w:tcW w:w="6018"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编制部门：隆尧县统计局</w:t>
            </w:r>
          </w:p>
        </w:tc>
        <w:tc>
          <w:tcPr>
            <w:tcW w:w="3666" w:type="dxa"/>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w:t>
            </w:r>
            <w:r>
              <w:rPr>
                <w:rFonts w:hint="eastAsia" w:ascii="Times New Roman" w:hAnsi="Times New Roman" w:eastAsia="仿宋" w:cs="Times New Roman"/>
                <w:kern w:val="0"/>
                <w:sz w:val="22"/>
                <w:szCs w:val="22"/>
                <w:lang w:val="en-US" w:eastAsia="zh-CN"/>
              </w:rPr>
              <w:t>20</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375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2266"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3666"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szCs w:val="22"/>
                <w:lang w:val="en-US" w:eastAsia="zh-CN"/>
              </w:rPr>
            </w:pPr>
            <w:r>
              <w:rPr>
                <w:rFonts w:hint="eastAsia" w:ascii="Times New Roman" w:hAnsi="Times New Roman" w:eastAsia="仿宋" w:cs="Times New Roman"/>
                <w:color w:val="000000"/>
                <w:kern w:val="0"/>
                <w:sz w:val="22"/>
                <w:szCs w:val="22"/>
                <w:lang w:val="en-US" w:eastAsia="zh-CN"/>
              </w:rPr>
              <w:t>88.46</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88.46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707" w:firstLineChars="220"/>
        <w:rPr>
          <w:rFonts w:ascii="仿宋_GB2312" w:hAnsi="仿宋_GB2312" w:eastAsia="仿宋_GB2312" w:cs="Times New Roman"/>
          <w:color w:val="000000"/>
          <w:sz w:val="32"/>
          <w:szCs w:val="32"/>
        </w:rPr>
      </w:pPr>
      <w:r>
        <w:rPr>
          <w:rFonts w:ascii="仿宋_GB2312" w:hAnsi="仿宋_GB2312" w:eastAsia="仿宋_GB2312" w:cs="仿宋_GB2312"/>
          <w:b/>
          <w:bCs/>
          <w:color w:val="000000"/>
          <w:sz w:val="32"/>
          <w:szCs w:val="32"/>
        </w:rPr>
        <w:t>1</w:t>
      </w:r>
      <w:r>
        <w:rPr>
          <w:rFonts w:hint="eastAsia" w:ascii="仿宋_GB2312" w:hAnsi="仿宋_GB2312" w:eastAsia="仿宋_GB2312" w:cs="仿宋_GB2312"/>
          <w:color w:val="000000"/>
          <w:sz w:val="32"/>
          <w:szCs w:val="32"/>
        </w:rPr>
        <w:t>、一般共预算拨款收入：指县级财政当年拨付的资金。</w:t>
      </w:r>
    </w:p>
    <w:p>
      <w:pPr>
        <w:autoSpaceDE w:val="0"/>
        <w:autoSpaceDN w:val="0"/>
        <w:ind w:firstLine="707" w:firstLineChars="220"/>
        <w:rPr>
          <w:rFonts w:ascii="仿宋_GB2312" w:hAnsi="仿宋_GB2312" w:eastAsia="仿宋_GB2312" w:cs="Times New Roman"/>
          <w:color w:val="000000"/>
          <w:sz w:val="32"/>
          <w:szCs w:val="32"/>
        </w:rPr>
      </w:pPr>
      <w:r>
        <w:rPr>
          <w:rFonts w:ascii="仿宋_GB2312" w:hAnsi="仿宋_GB2312" w:eastAsia="仿宋_GB2312" w:cs="仿宋_GB2312"/>
          <w:b/>
          <w:bCs/>
          <w:color w:val="000000"/>
          <w:sz w:val="32"/>
          <w:szCs w:val="32"/>
        </w:rPr>
        <w:t>2</w:t>
      </w:r>
      <w:r>
        <w:rPr>
          <w:rFonts w:hint="eastAsia" w:ascii="仿宋_GB2312" w:hAnsi="仿宋_GB2312" w:eastAsia="仿宋_GB2312" w:cs="仿宋_GB2312"/>
          <w:color w:val="000000"/>
          <w:sz w:val="32"/>
          <w:szCs w:val="32"/>
        </w:rPr>
        <w:t>、基本支出：指为保障机构正常运转、完成日常工作任务而发生的人员支出和公用支出。</w:t>
      </w:r>
    </w:p>
    <w:p>
      <w:pPr>
        <w:autoSpaceDE w:val="0"/>
        <w:autoSpaceDN w:val="0"/>
        <w:ind w:firstLine="707" w:firstLineChars="220"/>
        <w:rPr>
          <w:rFonts w:ascii="仿宋_GB2312" w:hAnsi="仿宋_GB2312" w:eastAsia="仿宋_GB2312" w:cs="Times New Roman"/>
          <w:color w:val="000000"/>
          <w:sz w:val="32"/>
          <w:szCs w:val="32"/>
        </w:rPr>
      </w:pPr>
      <w:r>
        <w:rPr>
          <w:rFonts w:ascii="仿宋_GB2312" w:hAnsi="仿宋_GB2312" w:eastAsia="仿宋_GB2312" w:cs="仿宋_GB2312"/>
          <w:b/>
          <w:bCs/>
          <w:color w:val="000000"/>
          <w:sz w:val="32"/>
          <w:szCs w:val="32"/>
        </w:rPr>
        <w:t>3</w:t>
      </w:r>
      <w:r>
        <w:rPr>
          <w:rFonts w:hint="eastAsia" w:ascii="仿宋_GB2312" w:hAnsi="仿宋_GB2312" w:eastAsia="仿宋_GB2312" w:cs="仿宋_GB2312"/>
          <w:color w:val="000000"/>
          <w:sz w:val="32"/>
          <w:szCs w:val="32"/>
        </w:rPr>
        <w:t>、项目支出：指在基本支出之外为完成特定行政任务和事业发展目标所发生的支出。</w:t>
      </w:r>
    </w:p>
    <w:p>
      <w:pPr>
        <w:autoSpaceDE w:val="0"/>
        <w:autoSpaceDN w:val="0"/>
        <w:ind w:firstLine="707" w:firstLineChars="220"/>
        <w:rPr>
          <w:rFonts w:ascii="仿宋_GB2312" w:hAnsi="仿宋_GB2312" w:eastAsia="仿宋_GB2312" w:cs="Times New Roman"/>
          <w:color w:val="000000"/>
          <w:sz w:val="32"/>
          <w:szCs w:val="32"/>
        </w:rPr>
      </w:pPr>
      <w:r>
        <w:rPr>
          <w:rFonts w:ascii="仿宋_GB2312" w:hAnsi="仿宋_GB2312" w:eastAsia="仿宋_GB2312" w:cs="仿宋_GB2312"/>
          <w:b/>
          <w:bCs/>
          <w:color w:val="000000"/>
          <w:sz w:val="32"/>
          <w:szCs w:val="32"/>
        </w:rPr>
        <w:t>4</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b/>
          <w:bCs/>
          <w:color w:val="000000"/>
          <w:sz w:val="32"/>
          <w:szCs w:val="32"/>
        </w:rPr>
        <w:t>“</w:t>
      </w:r>
      <w:r>
        <w:rPr>
          <w:rFonts w:hint="eastAsia" w:ascii="仿宋_GB2312" w:hAnsi="仿宋_GB2312" w:eastAsia="仿宋_GB2312" w:cs="仿宋_GB2312"/>
          <w:color w:val="000000"/>
          <w:sz w:val="32"/>
          <w:szCs w:val="32"/>
        </w:rPr>
        <w:t>三公</w:t>
      </w:r>
      <w:r>
        <w:rPr>
          <w:rFonts w:hint="eastAsia" w:ascii="仿宋_GB2312" w:hAnsi="仿宋_GB2312" w:eastAsia="仿宋_GB2312" w:cs="仿宋_GB2312"/>
          <w:b/>
          <w:bCs/>
          <w:color w:val="000000"/>
          <w:sz w:val="32"/>
          <w:szCs w:val="32"/>
        </w:rPr>
        <w:t>”</w:t>
      </w:r>
      <w:r>
        <w:rPr>
          <w:rFonts w:hint="eastAsia" w:ascii="仿宋_GB2312" w:hAnsi="仿宋_GB2312" w:eastAsia="仿宋_GB2312" w:cs="仿宋_GB2312"/>
          <w:color w:val="000000"/>
          <w:sz w:val="32"/>
          <w:szCs w:val="32"/>
        </w:rPr>
        <w:t>经费：纳入县级财政预算管理的“三公”经费，是指县级部门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支出。</w:t>
      </w:r>
    </w:p>
    <w:p>
      <w:pPr>
        <w:ind w:firstLine="707" w:firstLineChars="220"/>
        <w:rPr>
          <w:rFonts w:ascii="仿宋_GB2312" w:hAnsi="仿宋_GB2312" w:eastAsia="仿宋_GB2312" w:cs="Times New Roman"/>
          <w:color w:val="000000"/>
          <w:sz w:val="32"/>
          <w:szCs w:val="32"/>
        </w:rPr>
      </w:pPr>
      <w:r>
        <w:rPr>
          <w:rFonts w:ascii="仿宋_GB2312" w:hAnsi="仿宋_GB2312" w:eastAsia="仿宋_GB2312" w:cs="仿宋_GB2312"/>
          <w:b/>
          <w:bCs/>
          <w:color w:val="000000"/>
          <w:sz w:val="32"/>
          <w:szCs w:val="32"/>
        </w:rPr>
        <w:t>5</w:t>
      </w:r>
      <w:r>
        <w:rPr>
          <w:rFonts w:hint="eastAsia" w:ascii="仿宋_GB2312" w:hAnsi="仿宋_GB2312" w:eastAsia="仿宋_GB2312" w:cs="仿宋_GB2312"/>
          <w:color w:val="000000"/>
          <w:sz w:val="32"/>
          <w:szCs w:val="32"/>
        </w:rPr>
        <w:t>、机关运行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黑体" w:hAnsi="黑体" w:eastAsia="黑体" w:cs="黑体"/>
          <w:b w:val="0"/>
          <w:bCs w:val="0"/>
          <w:sz w:val="32"/>
          <w:szCs w:val="32"/>
        </w:rPr>
      </w:pPr>
      <w:r>
        <w:rPr>
          <w:rFonts w:hint="eastAsia" w:ascii="黑体" w:hAnsi="黑体" w:eastAsia="黑体" w:cs="黑体"/>
          <w:b w:val="0"/>
          <w:bCs w:val="0"/>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headerReference r:id="rId3" w:type="default"/>
      <w:pgSz w:w="11906" w:h="16838"/>
      <w:pgMar w:top="1134" w:right="130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7CD236"/>
    <w:multiLevelType w:val="singleLevel"/>
    <w:tmpl w:val="5C7CD236"/>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67CC4"/>
    <w:rsid w:val="0000235E"/>
    <w:rsid w:val="00015104"/>
    <w:rsid w:val="00041E2A"/>
    <w:rsid w:val="00041E7A"/>
    <w:rsid w:val="000B4B53"/>
    <w:rsid w:val="00123096"/>
    <w:rsid w:val="00152FAC"/>
    <w:rsid w:val="001A757C"/>
    <w:rsid w:val="001C46DC"/>
    <w:rsid w:val="001F50AC"/>
    <w:rsid w:val="0022420D"/>
    <w:rsid w:val="00260003"/>
    <w:rsid w:val="00261B5D"/>
    <w:rsid w:val="00267D04"/>
    <w:rsid w:val="00295BCC"/>
    <w:rsid w:val="002B00AC"/>
    <w:rsid w:val="00325FDA"/>
    <w:rsid w:val="0038693B"/>
    <w:rsid w:val="003A64B3"/>
    <w:rsid w:val="003B0585"/>
    <w:rsid w:val="003F4292"/>
    <w:rsid w:val="00406569"/>
    <w:rsid w:val="0042520B"/>
    <w:rsid w:val="0046545D"/>
    <w:rsid w:val="0047389C"/>
    <w:rsid w:val="004822EB"/>
    <w:rsid w:val="004B2A9C"/>
    <w:rsid w:val="004F486E"/>
    <w:rsid w:val="00516DE5"/>
    <w:rsid w:val="00557619"/>
    <w:rsid w:val="005722D7"/>
    <w:rsid w:val="00594DD7"/>
    <w:rsid w:val="005F466F"/>
    <w:rsid w:val="00614825"/>
    <w:rsid w:val="00624B8A"/>
    <w:rsid w:val="0070617C"/>
    <w:rsid w:val="007941F0"/>
    <w:rsid w:val="007A0AAD"/>
    <w:rsid w:val="007D06B6"/>
    <w:rsid w:val="007D74B6"/>
    <w:rsid w:val="00857FFD"/>
    <w:rsid w:val="008A7217"/>
    <w:rsid w:val="008C0D97"/>
    <w:rsid w:val="00955197"/>
    <w:rsid w:val="00961ABF"/>
    <w:rsid w:val="009C3618"/>
    <w:rsid w:val="009F34CC"/>
    <w:rsid w:val="00A5050A"/>
    <w:rsid w:val="00AB2777"/>
    <w:rsid w:val="00AB32AF"/>
    <w:rsid w:val="00AC051D"/>
    <w:rsid w:val="00AC2E8F"/>
    <w:rsid w:val="00B561C6"/>
    <w:rsid w:val="00B72DF6"/>
    <w:rsid w:val="00BA68F2"/>
    <w:rsid w:val="00BB690E"/>
    <w:rsid w:val="00BD78D6"/>
    <w:rsid w:val="00C1201A"/>
    <w:rsid w:val="00C40AA4"/>
    <w:rsid w:val="00C43390"/>
    <w:rsid w:val="00C44099"/>
    <w:rsid w:val="00C67CC4"/>
    <w:rsid w:val="00CB1C9E"/>
    <w:rsid w:val="00CE4B6E"/>
    <w:rsid w:val="00CE7C46"/>
    <w:rsid w:val="00CF77F0"/>
    <w:rsid w:val="00D86EFD"/>
    <w:rsid w:val="00DB6250"/>
    <w:rsid w:val="00DF79C7"/>
    <w:rsid w:val="00E526C5"/>
    <w:rsid w:val="00E567A1"/>
    <w:rsid w:val="00E82D0A"/>
    <w:rsid w:val="00EA6C03"/>
    <w:rsid w:val="00EC3709"/>
    <w:rsid w:val="00F5760A"/>
    <w:rsid w:val="00F705E0"/>
    <w:rsid w:val="00F73D27"/>
    <w:rsid w:val="00F96ECE"/>
    <w:rsid w:val="00FC2F07"/>
    <w:rsid w:val="00FE5CE4"/>
    <w:rsid w:val="00FF5C16"/>
    <w:rsid w:val="02D17B65"/>
    <w:rsid w:val="06E35A04"/>
    <w:rsid w:val="0835460C"/>
    <w:rsid w:val="0BD5744D"/>
    <w:rsid w:val="0CB73A90"/>
    <w:rsid w:val="111D24F3"/>
    <w:rsid w:val="11E671F1"/>
    <w:rsid w:val="16CC1BF2"/>
    <w:rsid w:val="20443E60"/>
    <w:rsid w:val="2C5350CE"/>
    <w:rsid w:val="37C94AC5"/>
    <w:rsid w:val="38B550E8"/>
    <w:rsid w:val="45F257ED"/>
    <w:rsid w:val="46CC53B8"/>
    <w:rsid w:val="4E547613"/>
    <w:rsid w:val="4F9334EF"/>
    <w:rsid w:val="5A142E4E"/>
    <w:rsid w:val="5DA6236C"/>
    <w:rsid w:val="60C415D9"/>
    <w:rsid w:val="64B80E60"/>
    <w:rsid w:val="65EB0508"/>
    <w:rsid w:val="6A19049C"/>
    <w:rsid w:val="6EBB1985"/>
    <w:rsid w:val="77B603BE"/>
    <w:rsid w:val="78E55730"/>
    <w:rsid w:val="79C81CBF"/>
    <w:rsid w:val="7D704CBF"/>
    <w:rsid w:val="7F62294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semiHidden="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qFormat="1" w:unhideWhenUsed="0"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3"/>
    <w:basedOn w:val="1"/>
    <w:next w:val="1"/>
    <w:unhideWhenUsed/>
    <w:qFormat/>
    <w:locked/>
    <w:uiPriority w:val="0"/>
    <w:pPr>
      <w:keepNext/>
      <w:keepLines/>
      <w:spacing w:before="260" w:beforeLines="0" w:beforeAutospacing="0" w:after="260" w:afterLines="0" w:afterAutospacing="0" w:line="413" w:lineRule="auto"/>
      <w:outlineLvl w:val="2"/>
    </w:pPr>
    <w:rPr>
      <w:b/>
      <w:sz w:val="32"/>
    </w:rPr>
  </w:style>
  <w:style w:type="character" w:default="1" w:styleId="11">
    <w:name w:val="Default Paragraph Font"/>
    <w:semiHidden/>
    <w:qFormat/>
    <w:uiPriority w:val="99"/>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Document Map"/>
    <w:basedOn w:val="1"/>
    <w:link w:val="14"/>
    <w:semiHidden/>
    <w:qFormat/>
    <w:uiPriority w:val="99"/>
    <w:pPr>
      <w:shd w:val="clear" w:color="auto" w:fill="000080"/>
    </w:pPr>
  </w:style>
  <w:style w:type="paragraph" w:styleId="4">
    <w:name w:val="footer"/>
    <w:basedOn w:val="1"/>
    <w:link w:val="15"/>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5">
    <w:name w:val="header"/>
    <w:basedOn w:val="1"/>
    <w:link w:val="16"/>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6">
    <w:name w:val="toc 1"/>
    <w:basedOn w:val="1"/>
    <w:next w:val="1"/>
    <w:semiHidden/>
    <w:qFormat/>
    <w:uiPriority w:val="99"/>
    <w:rPr>
      <w:rFonts w:ascii="Times New Roman" w:hAnsi="Times New Roman" w:cs="Times New Roman"/>
    </w:rPr>
  </w:style>
  <w:style w:type="paragraph" w:styleId="7">
    <w:name w:val="footnote text"/>
    <w:basedOn w:val="1"/>
    <w:link w:val="17"/>
    <w:semiHidden/>
    <w:qFormat/>
    <w:uiPriority w:val="99"/>
    <w:pPr>
      <w:snapToGrid w:val="0"/>
      <w:jc w:val="left"/>
    </w:pPr>
    <w:rPr>
      <w:sz w:val="18"/>
      <w:szCs w:val="18"/>
    </w:rPr>
  </w:style>
  <w:style w:type="paragraph" w:styleId="8">
    <w:name w:val="toc 2"/>
    <w:basedOn w:val="1"/>
    <w:next w:val="1"/>
    <w:semiHidden/>
    <w:qFormat/>
    <w:uiPriority w:val="99"/>
    <w:pPr>
      <w:ind w:left="420" w:leftChars="200"/>
    </w:pPr>
    <w:rPr>
      <w:rFonts w:ascii="Times New Roman" w:hAnsi="Times New Roman" w:cs="Times New Roman"/>
    </w:rPr>
  </w:style>
  <w:style w:type="table" w:styleId="10">
    <w:name w:val="Table Grid"/>
    <w:basedOn w:val="9"/>
    <w:qFormat/>
    <w:locked/>
    <w:uiPriority w:val="99"/>
    <w:pPr>
      <w:widowControl w:val="0"/>
      <w:jc w:val="both"/>
    </w:pPr>
    <w:rPr>
      <w:rFonts w:ascii="Calibri" w:hAnsi="Calibri" w:cs="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page number"/>
    <w:basedOn w:val="11"/>
    <w:qFormat/>
    <w:uiPriority w:val="99"/>
  </w:style>
  <w:style w:type="character" w:styleId="13">
    <w:name w:val="footnote reference"/>
    <w:basedOn w:val="11"/>
    <w:semiHidden/>
    <w:qFormat/>
    <w:uiPriority w:val="99"/>
    <w:rPr>
      <w:vertAlign w:val="superscript"/>
    </w:rPr>
  </w:style>
  <w:style w:type="character" w:customStyle="1" w:styleId="14">
    <w:name w:val="Document Map Char"/>
    <w:basedOn w:val="11"/>
    <w:link w:val="3"/>
    <w:semiHidden/>
    <w:qFormat/>
    <w:locked/>
    <w:uiPriority w:val="99"/>
    <w:rPr>
      <w:sz w:val="2"/>
      <w:szCs w:val="2"/>
    </w:rPr>
  </w:style>
  <w:style w:type="character" w:customStyle="1" w:styleId="15">
    <w:name w:val="Footer Char"/>
    <w:basedOn w:val="11"/>
    <w:link w:val="4"/>
    <w:semiHidden/>
    <w:qFormat/>
    <w:locked/>
    <w:uiPriority w:val="99"/>
    <w:rPr>
      <w:rFonts w:ascii="Times New Roman" w:hAnsi="Times New Roman" w:eastAsia="宋体" w:cs="Times New Roman"/>
      <w:sz w:val="18"/>
      <w:szCs w:val="18"/>
    </w:rPr>
  </w:style>
  <w:style w:type="character" w:customStyle="1" w:styleId="16">
    <w:name w:val="Header Char"/>
    <w:basedOn w:val="11"/>
    <w:link w:val="5"/>
    <w:semiHidden/>
    <w:qFormat/>
    <w:locked/>
    <w:uiPriority w:val="99"/>
    <w:rPr>
      <w:rFonts w:ascii="Times New Roman" w:hAnsi="Times New Roman" w:eastAsia="宋体" w:cs="Times New Roman"/>
      <w:sz w:val="18"/>
      <w:szCs w:val="18"/>
    </w:rPr>
  </w:style>
  <w:style w:type="character" w:customStyle="1" w:styleId="17">
    <w:name w:val="Footnote Text Char"/>
    <w:basedOn w:val="11"/>
    <w:link w:val="7"/>
    <w:semiHidden/>
    <w:qFormat/>
    <w:locked/>
    <w:uiPriority w:val="99"/>
    <w:rPr>
      <w:rFonts w:ascii="Calibri" w:hAnsi="Calibri" w:cs="Calibri"/>
      <w:sz w:val="18"/>
      <w:szCs w:val="18"/>
    </w:rPr>
  </w:style>
  <w:style w:type="paragraph" w:customStyle="1" w:styleId="18">
    <w:name w:val="Char"/>
    <w:basedOn w:val="1"/>
    <w:qFormat/>
    <w:uiPriority w:val="99"/>
    <w:rPr>
      <w:rFonts w:ascii="Times New Roman" w:hAnsi="Times New Roman" w:cs="Times New Roman"/>
    </w:rPr>
  </w:style>
  <w:style w:type="paragraph" w:customStyle="1" w:styleId="19">
    <w:name w:val="[Normal]"/>
    <w:qFormat/>
    <w:uiPriority w:val="99"/>
    <w:rPr>
      <w:rFonts w:ascii="宋体" w:hAnsi="宋体" w:eastAsia="宋体" w:cs="宋体"/>
      <w:kern w:val="0"/>
      <w:sz w:val="24"/>
      <w:szCs w:val="24"/>
      <w:lang w:val="en-US" w:eastAsia="en-US" w:bidi="ar-SA"/>
    </w:rPr>
  </w:style>
  <w:style w:type="paragraph" w:customStyle="1" w:styleId="20">
    <w:name w:val="列出段落1"/>
    <w:basedOn w:val="1"/>
    <w:qFormat/>
    <w:uiPriority w:val="99"/>
    <w:pPr>
      <w:ind w:firstLine="420"/>
    </w:pPr>
    <w:rPr>
      <w:kern w:val="0"/>
      <w:lang w:eastAsia="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China</Company>
  <Pages>13</Pages>
  <Words>1152</Words>
  <Characters>6568</Characters>
  <Lines>0</Lines>
  <Paragraphs>0</Paragraphs>
  <TotalTime>2</TotalTime>
  <ScaleCrop>false</ScaleCrop>
  <LinksUpToDate>false</LinksUpToDate>
  <CharactersWithSpaces>0</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2017-01-23T09:29:00Z</dcterms:created>
  <dc:creator>guest</dc:creator>
  <cp:lastModifiedBy>dell</cp:lastModifiedBy>
  <cp:lastPrinted>2021-03-12T03:31:00Z</cp:lastPrinted>
  <dcterms:modified xsi:type="dcterms:W3CDTF">2024-10-18T02:41:05Z</dcterms:modified>
  <dc:title>o</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6462CD0B9AE947E9B8BD21EC8CBE4CBB</vt:lpwstr>
  </property>
</Properties>
</file>