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C804F4">
      <w:pPr>
        <w:keepNext w:val="0"/>
        <w:keepLines w:val="0"/>
        <w:pageBreakBefore w:val="0"/>
        <w:widowControl w:val="0"/>
        <w:kinsoku/>
        <w:wordWrap/>
        <w:overflowPunct/>
        <w:topLinePunct w:val="0"/>
        <w:autoSpaceDE/>
        <w:autoSpaceDN/>
        <w:bidi w:val="0"/>
        <w:adjustRightInd/>
        <w:snapToGrid/>
        <w:spacing w:after="157" w:afterLines="50"/>
        <w:ind w:left="0" w:leftChars="0" w:firstLine="0" w:firstLineChars="0"/>
        <w:jc w:val="center"/>
        <w:textAlignment w:val="auto"/>
        <w:outlineLvl w:val="9"/>
        <w:rPr>
          <w:rFonts w:hint="eastAsia" w:ascii="方正小标宋_GBK" w:hAnsi="方正小标宋_GBK" w:eastAsia="方正小标宋_GBK" w:cs="方正小标宋_GBK"/>
          <w:bCs/>
          <w:spacing w:val="-6"/>
          <w:sz w:val="44"/>
          <w:szCs w:val="44"/>
          <w:lang w:val="en-US" w:eastAsia="zh-CN"/>
        </w:rPr>
      </w:pPr>
      <w:r>
        <w:rPr>
          <w:rFonts w:hint="eastAsia" w:ascii="方正小标宋_GBK" w:hAnsi="方正小标宋_GBK" w:eastAsia="方正小标宋_GBK" w:cs="方正小标宋_GBK"/>
          <w:bCs/>
          <w:spacing w:val="-6"/>
          <w:sz w:val="44"/>
          <w:szCs w:val="44"/>
          <w:lang w:val="en-US" w:eastAsia="zh-CN"/>
        </w:rPr>
        <w:t>关于分布式光伏可开放容量的报告</w:t>
      </w:r>
    </w:p>
    <w:p w14:paraId="355DD78E">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隆尧县发展和改革局：</w:t>
      </w:r>
    </w:p>
    <w:p w14:paraId="482AE5FE">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为落实冀发改能源〔2022〕1243号文件要求，进一步引导分布式光伏规范开发，保障电力系统安全运行和可靠供应，现将本县域内新能源已并网容量及分布式光伏可开发容量情况进行报备，为后续开发分布式光伏提供参考，具体内容如下：</w:t>
      </w:r>
    </w:p>
    <w:p w14:paraId="116880D1">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黑体_GBK" w:hAnsi="方正黑体_GBK" w:eastAsia="方正黑体_GBK" w:cs="方正黑体_GBK"/>
          <w:bCs/>
          <w:spacing w:val="-6"/>
          <w:sz w:val="32"/>
          <w:szCs w:val="32"/>
          <w:lang w:val="en-US" w:eastAsia="zh-CN"/>
        </w:rPr>
      </w:pPr>
      <w:r>
        <w:rPr>
          <w:rFonts w:hint="eastAsia" w:ascii="方正黑体_GBK" w:hAnsi="方正黑体_GBK" w:eastAsia="方正黑体_GBK" w:cs="方正黑体_GBK"/>
          <w:bCs/>
          <w:spacing w:val="-6"/>
          <w:sz w:val="32"/>
          <w:szCs w:val="32"/>
          <w:lang w:val="en-US" w:eastAsia="zh-CN"/>
        </w:rPr>
        <w:t>一、已并网容量情况</w:t>
      </w:r>
    </w:p>
    <w:p w14:paraId="7AF7B548">
      <w:pPr>
        <w:keepNext w:val="0"/>
        <w:keepLines w:val="0"/>
        <w:pageBreakBefore w:val="0"/>
        <w:widowControl w:val="0"/>
        <w:kinsoku/>
        <w:wordWrap/>
        <w:overflowPunct/>
        <w:topLinePunct w:val="0"/>
        <w:autoSpaceDE/>
        <w:autoSpaceDN/>
        <w:bidi w:val="0"/>
        <w:adjustRightInd/>
        <w:snapToGrid/>
        <w:spacing w:line="560" w:lineRule="exact"/>
        <w:ind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Cs/>
          <w:spacing w:val="-6"/>
          <w:sz w:val="32"/>
          <w:szCs w:val="32"/>
          <w:lang w:val="zh-CN" w:eastAsia="zh-CN"/>
        </w:rPr>
        <w:t>1.分布式新能源项目</w:t>
      </w:r>
    </w:p>
    <w:p w14:paraId="0A51BDF6">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Cs/>
          <w:spacing w:val="-6"/>
          <w:sz w:val="32"/>
          <w:szCs w:val="32"/>
          <w:lang w:val="zh-CN" w:eastAsia="zh-CN"/>
        </w:rPr>
        <w:t>截止</w:t>
      </w:r>
      <w:r>
        <w:rPr>
          <w:rFonts w:hint="eastAsia" w:ascii="方正仿宋_GBK" w:hAnsi="方正仿宋_GBK" w:eastAsia="方正仿宋_GBK" w:cs="方正仿宋_GBK"/>
          <w:bCs/>
          <w:spacing w:val="-6"/>
          <w:sz w:val="32"/>
          <w:szCs w:val="32"/>
          <w:lang w:val="en-US" w:eastAsia="zh-CN"/>
        </w:rPr>
        <w:t>2024年9</w:t>
      </w:r>
      <w:r>
        <w:rPr>
          <w:rFonts w:hint="eastAsia" w:ascii="方正仿宋_GBK" w:hAnsi="方正仿宋_GBK" w:eastAsia="方正仿宋_GBK" w:cs="方正仿宋_GBK"/>
          <w:bCs/>
          <w:spacing w:val="-6"/>
          <w:sz w:val="32"/>
          <w:szCs w:val="32"/>
          <w:lang w:val="zh-CN" w:eastAsia="zh-CN"/>
        </w:rPr>
        <w:t>月底，本县域内已并网分布式光伏</w:t>
      </w:r>
      <w:r>
        <w:rPr>
          <w:rFonts w:hint="eastAsia" w:ascii="方正仿宋_GBK" w:hAnsi="方正仿宋_GBK" w:eastAsia="方正仿宋_GBK" w:cs="方正仿宋_GBK"/>
          <w:bCs/>
          <w:spacing w:val="-6"/>
          <w:sz w:val="32"/>
          <w:szCs w:val="32"/>
          <w:lang w:val="en-US" w:eastAsia="zh-CN"/>
        </w:rPr>
        <w:t>9401</w:t>
      </w:r>
      <w:r>
        <w:rPr>
          <w:rFonts w:hint="eastAsia" w:ascii="方正仿宋_GBK" w:hAnsi="方正仿宋_GBK" w:eastAsia="方正仿宋_GBK" w:cs="方正仿宋_GBK"/>
          <w:bCs/>
          <w:spacing w:val="-6"/>
          <w:sz w:val="32"/>
          <w:szCs w:val="32"/>
          <w:lang w:val="zh-CN" w:eastAsia="zh-CN"/>
        </w:rPr>
        <w:t>户，容量</w:t>
      </w:r>
      <w:r>
        <w:rPr>
          <w:rFonts w:hint="eastAsia" w:ascii="方正仿宋_GBK" w:hAnsi="方正仿宋_GBK" w:eastAsia="方正仿宋_GBK" w:cs="方正仿宋_GBK"/>
          <w:bCs/>
          <w:spacing w:val="-6"/>
          <w:sz w:val="32"/>
          <w:szCs w:val="32"/>
          <w:lang w:val="en-US" w:eastAsia="zh-CN"/>
        </w:rPr>
        <w:t>25.0518</w:t>
      </w:r>
      <w:r>
        <w:rPr>
          <w:rFonts w:hint="eastAsia" w:ascii="方正仿宋_GBK" w:hAnsi="方正仿宋_GBK" w:eastAsia="方正仿宋_GBK" w:cs="方正仿宋_GBK"/>
          <w:bCs/>
          <w:spacing w:val="-6"/>
          <w:sz w:val="32"/>
          <w:szCs w:val="32"/>
          <w:lang w:val="zh-CN" w:eastAsia="zh-CN"/>
        </w:rPr>
        <w:t>万千瓦，在途分布式光伏</w:t>
      </w:r>
      <w:r>
        <w:rPr>
          <w:rFonts w:hint="eastAsia" w:ascii="方正仿宋_GBK" w:hAnsi="方正仿宋_GBK" w:eastAsia="方正仿宋_GBK" w:cs="方正仿宋_GBK"/>
          <w:bCs/>
          <w:spacing w:val="-6"/>
          <w:sz w:val="32"/>
          <w:szCs w:val="32"/>
          <w:lang w:val="en-US" w:eastAsia="zh-CN"/>
        </w:rPr>
        <w:t>0</w:t>
      </w:r>
      <w:r>
        <w:rPr>
          <w:rFonts w:hint="eastAsia" w:ascii="方正仿宋_GBK" w:hAnsi="方正仿宋_GBK" w:eastAsia="方正仿宋_GBK" w:cs="方正仿宋_GBK"/>
          <w:bCs/>
          <w:spacing w:val="-6"/>
          <w:sz w:val="32"/>
          <w:szCs w:val="32"/>
          <w:lang w:val="zh-CN" w:eastAsia="zh-CN"/>
        </w:rPr>
        <w:t>，容量</w:t>
      </w:r>
      <w:r>
        <w:rPr>
          <w:rFonts w:hint="eastAsia" w:ascii="方正仿宋_GBK" w:hAnsi="方正仿宋_GBK" w:eastAsia="方正仿宋_GBK" w:cs="方正仿宋_GBK"/>
          <w:bCs/>
          <w:spacing w:val="-6"/>
          <w:sz w:val="32"/>
          <w:szCs w:val="32"/>
          <w:lang w:val="en-US" w:eastAsia="zh-CN"/>
        </w:rPr>
        <w:t>0</w:t>
      </w:r>
      <w:r>
        <w:rPr>
          <w:rFonts w:hint="eastAsia" w:ascii="方正仿宋_GBK" w:hAnsi="方正仿宋_GBK" w:eastAsia="方正仿宋_GBK" w:cs="方正仿宋_GBK"/>
          <w:bCs/>
          <w:spacing w:val="-6"/>
          <w:sz w:val="32"/>
          <w:szCs w:val="32"/>
          <w:lang w:val="zh-CN" w:eastAsia="zh-CN"/>
        </w:rPr>
        <w:t>万千瓦，装机容量总计</w:t>
      </w:r>
      <w:r>
        <w:rPr>
          <w:rFonts w:hint="eastAsia" w:ascii="方正仿宋_GBK" w:hAnsi="方正仿宋_GBK" w:eastAsia="方正仿宋_GBK" w:cs="方正仿宋_GBK"/>
          <w:bCs/>
          <w:spacing w:val="-6"/>
          <w:sz w:val="32"/>
          <w:szCs w:val="32"/>
          <w:lang w:val="en-US" w:eastAsia="zh-CN"/>
        </w:rPr>
        <w:t>25.0518</w:t>
      </w:r>
      <w:r>
        <w:rPr>
          <w:rFonts w:hint="eastAsia" w:ascii="方正仿宋_GBK" w:hAnsi="方正仿宋_GBK" w:eastAsia="方正仿宋_GBK" w:cs="方正仿宋_GBK"/>
          <w:bCs/>
          <w:spacing w:val="-6"/>
          <w:sz w:val="32"/>
          <w:szCs w:val="32"/>
          <w:lang w:val="zh-CN" w:eastAsia="zh-CN"/>
        </w:rPr>
        <w:t>万千瓦。</w:t>
      </w:r>
    </w:p>
    <w:p w14:paraId="724ACA06">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
          <w:bCs w:val="0"/>
          <w:spacing w:val="-6"/>
          <w:sz w:val="32"/>
          <w:szCs w:val="32"/>
          <w:lang w:val="zh-CN" w:eastAsia="zh-CN"/>
        </w:rPr>
        <w:t>按并网点电压等级划分</w:t>
      </w:r>
      <w:r>
        <w:rPr>
          <w:rFonts w:hint="eastAsia" w:ascii="方正仿宋_GBK" w:hAnsi="方正仿宋_GBK" w:eastAsia="方正仿宋_GBK" w:cs="方正仿宋_GBK"/>
          <w:bCs/>
          <w:spacing w:val="-6"/>
          <w:sz w:val="32"/>
          <w:szCs w:val="32"/>
          <w:lang w:val="zh-CN" w:eastAsia="zh-CN"/>
        </w:rPr>
        <w:t>，低压接入项目</w:t>
      </w:r>
      <w:r>
        <w:rPr>
          <w:rFonts w:hint="eastAsia" w:ascii="方正仿宋_GBK" w:hAnsi="方正仿宋_GBK" w:eastAsia="方正仿宋_GBK" w:cs="方正仿宋_GBK"/>
          <w:bCs/>
          <w:spacing w:val="-6"/>
          <w:sz w:val="32"/>
          <w:szCs w:val="32"/>
          <w:lang w:val="en-US" w:eastAsia="zh-CN"/>
        </w:rPr>
        <w:t>9398</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23.4028</w:t>
      </w:r>
      <w:r>
        <w:rPr>
          <w:rFonts w:hint="eastAsia" w:ascii="方正仿宋_GBK" w:hAnsi="方正仿宋_GBK" w:eastAsia="方正仿宋_GBK" w:cs="方正仿宋_GBK"/>
          <w:bCs/>
          <w:spacing w:val="-6"/>
          <w:sz w:val="32"/>
          <w:szCs w:val="32"/>
          <w:lang w:val="zh-CN" w:eastAsia="zh-CN"/>
        </w:rPr>
        <w:t>万千瓦；高压接入项目</w:t>
      </w:r>
      <w:r>
        <w:rPr>
          <w:rFonts w:hint="eastAsia" w:ascii="方正仿宋_GBK" w:hAnsi="方正仿宋_GBK" w:eastAsia="方正仿宋_GBK" w:cs="方正仿宋_GBK"/>
          <w:bCs/>
          <w:spacing w:val="-6"/>
          <w:sz w:val="32"/>
          <w:szCs w:val="32"/>
          <w:lang w:val="en-US" w:eastAsia="zh-CN"/>
        </w:rPr>
        <w:t>3</w:t>
      </w:r>
      <w:r>
        <w:rPr>
          <w:rFonts w:hint="eastAsia" w:ascii="方正仿宋_GBK" w:hAnsi="方正仿宋_GBK" w:eastAsia="方正仿宋_GBK" w:cs="方正仿宋_GBK"/>
          <w:bCs/>
          <w:spacing w:val="-6"/>
          <w:sz w:val="32"/>
          <w:szCs w:val="32"/>
          <w:lang w:val="zh-CN" w:eastAsia="zh-CN"/>
        </w:rPr>
        <w:t>个、1.</w:t>
      </w:r>
      <w:r>
        <w:rPr>
          <w:rFonts w:hint="eastAsia" w:ascii="方正仿宋_GBK" w:hAnsi="方正仿宋_GBK" w:eastAsia="方正仿宋_GBK" w:cs="方正仿宋_GBK"/>
          <w:bCs/>
          <w:spacing w:val="-6"/>
          <w:sz w:val="32"/>
          <w:szCs w:val="32"/>
          <w:lang w:val="en-US" w:eastAsia="zh-CN"/>
        </w:rPr>
        <w:t>649</w:t>
      </w:r>
      <w:r>
        <w:rPr>
          <w:rFonts w:hint="eastAsia" w:ascii="方正仿宋_GBK" w:hAnsi="方正仿宋_GBK" w:eastAsia="方正仿宋_GBK" w:cs="方正仿宋_GBK"/>
          <w:bCs/>
          <w:spacing w:val="-6"/>
          <w:sz w:val="32"/>
          <w:szCs w:val="32"/>
          <w:lang w:val="zh-CN" w:eastAsia="zh-CN"/>
        </w:rPr>
        <w:t>万千瓦。</w:t>
      </w:r>
    </w:p>
    <w:p w14:paraId="09D47C6B">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
          <w:bCs w:val="0"/>
          <w:spacing w:val="-6"/>
          <w:sz w:val="32"/>
          <w:szCs w:val="32"/>
          <w:lang w:val="zh-CN" w:eastAsia="zh-CN"/>
        </w:rPr>
        <w:t>按运营模式划分，</w:t>
      </w:r>
      <w:r>
        <w:rPr>
          <w:rFonts w:hint="eastAsia" w:ascii="方正仿宋_GBK" w:hAnsi="方正仿宋_GBK" w:eastAsia="方正仿宋_GBK" w:cs="方正仿宋_GBK"/>
          <w:bCs/>
          <w:spacing w:val="-6"/>
          <w:sz w:val="32"/>
          <w:szCs w:val="32"/>
          <w:lang w:val="zh-CN" w:eastAsia="zh-CN"/>
        </w:rPr>
        <w:t>全额上网项目</w:t>
      </w:r>
      <w:r>
        <w:rPr>
          <w:rFonts w:hint="eastAsia" w:ascii="方正仿宋_GBK" w:hAnsi="方正仿宋_GBK" w:eastAsia="方正仿宋_GBK" w:cs="方正仿宋_GBK"/>
          <w:bCs/>
          <w:spacing w:val="-6"/>
          <w:sz w:val="32"/>
          <w:szCs w:val="32"/>
          <w:lang w:val="en-US" w:eastAsia="zh-CN"/>
        </w:rPr>
        <w:t>9277</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22.7149</w:t>
      </w:r>
      <w:r>
        <w:rPr>
          <w:rFonts w:hint="eastAsia" w:ascii="方正仿宋_GBK" w:hAnsi="方正仿宋_GBK" w:eastAsia="方正仿宋_GBK" w:cs="方正仿宋_GBK"/>
          <w:bCs/>
          <w:spacing w:val="-6"/>
          <w:sz w:val="32"/>
          <w:szCs w:val="32"/>
          <w:lang w:val="zh-CN" w:eastAsia="zh-CN"/>
        </w:rPr>
        <w:t>万千瓦；全部自用项目0个、0万千瓦；自发自用余电上网项目12</w:t>
      </w:r>
      <w:r>
        <w:rPr>
          <w:rFonts w:hint="eastAsia" w:ascii="方正仿宋_GBK" w:hAnsi="方正仿宋_GBK" w:eastAsia="方正仿宋_GBK" w:cs="方正仿宋_GBK"/>
          <w:bCs/>
          <w:spacing w:val="-6"/>
          <w:sz w:val="32"/>
          <w:szCs w:val="32"/>
          <w:lang w:val="en-US" w:eastAsia="zh-CN"/>
        </w:rPr>
        <w:t>4</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2.3369</w:t>
      </w:r>
      <w:r>
        <w:rPr>
          <w:rFonts w:hint="eastAsia" w:ascii="方正仿宋_GBK" w:hAnsi="方正仿宋_GBK" w:eastAsia="方正仿宋_GBK" w:cs="方正仿宋_GBK"/>
          <w:bCs/>
          <w:spacing w:val="-6"/>
          <w:sz w:val="32"/>
          <w:szCs w:val="32"/>
          <w:lang w:val="zh-CN" w:eastAsia="zh-CN"/>
        </w:rPr>
        <w:t>万千瓦。</w:t>
      </w:r>
    </w:p>
    <w:p w14:paraId="2A282655">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zh-CN" w:eastAsia="zh-CN"/>
        </w:rPr>
      </w:pPr>
      <w:r>
        <w:rPr>
          <w:rFonts w:hint="eastAsia" w:ascii="方正仿宋_GBK" w:hAnsi="方正仿宋_GBK" w:eastAsia="方正仿宋_GBK" w:cs="方正仿宋_GBK"/>
          <w:b/>
          <w:bCs w:val="0"/>
          <w:spacing w:val="-6"/>
          <w:sz w:val="32"/>
          <w:szCs w:val="32"/>
          <w:lang w:val="zh-CN" w:eastAsia="zh-CN"/>
        </w:rPr>
        <w:t>按投资模式划分，</w:t>
      </w:r>
      <w:r>
        <w:rPr>
          <w:rFonts w:hint="eastAsia" w:ascii="方正仿宋_GBK" w:hAnsi="方正仿宋_GBK" w:eastAsia="方正仿宋_GBK" w:cs="方正仿宋_GBK"/>
          <w:bCs/>
          <w:spacing w:val="-6"/>
          <w:sz w:val="32"/>
          <w:szCs w:val="32"/>
          <w:lang w:val="zh-CN" w:eastAsia="zh-CN"/>
        </w:rPr>
        <w:t>自然人项目</w:t>
      </w:r>
      <w:r>
        <w:rPr>
          <w:rFonts w:hint="eastAsia" w:ascii="方正仿宋_GBK" w:hAnsi="方正仿宋_GBK" w:eastAsia="方正仿宋_GBK" w:cs="方正仿宋_GBK"/>
          <w:bCs/>
          <w:spacing w:val="-6"/>
          <w:sz w:val="32"/>
          <w:szCs w:val="32"/>
          <w:lang w:val="en-US" w:eastAsia="zh-CN"/>
        </w:rPr>
        <w:t>8190</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19.3586</w:t>
      </w:r>
      <w:r>
        <w:rPr>
          <w:rFonts w:hint="eastAsia" w:ascii="方正仿宋_GBK" w:hAnsi="方正仿宋_GBK" w:eastAsia="方正仿宋_GBK" w:cs="方正仿宋_GBK"/>
          <w:bCs/>
          <w:spacing w:val="-6"/>
          <w:sz w:val="32"/>
          <w:szCs w:val="32"/>
          <w:lang w:val="zh-CN" w:eastAsia="zh-CN"/>
        </w:rPr>
        <w:t>万千瓦；非自然人项目</w:t>
      </w:r>
      <w:r>
        <w:rPr>
          <w:rFonts w:hint="eastAsia" w:ascii="方正仿宋_GBK" w:hAnsi="方正仿宋_GBK" w:eastAsia="方正仿宋_GBK" w:cs="方正仿宋_GBK"/>
          <w:bCs/>
          <w:spacing w:val="-6"/>
          <w:sz w:val="32"/>
          <w:szCs w:val="32"/>
          <w:lang w:val="en-US" w:eastAsia="zh-CN"/>
        </w:rPr>
        <w:t>1211</w:t>
      </w:r>
      <w:r>
        <w:rPr>
          <w:rFonts w:hint="eastAsia" w:ascii="方正仿宋_GBK" w:hAnsi="方正仿宋_GBK" w:eastAsia="方正仿宋_GBK" w:cs="方正仿宋_GBK"/>
          <w:bCs/>
          <w:spacing w:val="-6"/>
          <w:sz w:val="32"/>
          <w:szCs w:val="32"/>
          <w:lang w:val="zh-CN" w:eastAsia="zh-CN"/>
        </w:rPr>
        <w:t>个、</w:t>
      </w:r>
      <w:r>
        <w:rPr>
          <w:rFonts w:hint="eastAsia" w:ascii="方正仿宋_GBK" w:hAnsi="方正仿宋_GBK" w:eastAsia="方正仿宋_GBK" w:cs="方正仿宋_GBK"/>
          <w:bCs/>
          <w:spacing w:val="-6"/>
          <w:sz w:val="32"/>
          <w:szCs w:val="32"/>
          <w:lang w:val="en-US" w:eastAsia="zh-CN"/>
        </w:rPr>
        <w:t>5.6932</w:t>
      </w:r>
      <w:r>
        <w:rPr>
          <w:rFonts w:hint="eastAsia" w:ascii="方正仿宋_GBK" w:hAnsi="方正仿宋_GBK" w:eastAsia="方正仿宋_GBK" w:cs="方正仿宋_GBK"/>
          <w:bCs/>
          <w:spacing w:val="-6"/>
          <w:sz w:val="32"/>
          <w:szCs w:val="32"/>
          <w:lang w:val="zh-CN" w:eastAsia="zh-CN"/>
        </w:rPr>
        <w:t>万千瓦。</w:t>
      </w:r>
    </w:p>
    <w:p w14:paraId="11ADBA8E">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黑体_GBK" w:hAnsi="方正黑体_GBK" w:eastAsia="方正黑体_GBK" w:cs="方正黑体_GBK"/>
          <w:bCs/>
          <w:spacing w:val="-6"/>
          <w:sz w:val="32"/>
          <w:szCs w:val="32"/>
          <w:lang w:val="en-US" w:eastAsia="zh-CN"/>
        </w:rPr>
      </w:pPr>
      <w:r>
        <w:rPr>
          <w:rFonts w:hint="eastAsia" w:ascii="方正黑体_GBK" w:hAnsi="方正黑体_GBK" w:eastAsia="方正黑体_GBK" w:cs="方正黑体_GBK"/>
          <w:bCs/>
          <w:spacing w:val="-6"/>
          <w:sz w:val="32"/>
          <w:szCs w:val="32"/>
          <w:lang w:val="en-US" w:eastAsia="zh-CN"/>
        </w:rPr>
        <w:t>二、可开发容量情况</w:t>
      </w:r>
    </w:p>
    <w:p w14:paraId="3410522F">
      <w:pPr>
        <w:keepNext w:val="0"/>
        <w:keepLines w:val="0"/>
        <w:pageBreakBefore w:val="0"/>
        <w:widowControl w:val="0"/>
        <w:kinsoku/>
        <w:wordWrap/>
        <w:overflowPunct/>
        <w:topLinePunct w:val="0"/>
        <w:autoSpaceDE/>
        <w:autoSpaceDN/>
        <w:bidi w:val="0"/>
        <w:adjustRightInd/>
        <w:snapToGrid/>
        <w:spacing w:line="56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为统筹推动分布式光伏发电项目持续健康有序发展，隆尧县供电公司对辖区各级主变容量、主变最大负荷、最小负荷、公变台区配变容量、已接入的用电户数量、用电户容量、已接入的光伏发电户数量、光伏发电户容量、可接入的用电户容量进行了统计分析。按照《河北省发展和改革委员会关于加强屋顶分布式光伏发电管理有关事项的通知》（冀发改能源〔2022〕1243号）要求，屋顶分布式光伏开发建设应“坚持就近消纳就地平衡”、“县域电网可接入屋顶分布式光伏容量原则上按照不向220千伏及以上电网返送功率为依据进行测算”原则。依照该原则并经计算：220千伏隆尧站、唐尧站、金店站所带供电范围暂无可接入光伏容量，无消纳220千伏以及下电压等级光伏能力，全部台区暂停低压接入。</w:t>
      </w:r>
    </w:p>
    <w:p w14:paraId="2919EA72">
      <w:pPr>
        <w:keepNext w:val="0"/>
        <w:keepLines w:val="0"/>
        <w:pageBreakBefore w:val="0"/>
        <w:widowControl w:val="0"/>
        <w:kinsoku/>
        <w:wordWrap/>
        <w:overflowPunct/>
        <w:topLinePunct w:val="0"/>
        <w:autoSpaceDE/>
        <w:autoSpaceDN/>
        <w:bidi w:val="0"/>
        <w:adjustRightInd/>
        <w:snapToGrid/>
        <w:spacing w:line="540" w:lineRule="exact"/>
        <w:ind w:left="0" w:leftChars="0" w:firstLine="616" w:firstLineChars="200"/>
        <w:jc w:val="left"/>
        <w:textAlignment w:val="auto"/>
        <w:outlineLvl w:val="9"/>
        <w:rPr>
          <w:rFonts w:hint="eastAsia" w:ascii="方正仿宋_GBK" w:hAnsi="方正仿宋_GBK" w:eastAsia="方正仿宋_GBK" w:cs="方正仿宋_GBK"/>
          <w:bCs/>
          <w:spacing w:val="-6"/>
          <w:sz w:val="32"/>
          <w:szCs w:val="32"/>
          <w:lang w:val="en-US" w:eastAsia="zh-CN"/>
        </w:rPr>
      </w:pPr>
    </w:p>
    <w:tbl>
      <w:tblPr>
        <w:tblStyle w:val="2"/>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600"/>
        <w:gridCol w:w="4619"/>
        <w:gridCol w:w="3117"/>
      </w:tblGrid>
      <w:tr w14:paraId="1B29DE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trPr>
        <w:tc>
          <w:tcPr>
            <w:tcW w:w="8336" w:type="dxa"/>
            <w:gridSpan w:val="3"/>
            <w:noWrap w:val="0"/>
            <w:vAlign w:val="center"/>
          </w:tcPr>
          <w:p w14:paraId="0DEF2BA2">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隆尧县分布式光伏220千伏变电站可开放容量一览表</w:t>
            </w:r>
          </w:p>
        </w:tc>
      </w:tr>
      <w:tr w14:paraId="6AFC9C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5" w:hRule="atLeast"/>
        </w:trPr>
        <w:tc>
          <w:tcPr>
            <w:tcW w:w="600" w:type="dxa"/>
            <w:tcBorders>
              <w:top w:val="single" w:color="000000" w:sz="4" w:space="0"/>
              <w:left w:val="single" w:color="000000" w:sz="4" w:space="0"/>
              <w:bottom w:val="single" w:color="000000" w:sz="4" w:space="0"/>
              <w:right w:val="single" w:color="000000" w:sz="4" w:space="0"/>
            </w:tcBorders>
            <w:noWrap w:val="0"/>
            <w:vAlign w:val="center"/>
          </w:tcPr>
          <w:p w14:paraId="4541D64F">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序号</w:t>
            </w:r>
          </w:p>
        </w:tc>
        <w:tc>
          <w:tcPr>
            <w:tcW w:w="4619" w:type="dxa"/>
            <w:tcBorders>
              <w:top w:val="single" w:color="000000" w:sz="4" w:space="0"/>
              <w:left w:val="single" w:color="000000" w:sz="4" w:space="0"/>
              <w:bottom w:val="single" w:color="000000" w:sz="4" w:space="0"/>
              <w:right w:val="single" w:color="000000" w:sz="4" w:space="0"/>
            </w:tcBorders>
            <w:noWrap w:val="0"/>
            <w:vAlign w:val="center"/>
          </w:tcPr>
          <w:p w14:paraId="4A5248AA">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220千伏千伏变电站供电区</w:t>
            </w:r>
          </w:p>
        </w:tc>
        <w:tc>
          <w:tcPr>
            <w:tcW w:w="3117" w:type="dxa"/>
            <w:tcBorders>
              <w:top w:val="single" w:color="000000" w:sz="4" w:space="0"/>
              <w:left w:val="single" w:color="000000" w:sz="4" w:space="0"/>
              <w:bottom w:val="single" w:color="000000" w:sz="4" w:space="0"/>
              <w:right w:val="single" w:color="000000" w:sz="4" w:space="0"/>
            </w:tcBorders>
            <w:noWrap w:val="0"/>
            <w:vAlign w:val="center"/>
          </w:tcPr>
          <w:p w14:paraId="67EE5972">
            <w:pPr>
              <w:keepNext w:val="0"/>
              <w:keepLines w:val="0"/>
              <w:widowControl/>
              <w:suppressLineNumbers w:val="0"/>
              <w:jc w:val="center"/>
              <w:textAlignment w:val="center"/>
              <w:rPr>
                <w:rFonts w:hint="eastAsia" w:ascii="宋体" w:hAnsi="宋体" w:eastAsia="宋体" w:cs="宋体"/>
                <w:b/>
                <w:i w:val="0"/>
                <w:color w:val="000000"/>
                <w:sz w:val="24"/>
                <w:szCs w:val="24"/>
                <w:u w:val="none"/>
              </w:rPr>
            </w:pPr>
            <w:r>
              <w:rPr>
                <w:rFonts w:hint="eastAsia" w:ascii="宋体" w:hAnsi="宋体" w:eastAsia="宋体" w:cs="宋体"/>
                <w:b/>
                <w:i w:val="0"/>
                <w:color w:val="000000"/>
                <w:kern w:val="0"/>
                <w:sz w:val="24"/>
                <w:szCs w:val="24"/>
                <w:u w:val="none"/>
                <w:lang w:val="en-US" w:eastAsia="zh-CN" w:bidi="ar"/>
              </w:rPr>
              <w:t>剩余可开放容量</w:t>
            </w:r>
          </w:p>
        </w:tc>
      </w:tr>
      <w:tr w14:paraId="7BDCC3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00" w:type="dxa"/>
            <w:tcBorders>
              <w:top w:val="single" w:color="000000" w:sz="4" w:space="0"/>
              <w:left w:val="single" w:color="000000" w:sz="4" w:space="0"/>
              <w:bottom w:val="single" w:color="000000" w:sz="4" w:space="0"/>
              <w:right w:val="single" w:color="000000" w:sz="4" w:space="0"/>
            </w:tcBorders>
            <w:noWrap w:val="0"/>
            <w:vAlign w:val="center"/>
          </w:tcPr>
          <w:p w14:paraId="2056F36A">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1</w:t>
            </w:r>
          </w:p>
        </w:tc>
        <w:tc>
          <w:tcPr>
            <w:tcW w:w="4619" w:type="dxa"/>
            <w:tcBorders>
              <w:top w:val="single" w:color="000000" w:sz="4" w:space="0"/>
              <w:left w:val="single" w:color="000000" w:sz="4" w:space="0"/>
              <w:bottom w:val="single" w:color="000000" w:sz="4" w:space="0"/>
              <w:right w:val="single" w:color="000000" w:sz="4" w:space="0"/>
            </w:tcBorders>
            <w:noWrap w:val="0"/>
            <w:vAlign w:val="center"/>
          </w:tcPr>
          <w:p w14:paraId="6A171760">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隆尧220千伏变电站</w:t>
            </w:r>
          </w:p>
        </w:tc>
        <w:tc>
          <w:tcPr>
            <w:tcW w:w="3117" w:type="dxa"/>
            <w:tcBorders>
              <w:top w:val="single" w:color="000000" w:sz="4" w:space="0"/>
              <w:left w:val="single" w:color="000000" w:sz="4" w:space="0"/>
              <w:bottom w:val="single" w:color="000000" w:sz="4" w:space="0"/>
              <w:right w:val="single" w:color="000000" w:sz="4" w:space="0"/>
            </w:tcBorders>
            <w:noWrap w:val="0"/>
            <w:vAlign w:val="center"/>
          </w:tcPr>
          <w:p w14:paraId="69CC5469">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0.00 </w:t>
            </w:r>
          </w:p>
        </w:tc>
      </w:tr>
      <w:tr w14:paraId="1EDEF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00" w:type="dxa"/>
            <w:tcBorders>
              <w:top w:val="single" w:color="000000" w:sz="4" w:space="0"/>
              <w:left w:val="single" w:color="000000" w:sz="4" w:space="0"/>
              <w:bottom w:val="single" w:color="000000" w:sz="4" w:space="0"/>
              <w:right w:val="single" w:color="000000" w:sz="4" w:space="0"/>
            </w:tcBorders>
            <w:noWrap w:val="0"/>
            <w:vAlign w:val="center"/>
          </w:tcPr>
          <w:p w14:paraId="2F98A28F">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2</w:t>
            </w:r>
          </w:p>
        </w:tc>
        <w:tc>
          <w:tcPr>
            <w:tcW w:w="4619" w:type="dxa"/>
            <w:tcBorders>
              <w:top w:val="single" w:color="000000" w:sz="4" w:space="0"/>
              <w:left w:val="single" w:color="000000" w:sz="4" w:space="0"/>
              <w:bottom w:val="single" w:color="000000" w:sz="4" w:space="0"/>
              <w:right w:val="single" w:color="000000" w:sz="4" w:space="0"/>
            </w:tcBorders>
            <w:noWrap w:val="0"/>
            <w:vAlign w:val="center"/>
          </w:tcPr>
          <w:p w14:paraId="3681F8E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唐尧220千伏变电站</w:t>
            </w:r>
          </w:p>
        </w:tc>
        <w:tc>
          <w:tcPr>
            <w:tcW w:w="3117" w:type="dxa"/>
            <w:tcBorders>
              <w:top w:val="single" w:color="000000" w:sz="4" w:space="0"/>
              <w:left w:val="single" w:color="000000" w:sz="4" w:space="0"/>
              <w:bottom w:val="single" w:color="000000" w:sz="4" w:space="0"/>
              <w:right w:val="single" w:color="000000" w:sz="4" w:space="0"/>
            </w:tcBorders>
            <w:noWrap w:val="0"/>
            <w:vAlign w:val="center"/>
          </w:tcPr>
          <w:p w14:paraId="0634CD8E">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0.00 </w:t>
            </w:r>
          </w:p>
        </w:tc>
      </w:tr>
      <w:tr w14:paraId="044AF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86" w:hRule="atLeast"/>
        </w:trPr>
        <w:tc>
          <w:tcPr>
            <w:tcW w:w="600" w:type="dxa"/>
            <w:tcBorders>
              <w:top w:val="single" w:color="000000" w:sz="4" w:space="0"/>
              <w:left w:val="single" w:color="000000" w:sz="4" w:space="0"/>
              <w:bottom w:val="single" w:color="000000" w:sz="4" w:space="0"/>
              <w:right w:val="single" w:color="000000" w:sz="4" w:space="0"/>
            </w:tcBorders>
            <w:noWrap w:val="0"/>
            <w:vAlign w:val="center"/>
          </w:tcPr>
          <w:p w14:paraId="1B63F3F6">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3</w:t>
            </w:r>
          </w:p>
        </w:tc>
        <w:tc>
          <w:tcPr>
            <w:tcW w:w="4619" w:type="dxa"/>
            <w:tcBorders>
              <w:top w:val="single" w:color="000000" w:sz="4" w:space="0"/>
              <w:left w:val="single" w:color="000000" w:sz="4" w:space="0"/>
              <w:bottom w:val="single" w:color="000000" w:sz="4" w:space="0"/>
              <w:right w:val="single" w:color="000000" w:sz="4" w:space="0"/>
            </w:tcBorders>
            <w:noWrap w:val="0"/>
            <w:vAlign w:val="center"/>
          </w:tcPr>
          <w:p w14:paraId="310A935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金店220千伏变电站</w:t>
            </w:r>
          </w:p>
        </w:tc>
        <w:tc>
          <w:tcPr>
            <w:tcW w:w="3117" w:type="dxa"/>
            <w:tcBorders>
              <w:top w:val="single" w:color="000000" w:sz="4" w:space="0"/>
              <w:left w:val="single" w:color="000000" w:sz="4" w:space="0"/>
              <w:bottom w:val="single" w:color="000000" w:sz="4" w:space="0"/>
              <w:right w:val="single" w:color="000000" w:sz="4" w:space="0"/>
            </w:tcBorders>
            <w:noWrap w:val="0"/>
            <w:vAlign w:val="center"/>
          </w:tcPr>
          <w:p w14:paraId="7F4A57F4">
            <w:pPr>
              <w:keepNext w:val="0"/>
              <w:keepLines w:val="0"/>
              <w:widowControl/>
              <w:suppressLineNumbers w:val="0"/>
              <w:jc w:val="center"/>
              <w:textAlignment w:val="center"/>
              <w:rPr>
                <w:rFonts w:hint="eastAsia" w:ascii="宋体" w:hAnsi="宋体" w:eastAsia="宋体" w:cs="宋体"/>
                <w:i w:val="0"/>
                <w:color w:val="000000"/>
                <w:sz w:val="24"/>
                <w:szCs w:val="24"/>
                <w:u w:val="none"/>
              </w:rPr>
            </w:pPr>
            <w:r>
              <w:rPr>
                <w:rFonts w:hint="eastAsia" w:ascii="宋体" w:hAnsi="宋体" w:eastAsia="宋体" w:cs="宋体"/>
                <w:i w:val="0"/>
                <w:color w:val="000000"/>
                <w:kern w:val="0"/>
                <w:sz w:val="24"/>
                <w:szCs w:val="24"/>
                <w:u w:val="none"/>
                <w:lang w:val="en-US" w:eastAsia="zh-CN" w:bidi="ar"/>
              </w:rPr>
              <w:t xml:space="preserve">0.00 </w:t>
            </w:r>
          </w:p>
        </w:tc>
      </w:tr>
    </w:tbl>
    <w:p w14:paraId="5577B8C6">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p>
    <w:p w14:paraId="67D84463">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p>
    <w:p w14:paraId="67DBF1AC">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p>
    <w:p w14:paraId="78D18629">
      <w:pPr>
        <w:keepNext w:val="0"/>
        <w:keepLines w:val="0"/>
        <w:pageBreakBefore w:val="0"/>
        <w:widowControl w:val="0"/>
        <w:kinsoku/>
        <w:wordWrap/>
        <w:overflowPunct/>
        <w:topLinePunct w:val="0"/>
        <w:autoSpaceDE/>
        <w:autoSpaceDN/>
        <w:bidi w:val="0"/>
        <w:adjustRightInd/>
        <w:snapToGrid/>
        <w:spacing w:line="560" w:lineRule="exact"/>
        <w:ind w:left="0" w:leftChars="0" w:firstLine="4312" w:firstLineChars="1400"/>
        <w:jc w:val="left"/>
        <w:textAlignment w:val="auto"/>
        <w:rPr>
          <w:rFonts w:hint="eastAsia" w:ascii="方正仿宋_GBK" w:hAnsi="方正仿宋_GBK" w:eastAsia="方正仿宋_GBK" w:cs="方正仿宋_GBK"/>
          <w:bCs/>
          <w:spacing w:val="-6"/>
          <w:sz w:val="32"/>
          <w:szCs w:val="32"/>
          <w:lang w:val="en-US" w:eastAsia="zh-CN"/>
        </w:rPr>
      </w:pPr>
      <w:r>
        <w:rPr>
          <w:rFonts w:hint="eastAsia" w:ascii="方正仿宋_GBK" w:hAnsi="方正仿宋_GBK" w:eastAsia="方正仿宋_GBK" w:cs="方正仿宋_GBK"/>
          <w:bCs/>
          <w:spacing w:val="-6"/>
          <w:sz w:val="32"/>
          <w:szCs w:val="32"/>
          <w:lang w:val="en-US" w:eastAsia="zh-CN"/>
        </w:rPr>
        <w:t>国网隆尧县供电公司</w:t>
      </w:r>
    </w:p>
    <w:p w14:paraId="51848DA1">
      <w:pPr>
        <w:ind w:firstLine="4312" w:firstLineChars="1400"/>
      </w:pPr>
      <w:r>
        <w:rPr>
          <w:rFonts w:hint="eastAsia" w:ascii="方正仿宋_GBK" w:hAnsi="方正仿宋_GBK" w:eastAsia="方正仿宋_GBK" w:cs="方正仿宋_GBK"/>
          <w:bCs/>
          <w:spacing w:val="-6"/>
          <w:sz w:val="32"/>
          <w:szCs w:val="32"/>
          <w:lang w:val="en-US" w:eastAsia="zh-CN"/>
        </w:rPr>
        <w:t>二〇二四年十月八日</w:t>
      </w:r>
    </w:p>
    <w:p w14:paraId="37547B27">
      <w:bookmarkStart w:id="0" w:name="_GoBack"/>
      <w:bookmarkEnd w:id="0"/>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方正黑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Y3OThjZjJiMmUzMTQ0ZmFiZDg4MTgxMTNiYmY1NzAifQ=="/>
  </w:docVars>
  <w:rsids>
    <w:rsidRoot w:val="00000000"/>
    <w:rsid w:val="7C3B16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2024-10-09T02:53:03Z</dcterms:created>
  <dc:creator>Administrator</dc:creator>
  <cp:lastModifiedBy>Administrator</cp:lastModifiedBy>
  <dcterms:modified xsi:type="dcterms:W3CDTF">2024-10-09T02:53:11Z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9F4CAD7B2D87434F9B83A19C3681C323_12</vt:lpwstr>
  </property>
</Properties>
</file>