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obfuscatedFont" PartName="/word/fonts/font1.odttf"/>
  <Override ContentType="application/vnd.openxmlformats-officedocument.obfuscatedFont" PartName="/word/fonts/font2.odttf"/>
  <Override ContentType="application/vnd.openxmlformats-officedocument.obfuscatedFont" PartName="/word/fonts/font3.odttf"/>
  <Override ContentType="application/vnd.openxmlformats-officedocument.obfuscatedFont" PartName="/word/fonts/font4.odttf"/>
  <Override ContentType="application/vnd.openxmlformats-officedocument.obfuscatedFont" PartName="/word/fonts/font5.odttf"/>
  <Override ContentType="application/vnd.openxmlformats-officedocument.obfuscatedFont" PartName="/word/fonts/font6.odttf"/>
  <Override ContentType="application/vnd.openxmlformats-officedocument.obfuscatedFont" PartName="/word/fonts/font7.odttf"/>
  <Override ContentType="application/vnd.openxmlformats-officedocument.obfuscatedFont" PartName="/word/fonts/font8.odttf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9D73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1FACFC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0" w:firstLineChars="100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</w:p>
    <w:p w14:paraId="474FB6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319" w:leftChars="209" w:hanging="880" w:hangingChars="200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</w:p>
    <w:p w14:paraId="61862B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319" w:leftChars="209" w:hanging="880" w:hangingChars="200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napToGrid/>
          <w:kern w:val="2"/>
          <w:sz w:val="44"/>
          <w:szCs w:val="44"/>
          <w:lang w:val="en-US" w:eastAsia="zh-CN"/>
        </w:rPr>
      </w:pPr>
      <w:bookmarkStart w:id="1" w:name="_GoBack"/>
      <w:bookmarkEnd w:id="1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24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年</w:t>
      </w:r>
      <w:bookmarkStart w:id="0" w:name="OLE_LINK1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阀门、方便面</w:t>
      </w:r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snapToGrid/>
          <w:kern w:val="2"/>
          <w:sz w:val="44"/>
          <w:szCs w:val="44"/>
          <w:lang w:val="en-US" w:eastAsia="zh-CN"/>
        </w:rPr>
        <w:t>制品行业生产单位部门联合抽查实施方案</w:t>
      </w:r>
    </w:p>
    <w:p w14:paraId="4A18F6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1268C8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为进一步推进我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县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“双随机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一公开”监管工作持续、广泛、深入地开展，按照《河北省“双随机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一公开”监管工作推进方案》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、《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邢台市2024年度跨部门“双随机、一公开”联合抽查工作实施方案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》和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年初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隆尧县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“双随机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一公开”监管工作抽查计划，决定开展跨部门“双随机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一公开”联合抽查工作，现制定如下方案。</w:t>
      </w:r>
    </w:p>
    <w:p w14:paraId="1A05408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_GB2312" w:hAnsi="仿宋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b/>
          <w:kern w:val="0"/>
          <w:sz w:val="32"/>
          <w:szCs w:val="32"/>
        </w:rPr>
        <w:t>一、抽查时间</w:t>
      </w:r>
    </w:p>
    <w:p w14:paraId="221811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20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24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年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 xml:space="preserve"> 2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日至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 xml:space="preserve"> 9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30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日</w:t>
      </w:r>
    </w:p>
    <w:p w14:paraId="7D297D25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_GB2312" w:hAnsi="仿宋" w:eastAsia="仿宋_GB2312" w:cs="宋体"/>
          <w:b/>
          <w:kern w:val="0"/>
          <w:sz w:val="32"/>
          <w:szCs w:val="32"/>
          <w:lang w:eastAsia="zh-CN"/>
        </w:rPr>
      </w:pPr>
      <w:r>
        <w:rPr>
          <w:rFonts w:hint="eastAsia" w:ascii="仿宋_GB2312" w:hAnsi="仿宋" w:eastAsia="仿宋_GB2312" w:cs="宋体"/>
          <w:b/>
          <w:kern w:val="0"/>
          <w:sz w:val="32"/>
          <w:szCs w:val="32"/>
        </w:rPr>
        <w:t>抽查范围</w:t>
      </w:r>
      <w:r>
        <w:rPr>
          <w:rFonts w:hint="eastAsia" w:ascii="仿宋_GB2312" w:hAnsi="仿宋" w:eastAsia="仿宋_GB2312" w:cs="宋体"/>
          <w:b/>
          <w:kern w:val="0"/>
          <w:sz w:val="32"/>
          <w:szCs w:val="32"/>
          <w:lang w:eastAsia="zh-CN"/>
        </w:rPr>
        <w:t>、比例及信用风险等级</w:t>
      </w:r>
    </w:p>
    <w:p w14:paraId="3997694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default" w:ascii="仿宋_GB2312" w:hAnsi="仿宋" w:eastAsia="仿宋_GB2312" w:cs="宋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抽查对象范围：污染源动态库的阀门、方便面制品行业的排污类企业；抽查比例：A风险企业按10%比例抽取，B风险企业按30%比例抽取，C风险企业按10%比例抽取，D风险企业10%比例抽取。</w:t>
      </w:r>
    </w:p>
    <w:p w14:paraId="4FE55D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_GB2312" w:hAnsi="仿宋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b/>
          <w:kern w:val="0"/>
          <w:sz w:val="32"/>
          <w:szCs w:val="32"/>
        </w:rPr>
        <w:t>三、抽查实施部门</w:t>
      </w:r>
    </w:p>
    <w:p w14:paraId="299DE8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_GB2312" w:hAnsi="仿宋" w:eastAsia="仿宋_GB2312" w:cs="宋体"/>
          <w:color w:val="auto"/>
          <w:kern w:val="0"/>
          <w:sz w:val="32"/>
          <w:szCs w:val="32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</w:rPr>
        <w:t>县生态环境部门、市场监管部门、应急管理部门</w:t>
      </w:r>
      <w:r>
        <w:rPr>
          <w:rFonts w:hint="eastAsia" w:ascii="仿宋_GB2312" w:hAnsi="仿宋" w:eastAsia="仿宋_GB2312" w:cs="宋体"/>
          <w:color w:val="auto"/>
          <w:kern w:val="0"/>
          <w:sz w:val="32"/>
          <w:szCs w:val="32"/>
        </w:rPr>
        <w:t>。</w:t>
      </w:r>
    </w:p>
    <w:p w14:paraId="25CB19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_GB2312" w:hAnsi="仿宋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b/>
          <w:kern w:val="0"/>
          <w:sz w:val="32"/>
          <w:szCs w:val="32"/>
        </w:rPr>
        <w:t>四、抽查内容</w:t>
      </w:r>
    </w:p>
    <w:p w14:paraId="5AC85493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仿宋_GB2312" w:hAnsi="微软雅黑" w:eastAsia="仿宋_GB2312" w:cs="Arial"/>
          <w:color w:val="auto"/>
          <w:kern w:val="0"/>
          <w:sz w:val="32"/>
          <w:szCs w:val="32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</w:rPr>
        <w:t>（一）生态环境部门：对建设项目（含海岸工程建设项目）、排放污染物的企业事业单位和其他生产经营者的检查。</w:t>
      </w:r>
    </w:p>
    <w:p w14:paraId="5AC580E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default" w:ascii="仿宋_GB2312" w:hAnsi="Calibri" w:eastAsia="仿宋_GB2312"/>
          <w:color w:val="000000"/>
          <w:spacing w:val="-4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-US" w:eastAsia="zh-CN"/>
        </w:rPr>
        <w:t>（二）市场监管部门：市场监管部门。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登记事项检查：营业执照（登记证）规范使用情况的检查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名称规范使用情况的检查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经营（驻在）期限的检查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经营（业务）范围中无需审批的经营（业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务）项目的检查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住所（经营场所）或驻在场所的检查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注册资本实缴情况的检查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法定代表人（负责人）任职情况的检查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法定代表人、自然人股东身份真实性的检查。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公示信息检查：即时公示信息的检查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年度报告公示信息的检查。</w:t>
      </w:r>
    </w:p>
    <w:p w14:paraId="1F36A6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jc w:val="both"/>
        <w:textAlignment w:val="auto"/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（三）应急管理部门：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-US" w:eastAsia="zh-CN"/>
        </w:rPr>
        <w:t>1.安全生产管理机构设置、安全生产管理人员配备情况。2.从业人员安全生产教育和培训计划、实施及档案管理情况。3.应急预案编制、演练和应急组织人员设置及应急救援器材、设备及物质配备情况；4.生产经营单位应急预案按规定备案情况。5.重大事故隐患排查情况。</w:t>
      </w:r>
    </w:p>
    <w:p w14:paraId="5EF14107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400" w:firstLine="0" w:firstLineChars="0"/>
        <w:textAlignment w:val="auto"/>
        <w:rPr>
          <w:rFonts w:hint="default"/>
          <w:lang w:val="en-US" w:eastAsia="zh-CN"/>
        </w:rPr>
      </w:pPr>
    </w:p>
    <w:p w14:paraId="1A341C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黑体" w:hAnsi="黑体" w:eastAsia="黑体" w:cs="Arial"/>
          <w:kern w:val="0"/>
          <w:sz w:val="32"/>
          <w:szCs w:val="32"/>
          <w:lang w:val="en"/>
        </w:rPr>
        <w:t>五、组织实施</w:t>
      </w:r>
    </w:p>
    <w:p w14:paraId="3E03DCA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（一）任务分工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790DCC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仿宋_GB2312" w:hAnsi="微软雅黑" w:eastAsia="仿宋_GB2312" w:cs="Arial"/>
          <w:kern w:val="0"/>
          <w:sz w:val="32"/>
          <w:szCs w:val="32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1、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生态环境分局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为牵头部门，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市场监督管理局、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应急管理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局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为协同部门。</w:t>
      </w:r>
    </w:p>
    <w:p w14:paraId="48EF1CF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仿宋_GB2312" w:hAnsi="微软雅黑" w:eastAsia="仿宋_GB2312" w:cs="Arial"/>
          <w:color w:val="000000"/>
          <w:kern w:val="0"/>
          <w:sz w:val="32"/>
          <w:szCs w:val="32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</w:rPr>
        <w:t>2、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生态环境分局</w:t>
      </w: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  <w:lang w:val="en"/>
        </w:rPr>
        <w:t>制定并印发工作方案，负责随机抽取被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/>
        </w:rPr>
        <w:t>查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 w:eastAsia="zh-CN"/>
        </w:rPr>
        <w:t>市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/>
        </w:rPr>
        <w:t>场主体名单，按管辖机关将检查对象分派至县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</w:rPr>
        <w:t>生态环境分局、市场监督管理局、应急管理局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/>
        </w:rPr>
        <w:t>。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 w:eastAsia="zh-CN"/>
        </w:rPr>
        <w:t>各</w:t>
      </w: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  <w:lang w:val="en"/>
        </w:rPr>
        <w:t>部门要积极解决抽查中发现的问题，做好本系统的业务指导作用。</w:t>
      </w:r>
    </w:p>
    <w:p w14:paraId="6FDC669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color w:val="000000"/>
          <w:kern w:val="0"/>
          <w:sz w:val="24"/>
          <w:szCs w:val="24"/>
          <w:lang w:val="en"/>
        </w:rPr>
      </w:pP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</w:rPr>
        <w:t>3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/>
        </w:rPr>
        <w:t>、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 w:eastAsia="zh-CN"/>
        </w:rPr>
        <w:t>各检查部门确认检查对象后，根据部门实际，负责从本部门（系统）</w:t>
      </w: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  <w:lang w:val="en"/>
        </w:rPr>
        <w:t>执法检查人员名录库中随机选派执法检查人员。</w:t>
      </w:r>
    </w:p>
    <w:p w14:paraId="003F4B3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</w:rPr>
        <w:t>4</w:t>
      </w: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  <w:lang w:val="en"/>
        </w:rPr>
        <w:t>、牵头部门联系协同部门的执法检查人员，组成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联合检查组，在约定时间入企进行检查。</w:t>
      </w:r>
    </w:p>
    <w:p w14:paraId="041E111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仿宋_GB2312" w:hAnsi="微软雅黑" w:eastAsia="仿宋_GB2312" w:cs="Arial"/>
          <w:kern w:val="0"/>
          <w:sz w:val="32"/>
          <w:szCs w:val="32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</w:rPr>
        <w:t>5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、参加此次抽查的部门要密切配合、加强协作，在要求时限内完成对涉及本部门随机抽查事项的检查、录入、公示，并将抽查工作情况汇总上报到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县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“双随机、一公开”监管工作领导小组办公室。</w:t>
      </w:r>
    </w:p>
    <w:p w14:paraId="2C1529E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（二）检查方式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5AFB163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仿宋_GB2312" w:hAnsi="微软雅黑" w:eastAsia="仿宋_GB2312" w:cs="Arial"/>
          <w:kern w:val="0"/>
          <w:sz w:val="32"/>
          <w:szCs w:val="32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1、可以采取书面检查、实地核查、网络检查等方式，也可以依法利用其他政府部门作出的检查、核查结果或者其他专业机构作出的专业结论。</w:t>
      </w:r>
    </w:p>
    <w:p w14:paraId="4500CA0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2、对企业进行实地核查时，每个部门检查人员应当不少于2人，并出示执法证件，检查人员应当填写检查表，并由被检查企业法定代表人签字盖章确认；被检查对象拒绝签字的应当在检查表上如实记录。</w:t>
      </w:r>
    </w:p>
    <w:p w14:paraId="582D20E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（三）抽查结果公示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45999CF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检查部门应按照“谁检查、谁录入”的原则，在检查完成之日起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个工作日内将检查结果录入河北省双随机监管工作平台，并通过国家企业信用信息公示系统（河北）向社会公示。已实施检查但未依法进行公示的，视为未完成抽查任务。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6E88F78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（四）现场检查发现问题的处理方式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5BB7226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（一）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对现场检查发现的违法问题，违法行为轻微的，采取教育、建议、提醒等行政指导措施，引导其合法守信经营。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6564A4A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（二）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违法行为严重，需要立案处理的，检查人员应将问题线索移交给本部门案件查办机构。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1C5A27B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（三）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发现违法问题不属于本部门职责范围的，应当及时移送相应监管部门处理。涉嫌犯罪的，移送公安司法机关处理。</w:t>
      </w:r>
    </w:p>
    <w:p w14:paraId="33336F4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黑体" w:hAnsi="黑体" w:eastAsia="黑体" w:cs="Arial"/>
          <w:kern w:val="0"/>
          <w:sz w:val="32"/>
          <w:szCs w:val="32"/>
          <w:lang w:val="en"/>
        </w:rPr>
        <w:t>六、工作要求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06BD103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（一）周密安排部署，认真抓好落实。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参加联合抽查的部门要高度重视“双随机、一公开”联合抽查工作，按照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县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“双随机、一公开”工作领导小组办公室统一部署，积极筹划，精心组织，加强宣传，严格按要求完成检查工作。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02C2D17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（二）加强沟通联系，密切协调配合。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参加联合抽查的部门要按照联合抽查的工作安排，密切协作，在人员、车辆、经费等方面给予充分保障，确保联合抽查有序开展。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50F735B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（三）抓好教育培训，保障抽查效果。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各部门要对参加执法检查的人员进行抽查前的精准培训，包括抽查软件的使用、检查内容、工作程序等，从能力建设方面保障抽查工作顺利进行。此类培训情况应当计入月报表上报。随机抽取的执法检查人员，无法独立完成专业抽查事项的，由执法检查人员所在部门选派专业人员协助指导完成抽查工作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5B158A4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（四）统一监管服务，减轻企业负担。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检查人员在监督检查工作中要廉政执法，依法行政，切实增强检查活动的集约性、简便性与有效性，避免增加企业负担。同时要增强服务意识，把上门检查与上门服务有机结合起来，主动接受企业咨询，为企业解疑答惑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1BAA52C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（五）加强宣传报道，提升社会影响力。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双随机联合抽查涉及广大企业，参加联合抽查的部门要加强宣传报道，公开抽查依据、抽查主体、抽查内容、抽查方式、抽查结果，扩大抽查工作的社会影响力，使广大企业知晓配合抽查的义务和相关权利，使社会公众了解并主动参与抽查活动，积极举报企业违法经营行为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4218BA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（六）认真总结经验，及时反馈情况。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参加联合抽查的部门要认真发现联合抽查工作中的亮点，</w:t>
      </w:r>
      <w:r>
        <w:rPr>
          <w:rFonts w:hint="eastAsia" w:ascii="仿宋" w:hAnsi="仿宋" w:eastAsia="仿宋" w:cs="仿宋"/>
          <w:sz w:val="32"/>
          <w:szCs w:val="32"/>
        </w:rPr>
        <w:t>认真总结经验，总结经验做法及存在的问题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各部门负责汇总本部门抽查开展情况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90F4F9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</w:rPr>
        <w:t>县生态环境分局：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  <w:t xml:space="preserve">     程立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妙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  <w:t xml:space="preserve"> </w:t>
      </w:r>
    </w:p>
    <w:p w14:paraId="75F3BEC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Style w:val="9"/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  <w:t xml:space="preserve">县市场监管局：       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杨  艳</w:t>
      </w:r>
    </w:p>
    <w:p w14:paraId="168231D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Style w:val="9"/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  <w:t>县应急管理局：       刘建林</w:t>
      </w:r>
    </w:p>
    <w:p w14:paraId="388DA3C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  <w:t>联系电话：           0319-6682566</w:t>
      </w:r>
    </w:p>
    <w:p w14:paraId="62C1ADD0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</w:pPr>
    </w:p>
    <w:p w14:paraId="0D0F26A1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3520" w:firstLineChars="1100"/>
        <w:textAlignment w:val="auto"/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  <w:t>邢台市生态环境局隆尧县分局</w:t>
      </w:r>
    </w:p>
    <w:p w14:paraId="133EF81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default" w:ascii="仿宋_GB2312" w:hAnsi="微软雅黑" w:eastAsia="仿宋_GB2312" w:cs="Arial"/>
          <w:kern w:val="0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  <w:t xml:space="preserve">                          2024年9月2日</w:t>
      </w:r>
    </w:p>
    <w:p w14:paraId="0E13A051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210" w:firstLineChars="100"/>
        <w:textAlignment w:val="auto"/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567" w:left="179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F9692AFF-54F5-4BD4-8EF5-045EFC213B13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A82DC794-15ED-4AC0-A806-2DF4B34D7A8F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3" w:fontKey="{A48E3CED-B6E2-4375-BA6A-386DB714195E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87BED56E-0863-4D5D-B3B2-99049E50D56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D4C678B4-2091-4851-B54E-1D957788E7C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D18600A2-9A92-4317-A320-4E8A9695AF70}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  <w:embedRegular r:id="rId7" w:fontKey="{A5222981-9ABC-494D-B57F-3390E87E4B9B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8" w:fontKey="{78C38CDE-10A5-4C50-B28D-8DBEC713BC6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A66019">
    <w:pPr>
      <w:pStyle w:val="4"/>
      <w:framePr w:wrap="around" w:vAnchor="text" w:hAnchor="margin" w:xAlign="center" w:y="1"/>
      <w:jc w:val="center"/>
      <w:rPr>
        <w:rStyle w:val="8"/>
        <w:rFonts w:ascii="Times New Roman" w:hAnsi="Times New Roman" w:eastAsia="宋体" w:cs="Times New Roman"/>
      </w:rPr>
    </w:pPr>
    <w:r>
      <w:rPr>
        <w:rFonts w:ascii="Times New Roman" w:hAnsi="Times New Roman" w:eastAsia="宋体" w:cs="Times New Roman"/>
      </w:rPr>
      <w:fldChar w:fldCharType="begin"/>
    </w:r>
    <w:r>
      <w:rPr>
        <w:rStyle w:val="8"/>
        <w:rFonts w:ascii="Times New Roman" w:hAnsi="Times New Roman" w:eastAsia="宋体" w:cs="Times New Roman"/>
        <w:sz w:val="21"/>
        <w:szCs w:val="24"/>
      </w:rPr>
      <w:instrText xml:space="preserve">PAGE  </w:instrText>
    </w:r>
    <w:r>
      <w:rPr>
        <w:rFonts w:ascii="Times New Roman" w:hAnsi="Times New Roman" w:eastAsia="宋体" w:cs="Times New Roman"/>
      </w:rPr>
      <w:fldChar w:fldCharType="separate"/>
    </w:r>
    <w:r>
      <w:rPr>
        <w:rStyle w:val="8"/>
        <w:rFonts w:ascii="Times New Roman" w:hAnsi="Times New Roman" w:eastAsia="宋体" w:cs="Times New Roman"/>
        <w:sz w:val="21"/>
        <w:szCs w:val="24"/>
      </w:rPr>
      <w:t>- 1 -</w:t>
    </w:r>
    <w:r>
      <w:rPr>
        <w:rFonts w:ascii="Times New Roman" w:hAnsi="Times New Roman" w:eastAsia="宋体" w:cs="Times New Roman"/>
      </w:rPr>
      <w:fldChar w:fldCharType="end"/>
    </w:r>
  </w:p>
  <w:p w14:paraId="1B15E29F">
    <w:pPr>
      <w:pStyle w:val="4"/>
      <w:framePr w:wrap="around" w:vAnchor="text" w:hAnchor="margin" w:xAlign="center" w:y="1"/>
      <w:rPr>
        <w:rStyle w:val="8"/>
        <w:rFonts w:ascii="Times New Roman" w:hAnsi="Times New Roman" w:eastAsia="宋体" w:cs="Times New Roman"/>
      </w:rPr>
    </w:pPr>
  </w:p>
  <w:p w14:paraId="0ADD02D3">
    <w:pPr>
      <w:pStyle w:val="4"/>
      <w:rPr>
        <w:rFonts w:ascii="Times New Roman" w:hAnsi="Times New Roman" w:eastAsia="宋体"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134081">
    <w:pPr>
      <w:pStyle w:val="4"/>
      <w:framePr w:wrap="around" w:vAnchor="text" w:hAnchor="margin" w:xAlign="center" w:y="1"/>
      <w:rPr>
        <w:rStyle w:val="8"/>
        <w:rFonts w:ascii="Times New Roman" w:hAnsi="Times New Roman" w:eastAsia="宋体" w:cs="Times New Roman"/>
      </w:rPr>
    </w:pPr>
    <w:r>
      <w:rPr>
        <w:rFonts w:ascii="Times New Roman" w:hAnsi="Times New Roman" w:eastAsia="宋体" w:cs="Times New Roman"/>
      </w:rPr>
      <w:fldChar w:fldCharType="begin"/>
    </w:r>
    <w:r>
      <w:rPr>
        <w:rStyle w:val="8"/>
        <w:rFonts w:ascii="Times New Roman" w:hAnsi="Times New Roman" w:eastAsia="宋体" w:cs="Times New Roman"/>
        <w:sz w:val="21"/>
        <w:szCs w:val="24"/>
      </w:rPr>
      <w:instrText xml:space="preserve">PAGE  </w:instrText>
    </w:r>
    <w:r>
      <w:rPr>
        <w:rFonts w:ascii="Times New Roman" w:hAnsi="Times New Roman" w:eastAsia="宋体" w:cs="Times New Roman"/>
      </w:rPr>
      <w:fldChar w:fldCharType="separate"/>
    </w:r>
    <w:r>
      <w:rPr>
        <w:rStyle w:val="8"/>
        <w:rFonts w:ascii="Times New Roman" w:hAnsi="Times New Roman" w:eastAsia="宋体" w:cs="Times New Roman"/>
        <w:sz w:val="21"/>
        <w:szCs w:val="24"/>
      </w:rPr>
      <w:t>- 6 -</w:t>
    </w:r>
    <w:r>
      <w:rPr>
        <w:rFonts w:ascii="Times New Roman" w:hAnsi="Times New Roman" w:eastAsia="宋体" w:cs="Times New Roman"/>
      </w:rPr>
      <w:fldChar w:fldCharType="end"/>
    </w:r>
  </w:p>
  <w:p w14:paraId="255036DB">
    <w:pPr>
      <w:pStyle w:val="4"/>
      <w:rPr>
        <w:rFonts w:ascii="Times New Roman" w:hAnsi="Times New Roman" w:eastAsia="宋体" w:cs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82C987">
    <w:pPr>
      <w:pStyle w:val="4"/>
      <w:rPr>
        <w:rFonts w:ascii="Times New Roman" w:hAnsi="Times New Roman" w:eastAsia="宋体" w:cs="Times New Roma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2C5D22">
    <w:pPr>
      <w:pStyle w:val="5"/>
      <w:pBdr>
        <w:bottom w:val="none" w:color="auto" w:sz="0" w:space="0"/>
      </w:pBdr>
      <w:rPr>
        <w:rFonts w:ascii="Times New Roman" w:hAnsi="Times New Roman" w:eastAsia="宋体"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715A0C">
    <w:pPr>
      <w:pStyle w:val="5"/>
      <w:rPr>
        <w:rFonts w:ascii="Times New Roman" w:hAnsi="Times New Roman" w:eastAsia="宋体" w:cs="Times New Roma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F9F22C">
    <w:pPr>
      <w:pStyle w:val="5"/>
      <w:rPr>
        <w:rFonts w:ascii="Times New Roman" w:hAnsi="Times New Roman" w:eastAsia="宋体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30CF7C4"/>
    <w:multiLevelType w:val="singleLevel"/>
    <w:tmpl w:val="F30CF7C4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OTY2NDIyZmIwNjY3MzQxYWU2MGIxZTNlZjM0ZDYifQ=="/>
  </w:docVars>
  <w:rsids>
    <w:rsidRoot w:val="19564619"/>
    <w:rsid w:val="0F5320D4"/>
    <w:rsid w:val="147617E1"/>
    <w:rsid w:val="19564619"/>
    <w:rsid w:val="28BD1C58"/>
    <w:rsid w:val="310E2AC3"/>
    <w:rsid w:val="3B4E6A46"/>
    <w:rsid w:val="3C260BDE"/>
    <w:rsid w:val="43D54D84"/>
    <w:rsid w:val="48412795"/>
    <w:rsid w:val="4B6E40CB"/>
    <w:rsid w:val="4DAC5AA1"/>
    <w:rsid w:val="516E10A7"/>
    <w:rsid w:val="5980475F"/>
    <w:rsid w:val="5E222D7F"/>
    <w:rsid w:val="7B826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5">
    <w:name w:val="header"/>
    <w:qFormat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character" w:styleId="8">
    <w:name w:val="page number"/>
    <w:qFormat/>
    <w:uiPriority w:val="0"/>
  </w:style>
  <w:style w:type="character" w:customStyle="1" w:styleId="9">
    <w:name w:val="NormalCharacter"/>
    <w:semiHidden/>
    <w:qFormat/>
    <w:uiPriority w:val="99"/>
    <w:rPr>
      <w:rFonts w:ascii="Calibri" w:hAnsi="Calibri" w:eastAsia="宋体"/>
      <w:kern w:val="2"/>
      <w:sz w:val="22"/>
      <w:lang w:val="en-US" w:eastAsia="zh-CN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numbering.xml" Type="http://schemas.openxmlformats.org/officeDocument/2006/relationships/numbering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_rels/fontTable.xml.rels><?xml version="1.0" encoding="UTF-8" standalone="no"?><Relationships xmlns="http://schemas.openxmlformats.org/package/2006/relationships"><Relationship Id="rId1" Target="fonts/font1.odttf" Type="http://schemas.openxmlformats.org/officeDocument/2006/relationships/font"/><Relationship Id="rId2" Target="fonts/font2.odttf" Type="http://schemas.openxmlformats.org/officeDocument/2006/relationships/font"/><Relationship Id="rId3" Target="fonts/font3.odttf" Type="http://schemas.openxmlformats.org/officeDocument/2006/relationships/font"/><Relationship Id="rId4" Target="fonts/font4.odttf" Type="http://schemas.openxmlformats.org/officeDocument/2006/relationships/font"/><Relationship Id="rId5" Target="fonts/font5.odttf" Type="http://schemas.openxmlformats.org/officeDocument/2006/relationships/font"/><Relationship Id="rId6" Target="fonts/font6.odttf" Type="http://schemas.openxmlformats.org/officeDocument/2006/relationships/font"/><Relationship Id="rId7" Target="fonts/font7.odttf" Type="http://schemas.openxmlformats.org/officeDocument/2006/relationships/font"/><Relationship Id="rId8" Target="fonts/font8.odttf" Type="http://schemas.openxmlformats.org/officeDocument/2006/relationships/font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2173</Words>
  <Characters>2211</Characters>
  <Lines>0</Lines>
  <Paragraphs>0</Paragraphs>
  <TotalTime>23</TotalTime>
  <ScaleCrop>false</ScaleCrop>
  <LinksUpToDate>false</LinksUpToDate>
  <CharactersWithSpaces>2285</CharactersWithSpaces>
  <Application>WPS Office_12.1.0.17150_F1E327BC-269C-435d-A152-05C5408002CA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2024-05-22T06:54:00Z</dcterms:created>
  <dc:creator>程立妙</dc:creator>
  <cp:lastModifiedBy>程立妙</cp:lastModifiedBy>
  <cp:lastPrinted>2024-09-03T08:22:28Z</cp:lastPrinted>
  <dcterms:modified xsi:type="dcterms:W3CDTF">2024-09-03T08:26:00Z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2052-12.1.0.17150</vt:lpwstr>
  </property>
  <property fmtid="{D5CDD505-2E9C-101B-9397-08002B2CF9AE}" pid="3" name="ICV">
    <vt:lpwstr>73070D25F3A74A068F31EB436E92B4C3_13</vt:lpwstr>
  </property>
</Properties>
</file>