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ind w:firstLineChars="200" w:firstLine="880"/>
        <w:jc w:val="center"/>
        <w:rPr>
          <w:rFonts w:ascii="Times New Roman" w:eastAsia="方正小标宋_GBK" w:hAnsi="Times New Roman"/>
          <w:color w:val="000000"/>
          <w:sz w:val="44"/>
          <w:szCs w:val="44"/>
        </w:rPr>
      </w:pPr>
      <w:r>
        <w:rPr>
          <w:rFonts w:ascii="Times New Roman" w:eastAsia="方正小标宋_GBK" w:hAnsi="Times New Roman" w:hint="eastAsia"/>
          <w:color w:val="000000"/>
          <w:sz w:val="44"/>
          <w:szCs w:val="44"/>
        </w:rPr>
        <w:t>隆尧县行政审批局</w:t>
      </w:r>
      <w:r>
        <w:rPr>
          <w:rFonts w:ascii="Times New Roman" w:eastAsia="方正小标宋_GBK" w:hAnsi="Times New Roman"/>
          <w:color w:val="000000"/>
          <w:sz w:val="44"/>
          <w:szCs w:val="44"/>
        </w:rPr>
        <w:t>2021</w:t>
      </w:r>
      <w:r>
        <w:rPr>
          <w:rFonts w:ascii="Times New Roman" w:eastAsia="方正小标宋_GBK" w:hAnsi="Times New Roman" w:hint="eastAsia"/>
          <w:color w:val="000000"/>
          <w:sz w:val="44"/>
          <w:szCs w:val="44"/>
        </w:rPr>
        <w:t>年部门预算信息公开情况说明</w:t>
      </w:r>
    </w:p>
    <w:p>
      <w:pPr>
        <w:ind w:firstLineChars="200" w:firstLine="640"/>
        <w:rPr>
          <w:rFonts w:ascii="仿宋" w:eastAsia="仿宋" w:hAnsi="仿宋"/>
          <w:color w:val="000000"/>
          <w:sz w:val="32"/>
          <w:szCs w:val="32"/>
        </w:rPr>
      </w:pPr>
      <w:r>
        <w:rPr>
          <w:rFonts w:ascii="仿宋" w:eastAsia="仿宋" w:hAnsi="仿宋" w:hint="eastAsia"/>
          <w:color w:val="000000"/>
          <w:sz w:val="32"/>
          <w:szCs w:val="32"/>
        </w:rPr>
        <w:t>按照《预算法》、《地方预决算公开操作规程》和《河北省省级预算公开办法》规定，现将隆尧县行政审批局</w:t>
      </w:r>
      <w:r>
        <w:rPr>
          <w:rFonts w:ascii="仿宋" w:eastAsia="仿宋" w:hAnsi="仿宋"/>
          <w:color w:val="000000"/>
          <w:sz w:val="32"/>
          <w:szCs w:val="32"/>
        </w:rPr>
        <w:t>2021</w:t>
      </w:r>
      <w:r>
        <w:rPr>
          <w:rFonts w:ascii="仿宋" w:eastAsia="仿宋" w:hAnsi="仿宋" w:hint="eastAsia"/>
          <w:color w:val="000000"/>
          <w:sz w:val="32"/>
          <w:szCs w:val="32"/>
        </w:rPr>
        <w:t>年部门预算公开如下：</w:t>
      </w:r>
    </w:p>
    <w:p>
      <w:pPr>
        <w:ind w:firstLine="640"/>
        <w:rPr>
          <w:rFonts w:ascii="黑体" w:eastAsia="黑体" w:hAnsi="黑体"/>
          <w:color w:val="000000"/>
          <w:sz w:val="32"/>
          <w:szCs w:val="32"/>
        </w:rPr>
      </w:pPr>
      <w:r>
        <w:rPr>
          <w:rFonts w:ascii="黑体" w:eastAsia="黑体" w:hAnsi="黑体" w:hint="eastAsia"/>
          <w:color w:val="000000"/>
          <w:sz w:val="32"/>
          <w:szCs w:val="32"/>
        </w:rPr>
        <w:t>一、部门职责及机构设置情况</w:t>
      </w:r>
    </w:p>
    <w:p>
      <w:pPr>
        <w:ind w:firstLineChars="200" w:firstLine="640"/>
        <w:rPr>
          <w:rFonts w:ascii="仿宋" w:eastAsia="仿宋" w:hAnsi="仿宋"/>
          <w:color w:val="000000"/>
          <w:sz w:val="32"/>
          <w:szCs w:val="32"/>
        </w:rPr>
      </w:pPr>
      <w:r>
        <w:rPr>
          <w:rFonts w:ascii="宋体" w:eastAsia="宋体" w:hAnsi="宋体" w:hint="eastAsia"/>
          <w:b/>
          <w:color w:val="000000"/>
          <w:sz w:val="32"/>
          <w:szCs w:val="32"/>
        </w:rPr>
        <w:t>部门职责：</w:t>
      </w:r>
      <w:r>
        <w:rPr>
          <w:rFonts w:ascii="仿宋" w:eastAsia="仿宋" w:hAnsi="仿宋" w:hint="eastAsia"/>
          <w:color w:val="000000"/>
          <w:sz w:val="32"/>
          <w:szCs w:val="32"/>
        </w:rPr>
        <w:t>隆尧县行政审批局为县政府工作部门，设9个内设机构。</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仿宋" w:eastAsia="仿宋" w:hAnsi="仿宋"/>
          <w:color w:val="000000"/>
          <w:sz w:val="32"/>
          <w:szCs w:val="32"/>
        </w:rPr>
      </w:pPr>
      <w:r>
        <w:rPr>
          <w:rFonts w:ascii="仿宋" w:eastAsia="仿宋" w:hAnsi="仿宋" w:hint="eastAsia"/>
          <w:color w:val="000000"/>
          <w:sz w:val="32"/>
          <w:szCs w:val="32"/>
        </w:rPr>
        <w:t>根据隆尧县行政审批局主要职责内设机构和人员编制规定，隆尧县行政审批局主要职责如下：</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一）贯彻执行党中央、国务院和省委、省政府及市委、市政府、县委、县政府“放管服”改革、行政审批、政务服务、公共资源交易、社会信用体系建设有关方针政策和法律法规，制定和完善有关规章制度和管理办法并组织实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二）负责综合协调和监督管理县级各部门行政审批等事项和公共服务事项的集中统一办理；组织相关部门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三）协调指导全县公共资源交易市场工作。拟订全县公共资源交易市场管理制度和规则；编制全县公共资源交易目录；负责建设、管理全县统一的公共资源交易电子服务系统；负责推进全县公共资源交易领域信用体系建设；监督全县公共资源交易项目进场交易；负责全县公共资源交易项目场内交易活动的监督工作，受理对县公共资源交易中心的投诉举报，将违法违规问题移送有关部门处理；协调县公共资源交易的联动执法。</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四）组织协调全县“放管服”改革工作。指导、协调贯彻落实党中央、国务院和省委、省政府及市委、市政府、县委、县政府关于“放管服”改革的政策措施，承担县推进政府职能转变和“放管服”改革协调小组的日常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五）指导协调全县行政审批制度改革工作。建立健全县行政审批管理体系；推进简政放权，清理和规范各类行政许可等管理事项；协调推进行政审批标准化工作；承担县行政审批制度改革工作领导小组的日常工作；协调有关部门，建立完善审批服务联动工作机制。</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六）指导协调全县政务服务管理工作。负责优化政务服务供给，降低制度性交易成本，提升政务服务效能；负责推进审批服务便民化；指导协调县有关部门为公民、法人或其他组织提供规范、高效、优质的政务服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七）统筹推进全县“互联网+政务服务”工作，构建全县一体化政务服务平台。推行政务服务网上办理，形成管理机构、实体大厅、网上平台“三位一体”的政务服务管理模式；推进全县电子证照库建设；推进全县政务服务平台规范化、标准化、集约化建设。负责行政审批、公共资源交易平台的建设和管理，会同有关部门推进行政审批、公共资源交易信息化建设。</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八）引导和推动全县社会信用体系建设。组织制定发展规划和年度工作要点；推动健全信用法规制度和标准体系；负责全县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eastAsia="仿宋" w:hAnsi="仿宋"/>
          <w:color w:val="000000"/>
          <w:sz w:val="32"/>
          <w:szCs w:val="32"/>
        </w:rPr>
      </w:pPr>
      <w:r>
        <w:rPr>
          <w:rFonts w:ascii="仿宋" w:eastAsia="仿宋" w:hAnsi="仿宋"/>
          <w:color w:val="000000"/>
          <w:sz w:val="32"/>
          <w:szCs w:val="32"/>
        </w:rPr>
        <w:t>（九）建立健全全县政务服务、行政审批服务效能可量化的考核评价制度；对具有政务服务职能的部门进行综合考评，对进驻政务服务大厅事项的办理情况、办理效能，以及办事人员的服务质量等进行监督；负责对进驻政务服务大厅各部门窗口及其工作人员进行教育、培训和管理。</w:t>
      </w:r>
    </w:p>
    <w:p>
      <w:pPr>
        <w:pStyle w:val="28"/>
        <w:ind w:firstLineChars="200" w:firstLine="640"/>
        <w:rPr>
          <w:rFonts w:ascii="仿宋" w:eastAsia="仿宋" w:hAnsi="仿宋"/>
          <w:color w:val="000000"/>
          <w:kern w:val="2"/>
          <w:sz w:val="32"/>
          <w:szCs w:val="32"/>
          <w:lang w:eastAsia="zh-CN"/>
        </w:rPr>
      </w:pPr>
      <w:r>
        <w:rPr>
          <w:rFonts w:ascii="仿宋" w:eastAsia="仿宋" w:hAnsi="仿宋"/>
          <w:color w:val="000000"/>
          <w:kern w:val="2"/>
          <w:sz w:val="32"/>
          <w:szCs w:val="32"/>
          <w:lang w:eastAsia="zh-CN"/>
        </w:rPr>
        <w:t>（十）完成县委、县政府交办的其他任务。</w:t>
      </w:r>
    </w:p>
    <w:p>
      <w:pPr>
        <w:ind w:firstLineChars="200" w:firstLine="640"/>
        <w:rPr>
          <w:rFonts w:ascii="Times New Roman" w:eastAsia="方正仿宋_GBK" w:hAnsi="Times New Roman"/>
          <w:b/>
          <w:color w:val="000000"/>
          <w:sz w:val="32"/>
          <w:szCs w:val="32"/>
        </w:rPr>
      </w:pPr>
    </w:p>
    <w:p>
      <w:pPr>
        <w:autoSpaceDE w:val="0"/>
        <w:autoSpaceDN w:val="0"/>
        <w:adjustRightInd w:val="0"/>
        <w:ind w:firstLineChars="200" w:firstLine="640"/>
        <w:jc w:val="left"/>
        <w:rPr>
          <w:rFonts w:ascii="宋体" w:eastAsia="宋体" w:hAnsi="宋体"/>
          <w:b/>
          <w:color w:val="000000"/>
          <w:sz w:val="32"/>
          <w:szCs w:val="32"/>
        </w:rPr>
      </w:pPr>
      <w:r>
        <w:rPr>
          <w:rFonts w:ascii="宋体" w:eastAsia="宋体" w:hAnsi="宋体" w:hint="eastAsia"/>
          <w:b/>
          <w:color w:val="000000"/>
          <w:sz w:val="32"/>
          <w:szCs w:val="32"/>
        </w:rPr>
        <w:t>机构设置：</w:t>
      </w:r>
    </w:p>
    <w:p>
      <w:pPr>
        <w:jc w:val="center"/>
        <w:outlineLvl w:val="0"/>
        <w:rPr>
          <w:rFonts w:ascii="宋体" w:eastAsia="宋体" w:hAnsi="宋体"/>
          <w:color w:val="000000"/>
          <w:sz w:val="32"/>
          <w:szCs w:val="24"/>
        </w:rPr>
      </w:pPr>
      <w:r>
        <w:rPr>
          <w:rFonts w:ascii="宋体" w:eastAsia="宋体" w:hAnsi="宋体" w:hint="eastAsia"/>
          <w:color w:val="000000"/>
          <w:sz w:val="32"/>
          <w:szCs w:val="24"/>
        </w:rPr>
        <w:t>部门机构设置情况</w:t>
      </w:r>
    </w:p>
    <w:tbl>
      <w:tblPr>
        <w:jc w:val="center"/>
        <w:tblW w:w="978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3276"/>
        <w:gridCol w:w="1701"/>
        <w:gridCol w:w="1792"/>
        <w:gridCol w:w="3013"/>
      </w:tblGrid>
      <w:tr>
        <w:trPr>
          <w:trHeight w:val="300"/>
          <w:tblHeader/>
        </w:trPr>
        <w:tc>
          <w:tcPr>
            <w:tcW w:w="3276"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单位名称</w:t>
            </w:r>
          </w:p>
        </w:tc>
        <w:tc>
          <w:tcPr>
            <w:tcW w:w="1701"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单位性质</w:t>
            </w:r>
          </w:p>
        </w:tc>
        <w:tc>
          <w:tcPr>
            <w:tcW w:w="1792"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单位规格</w:t>
            </w:r>
          </w:p>
        </w:tc>
        <w:tc>
          <w:tcPr>
            <w:tcW w:w="3013"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经费保障形式</w:t>
            </w:r>
          </w:p>
        </w:tc>
      </w:tr>
      <w:tr>
        <w:trPr>
          <w:trHeight w:val="300"/>
          <w:tblHeader/>
        </w:trPr>
        <w:tc>
          <w:tcPr>
            <w:tcW w:w="3276" w:type="dxa"/>
            <w:vMerge/>
            <w:vAlign w:val="center"/>
          </w:tcPr>
          <w:p/>
        </w:tc>
        <w:tc>
          <w:tcPr>
            <w:tcW w:w="1701" w:type="dxa"/>
            <w:vMerge/>
            <w:tcBorders>
              <w:left w:val="single" w:sz="6" w:space="0" w:color="000000"/>
            </w:tcBorders>
            <w:vAlign w:val="center"/>
          </w:tcPr>
          <w:p/>
        </w:tc>
        <w:tc>
          <w:tcPr>
            <w:tcW w:w="1792" w:type="dxa"/>
            <w:vMerge/>
            <w:tcBorders>
              <w:left w:val="single" w:sz="6" w:space="0" w:color="000000"/>
            </w:tcBorders>
            <w:vAlign w:val="center"/>
          </w:tcPr>
          <w:p/>
        </w:tc>
        <w:tc>
          <w:tcPr>
            <w:tcW w:w="3013" w:type="dxa"/>
            <w:vMerge/>
            <w:tcBorders>
              <w:left w:val="single" w:sz="6" w:space="0" w:color="000000"/>
            </w:tcBorders>
            <w:vAlign w:val="center"/>
          </w:tcPr>
          <w:p/>
        </w:tc>
      </w:tr>
      <w:tr>
        <w:trPr>
          <w:trHeight w:val="227"/>
        </w:trPr>
        <w:tc>
          <w:tcPr>
            <w:tcW w:w="3276" w:type="dxa"/>
            <w:vAlign w:val="center"/>
          </w:tcPr>
          <w:p>
            <w:pPr>
              <w:spacing w:line="300" w:lineRule="exact"/>
              <w:jc w:val="center"/>
              <w:rPr>
                <w:rFonts w:ascii="Times New Roman" w:eastAsia="方正书宋_GBK" w:hAnsi="Times New Roman"/>
                <w:color w:val="000000"/>
                <w:szCs w:val="21"/>
              </w:rPr>
            </w:pPr>
            <w:r>
              <w:rPr>
                <w:rFonts w:ascii="Times New Roman" w:eastAsia="方正书宋_GBK" w:hAnsi="Times New Roman" w:hint="eastAsia"/>
                <w:color w:val="000000"/>
                <w:szCs w:val="21"/>
              </w:rPr>
              <w:t>隆尧县行政审批局（本级）</w:t>
            </w:r>
          </w:p>
        </w:tc>
        <w:tc>
          <w:tcPr>
            <w:tcW w:w="1701" w:type="dxa"/>
            <w:tcBorders>
              <w:left w:val="single" w:sz="6" w:space="0" w:color="000000"/>
            </w:tcBorders>
            <w:vAlign w:val="center"/>
          </w:tcPr>
          <w:p>
            <w:pPr>
              <w:spacing w:line="300" w:lineRule="exact"/>
              <w:jc w:val="center"/>
              <w:rPr>
                <w:rFonts w:ascii="Times New Roman" w:eastAsia="方正书宋_GBK" w:hAnsi="Times New Roman"/>
                <w:color w:val="000000"/>
                <w:szCs w:val="21"/>
              </w:rPr>
            </w:pPr>
            <w:r>
              <w:rPr>
                <w:rFonts w:ascii="Times New Roman" w:eastAsia="方正书宋_GBK" w:hAnsi="Times New Roman" w:hint="eastAsia"/>
                <w:color w:val="000000"/>
                <w:szCs w:val="21"/>
              </w:rPr>
              <w:t>行政</w:t>
            </w:r>
          </w:p>
        </w:tc>
        <w:tc>
          <w:tcPr>
            <w:tcW w:w="1792" w:type="dxa"/>
            <w:tcBorders>
              <w:left w:val="single" w:sz="6" w:space="0" w:color="000000"/>
            </w:tcBorders>
            <w:vAlign w:val="center"/>
          </w:tcPr>
          <w:p>
            <w:pPr>
              <w:spacing w:line="300" w:lineRule="exact"/>
              <w:jc w:val="center"/>
              <w:rPr>
                <w:rFonts w:ascii="Times New Roman" w:eastAsia="方正书宋_GBK" w:hAnsi="Times New Roman"/>
                <w:color w:val="000000"/>
                <w:szCs w:val="21"/>
              </w:rPr>
            </w:pPr>
            <w:r>
              <w:rPr>
                <w:rFonts w:ascii="Times New Roman" w:eastAsia="方正书宋_GBK" w:hAnsi="Times New Roman" w:hint="eastAsia"/>
                <w:color w:val="000000"/>
                <w:szCs w:val="21"/>
              </w:rPr>
              <w:t>正科级</w:t>
            </w:r>
          </w:p>
        </w:tc>
        <w:tc>
          <w:tcPr>
            <w:tcW w:w="3013" w:type="dxa"/>
            <w:tcBorders>
              <w:left w:val="single" w:sz="6" w:space="0" w:color="000000"/>
            </w:tcBorders>
            <w:vAlign w:val="center"/>
          </w:tcPr>
          <w:p>
            <w:pPr>
              <w:spacing w:line="300" w:lineRule="exact"/>
              <w:jc w:val="center"/>
              <w:rPr>
                <w:rFonts w:ascii="Times New Roman" w:eastAsia="方正书宋_GBK" w:hAnsi="Times New Roman"/>
                <w:color w:val="000000"/>
                <w:szCs w:val="21"/>
              </w:rPr>
            </w:pPr>
            <w:r>
              <w:rPr>
                <w:rFonts w:ascii="Times New Roman" w:eastAsia="方正书宋_GBK" w:hAnsi="Times New Roman" w:hint="eastAsia"/>
                <w:color w:val="000000"/>
                <w:szCs w:val="21"/>
              </w:rPr>
              <w:t>财政拨款</w:t>
            </w:r>
          </w:p>
        </w:tc>
      </w:tr>
    </w:tbl>
    <w:p>
      <w:pPr>
        <w:rPr>
          <w:rFonts w:ascii="黑体" w:eastAsia="黑体" w:hAnsi="黑体"/>
          <w:color w:val="000000"/>
          <w:sz w:val="32"/>
          <w:szCs w:val="32"/>
        </w:rPr>
      </w:pPr>
    </w:p>
    <w:p>
      <w:pPr>
        <w:ind w:firstLineChars="200" w:firstLine="640"/>
        <w:rPr>
          <w:rFonts w:ascii="黑体" w:eastAsia="黑体" w:hAnsi="黑体"/>
          <w:color w:val="000000"/>
          <w:sz w:val="32"/>
          <w:szCs w:val="32"/>
        </w:rPr>
      </w:pPr>
      <w:r>
        <w:rPr>
          <w:rFonts w:ascii="黑体" w:eastAsia="黑体" w:hAnsi="黑体" w:hint="eastAsia"/>
          <w:color w:val="000000"/>
          <w:sz w:val="32"/>
          <w:szCs w:val="32"/>
        </w:rPr>
        <w:t>二、部门预算安排的总体情况</w:t>
      </w:r>
    </w:p>
    <w:p>
      <w:pPr>
        <w:ind w:firstLine="640"/>
        <w:rPr>
          <w:rFonts w:ascii="仿宋" w:eastAsia="仿宋" w:hAnsi="仿宋"/>
          <w:color w:val="000000"/>
          <w:sz w:val="32"/>
          <w:szCs w:val="32"/>
        </w:rPr>
      </w:pPr>
      <w:r>
        <w:rPr>
          <w:rFonts w:ascii="仿宋" w:eastAsia="仿宋" w:hAnsi="仿宋" w:hint="eastAsia"/>
          <w:color w:val="000000"/>
          <w:sz w:val="32"/>
          <w:szCs w:val="32"/>
        </w:rPr>
        <w:t>按照预算管理有关规定，目前我县部门预算的编制实行综合预算管理，即全部收入和支出都反映在预算中。隆尧县行政审批局机关及所属事业单位的收支包含在部门预算中。</w:t>
      </w:r>
    </w:p>
    <w:p>
      <w:pPr>
        <w:ind w:firstLineChars="200" w:firstLine="640"/>
        <w:rPr>
          <w:rFonts w:ascii="仿宋" w:eastAsia="仿宋" w:hAnsi="仿宋"/>
          <w:color w:val="000000"/>
          <w:sz w:val="32"/>
          <w:szCs w:val="32"/>
        </w:rPr>
      </w:pPr>
      <w:r>
        <w:rPr>
          <w:rFonts w:ascii="仿宋" w:eastAsia="仿宋" w:hAnsi="仿宋"/>
          <w:color w:val="000000"/>
          <w:sz w:val="32"/>
          <w:szCs w:val="32"/>
        </w:rPr>
        <w:t>1</w:t>
      </w:r>
      <w:r>
        <w:rPr>
          <w:rFonts w:ascii="仿宋" w:eastAsia="仿宋" w:hAnsi="仿宋" w:hint="eastAsia"/>
          <w:color w:val="000000"/>
          <w:sz w:val="32"/>
          <w:szCs w:val="32"/>
        </w:rPr>
        <w:t>、收入说明</w:t>
      </w:r>
    </w:p>
    <w:p>
      <w:pPr>
        <w:ind w:firstLineChars="200" w:firstLine="640"/>
        <w:rPr>
          <w:rFonts w:ascii="仿宋" w:eastAsia="仿宋" w:hAnsi="仿宋"/>
          <w:color w:val="000000"/>
          <w:sz w:val="32"/>
          <w:szCs w:val="32"/>
        </w:rPr>
      </w:pPr>
      <w:r>
        <w:rPr>
          <w:rFonts w:ascii="仿宋" w:eastAsia="仿宋" w:hAnsi="仿宋" w:hint="eastAsia"/>
          <w:color w:val="000000"/>
          <w:sz w:val="32"/>
          <w:szCs w:val="32"/>
        </w:rPr>
        <w:t>反映本部门当年全部收入。</w:t>
      </w:r>
      <w:r>
        <w:rPr>
          <w:rFonts w:ascii="仿宋" w:eastAsia="仿宋" w:hAnsi="仿宋"/>
          <w:color w:val="000000"/>
          <w:sz w:val="32"/>
          <w:szCs w:val="32"/>
        </w:rPr>
        <w:t>2021</w:t>
      </w:r>
      <w:r>
        <w:rPr>
          <w:rFonts w:ascii="仿宋" w:eastAsia="仿宋" w:hAnsi="仿宋" w:hint="eastAsia"/>
          <w:color w:val="000000"/>
          <w:sz w:val="32"/>
          <w:szCs w:val="32"/>
        </w:rPr>
        <w:t>年预算收入498.04万元，其中：一般公共预算收入498.04万元，基金预算收入</w:t>
      </w:r>
      <w:r>
        <w:rPr>
          <w:rFonts w:ascii="仿宋" w:eastAsia="仿宋" w:hAnsi="仿宋"/>
          <w:color w:val="000000"/>
          <w:sz w:val="32"/>
          <w:szCs w:val="32"/>
        </w:rPr>
        <w:t>0</w:t>
      </w:r>
      <w:r>
        <w:rPr>
          <w:rFonts w:ascii="仿宋" w:eastAsia="仿宋" w:hAnsi="仿宋" w:hint="eastAsia"/>
          <w:color w:val="000000"/>
          <w:sz w:val="32"/>
          <w:szCs w:val="32"/>
        </w:rPr>
        <w:t>万元，财政专户核拨收入</w:t>
      </w:r>
      <w:r>
        <w:rPr>
          <w:rFonts w:ascii="仿宋" w:eastAsia="仿宋" w:hAnsi="仿宋"/>
          <w:color w:val="000000"/>
          <w:sz w:val="32"/>
          <w:szCs w:val="32"/>
        </w:rPr>
        <w:t>0</w:t>
      </w:r>
      <w:r>
        <w:rPr>
          <w:rFonts w:ascii="仿宋" w:eastAsia="仿宋" w:hAnsi="仿宋" w:hint="eastAsia"/>
          <w:color w:val="000000"/>
          <w:sz w:val="32"/>
          <w:szCs w:val="32"/>
        </w:rPr>
        <w:t>万元，其他来源收入（单位资金）</w:t>
      </w:r>
      <w:r>
        <w:rPr>
          <w:rFonts w:ascii="仿宋" w:eastAsia="仿宋" w:hAnsi="仿宋"/>
          <w:color w:val="000000"/>
          <w:sz w:val="32"/>
          <w:szCs w:val="32"/>
        </w:rPr>
        <w:t>0</w:t>
      </w:r>
      <w:r>
        <w:rPr>
          <w:rFonts w:ascii="仿宋" w:eastAsia="仿宋" w:hAnsi="仿宋" w:hint="eastAsia"/>
          <w:color w:val="000000"/>
          <w:sz w:val="32"/>
          <w:szCs w:val="32"/>
        </w:rPr>
        <w:t>万元，上年结转0万元。</w:t>
      </w:r>
    </w:p>
    <w:p>
      <w:pPr>
        <w:ind w:firstLine="640"/>
        <w:rPr>
          <w:rFonts w:ascii="仿宋" w:eastAsia="仿宋" w:hAnsi="仿宋"/>
          <w:color w:val="000000"/>
          <w:sz w:val="32"/>
          <w:szCs w:val="32"/>
        </w:rPr>
      </w:pPr>
      <w:r>
        <w:rPr>
          <w:rFonts w:ascii="仿宋" w:eastAsia="仿宋" w:hAnsi="仿宋"/>
          <w:color w:val="000000"/>
          <w:sz w:val="32"/>
          <w:szCs w:val="32"/>
        </w:rPr>
        <w:t>2</w:t>
      </w:r>
      <w:r>
        <w:rPr>
          <w:rFonts w:ascii="仿宋" w:eastAsia="仿宋" w:hAnsi="仿宋" w:hint="eastAsia"/>
          <w:color w:val="000000"/>
          <w:sz w:val="32"/>
          <w:szCs w:val="32"/>
        </w:rPr>
        <w:t>、支出说明</w:t>
      </w:r>
    </w:p>
    <w:p>
      <w:pPr>
        <w:ind w:firstLine="640"/>
        <w:rPr>
          <w:rFonts w:ascii="仿宋" w:eastAsia="仿宋" w:hAnsi="仿宋"/>
          <w:color w:val="000000"/>
          <w:sz w:val="32"/>
          <w:szCs w:val="32"/>
        </w:rPr>
      </w:pPr>
      <w:r>
        <w:rPr>
          <w:rFonts w:ascii="仿宋" w:eastAsia="仿宋" w:hAnsi="仿宋" w:hint="eastAsia"/>
          <w:color w:val="000000"/>
          <w:sz w:val="32"/>
          <w:szCs w:val="32"/>
        </w:rPr>
        <w:t>收支预算总表支出栏、基本支出表、项目支出表按经济分类和支出功能分类科目编制，反映隆尧县行政审批局年度部门预算中支出预算的总体情况。</w:t>
      </w:r>
      <w:r>
        <w:rPr>
          <w:rFonts w:ascii="仿宋" w:eastAsia="仿宋" w:hAnsi="仿宋"/>
          <w:color w:val="000000"/>
          <w:sz w:val="32"/>
          <w:szCs w:val="32"/>
        </w:rPr>
        <w:t>2021</w:t>
      </w:r>
      <w:r>
        <w:rPr>
          <w:rFonts w:ascii="仿宋" w:eastAsia="仿宋" w:hAnsi="仿宋" w:hint="eastAsia"/>
          <w:color w:val="000000"/>
          <w:sz w:val="32"/>
          <w:szCs w:val="32"/>
        </w:rPr>
        <w:t>年支出预算498.04万元，其中基本支出251.20万元，包括人员经费220.21万元和日常公用经费30.99万元；项目支出246.83万元主要为一般公共服务支出。</w:t>
      </w:r>
    </w:p>
    <w:p>
      <w:pPr>
        <w:ind w:firstLine="640"/>
        <w:rPr>
          <w:rFonts w:ascii="仿宋" w:eastAsia="仿宋" w:hAnsi="仿宋"/>
          <w:color w:val="000000"/>
          <w:sz w:val="32"/>
          <w:szCs w:val="32"/>
        </w:rPr>
      </w:pPr>
      <w:r>
        <w:rPr>
          <w:rFonts w:ascii="仿宋" w:eastAsia="仿宋" w:hAnsi="仿宋"/>
          <w:color w:val="000000"/>
          <w:sz w:val="32"/>
          <w:szCs w:val="32"/>
        </w:rPr>
        <w:t>3</w:t>
      </w:r>
      <w:r>
        <w:rPr>
          <w:rFonts w:ascii="仿宋" w:eastAsia="仿宋" w:hAnsi="仿宋" w:hint="eastAsia"/>
          <w:color w:val="000000"/>
          <w:sz w:val="32"/>
          <w:szCs w:val="32"/>
        </w:rPr>
        <w:t>、比上年增减情况</w:t>
      </w:r>
    </w:p>
    <w:p>
      <w:pPr>
        <w:ind w:firstLine="640"/>
        <w:rPr>
          <w:rFonts w:ascii="仿宋" w:eastAsia="仿宋" w:hAnsi="仿宋"/>
          <w:color w:val="000000"/>
          <w:sz w:val="32"/>
          <w:szCs w:val="32"/>
        </w:rPr>
      </w:pPr>
      <w:r>
        <w:rPr>
          <w:rFonts w:ascii="仿宋" w:eastAsia="仿宋" w:hAnsi="仿宋"/>
          <w:color w:val="000000"/>
          <w:sz w:val="32"/>
          <w:szCs w:val="32"/>
        </w:rPr>
        <w:t>2021</w:t>
      </w:r>
      <w:r>
        <w:rPr>
          <w:rFonts w:ascii="仿宋" w:eastAsia="仿宋" w:hAnsi="仿宋" w:hint="eastAsia"/>
          <w:color w:val="000000"/>
          <w:sz w:val="32"/>
          <w:szCs w:val="32"/>
        </w:rPr>
        <w:t>年预算收支安排498.04万元，较</w:t>
      </w:r>
      <w:r>
        <w:rPr>
          <w:rFonts w:ascii="仿宋" w:eastAsia="仿宋" w:hAnsi="仿宋"/>
          <w:color w:val="000000"/>
          <w:sz w:val="32"/>
          <w:szCs w:val="32"/>
        </w:rPr>
        <w:t>2020</w:t>
      </w:r>
      <w:r>
        <w:rPr>
          <w:rFonts w:ascii="仿宋" w:eastAsia="仿宋" w:hAnsi="仿宋" w:hint="eastAsia"/>
          <w:color w:val="000000"/>
          <w:sz w:val="32"/>
          <w:szCs w:val="32"/>
        </w:rPr>
        <w:t>年年初预算增加63.45万元，其中：基本支出减少24.74万元，主要为减少人员经费支出；项目支出增加88.18万元，主要是今年新增县乡一体化和24小时自助服务区项目。</w:t>
      </w:r>
    </w:p>
    <w:p>
      <w:pPr>
        <w:ind w:firstLine="640"/>
        <w:rPr>
          <w:rFonts w:ascii="黑体" w:eastAsia="黑体" w:hAnsi="黑体"/>
          <w:color w:val="000000"/>
          <w:sz w:val="32"/>
          <w:szCs w:val="32"/>
        </w:rPr>
      </w:pPr>
      <w:r>
        <w:rPr>
          <w:rFonts w:ascii="黑体" w:eastAsia="黑体" w:hAnsi="黑体" w:hint="eastAsia"/>
          <w:color w:val="000000"/>
          <w:sz w:val="32"/>
          <w:szCs w:val="32"/>
        </w:rPr>
        <w:t>三、机关运行经费安排情况</w:t>
      </w:r>
    </w:p>
    <w:p>
      <w:pPr>
        <w:ind w:firstLine="640"/>
        <w:rPr>
          <w:rFonts w:ascii="仿宋" w:eastAsia="仿宋" w:hAnsi="仿宋"/>
          <w:color w:val="000000"/>
          <w:sz w:val="32"/>
          <w:szCs w:val="32"/>
        </w:rPr>
      </w:pPr>
      <w:r>
        <w:rPr>
          <w:rFonts w:ascii="仿宋" w:eastAsia="仿宋" w:hAnsi="仿宋"/>
          <w:color w:val="000000"/>
          <w:sz w:val="32"/>
          <w:szCs w:val="32"/>
        </w:rPr>
        <w:t>2021</w:t>
      </w:r>
      <w:r>
        <w:rPr>
          <w:rFonts w:ascii="仿宋" w:eastAsia="仿宋" w:hAnsi="仿宋" w:hint="eastAsia"/>
          <w:color w:val="000000"/>
          <w:sz w:val="32"/>
          <w:szCs w:val="32"/>
        </w:rPr>
        <w:t>年，我部门机关运行经费共计安排30.99万元，主要用于保证机关正常运转的办公及福利费、工会经费、其他交通费等支出。</w:t>
      </w:r>
    </w:p>
    <w:p>
      <w:pPr>
        <w:ind w:firstLine="640"/>
        <w:rPr>
          <w:rFonts w:ascii="黑体" w:eastAsia="黑体" w:hAnsi="黑体"/>
          <w:color w:val="000000"/>
          <w:sz w:val="32"/>
          <w:szCs w:val="32"/>
        </w:rPr>
      </w:pPr>
      <w:r>
        <w:rPr>
          <w:rFonts w:ascii="黑体" w:eastAsia="黑体" w:hAnsi="黑体" w:hint="eastAsia"/>
          <w:color w:val="000000"/>
          <w:sz w:val="32"/>
          <w:szCs w:val="32"/>
        </w:rPr>
        <w:t>四、财政拨款“三公”经费预算情况及增减变化原因</w:t>
      </w:r>
    </w:p>
    <w:p>
      <w:pPr>
        <w:ind w:firstLine="640"/>
        <w:rPr>
          <w:rFonts w:ascii="仿宋" w:eastAsia="仿宋" w:hAnsi="仿宋"/>
          <w:color w:val="000000"/>
          <w:sz w:val="32"/>
          <w:szCs w:val="32"/>
        </w:rPr>
      </w:pPr>
      <w:r>
        <w:rPr>
          <w:rFonts w:ascii="仿宋" w:eastAsia="仿宋" w:hAnsi="仿宋"/>
          <w:color w:val="000000"/>
          <w:sz w:val="32"/>
          <w:szCs w:val="32"/>
        </w:rPr>
        <w:t>2021</w:t>
      </w:r>
      <w:r>
        <w:rPr>
          <w:rFonts w:ascii="仿宋" w:eastAsia="仿宋" w:hAnsi="仿宋" w:hint="eastAsia"/>
          <w:color w:val="000000"/>
          <w:sz w:val="32"/>
          <w:szCs w:val="32"/>
        </w:rPr>
        <w:t>年，我部门财政拨款</w:t>
      </w:r>
      <w:r>
        <w:rPr>
          <w:rFonts w:ascii="仿宋" w:eastAsia="仿宋" w:hAnsi="仿宋"/>
          <w:color w:val="000000"/>
          <w:sz w:val="32"/>
          <w:szCs w:val="32"/>
        </w:rPr>
        <w:t>“</w:t>
      </w:r>
      <w:r>
        <w:rPr>
          <w:rFonts w:ascii="仿宋" w:eastAsia="仿宋" w:hAnsi="仿宋" w:hint="eastAsia"/>
          <w:color w:val="000000"/>
          <w:sz w:val="32"/>
          <w:szCs w:val="32"/>
        </w:rPr>
        <w:t>三公</w:t>
      </w:r>
      <w:r>
        <w:rPr>
          <w:rFonts w:ascii="仿宋" w:eastAsia="仿宋" w:hAnsi="仿宋"/>
          <w:color w:val="000000"/>
          <w:sz w:val="32"/>
          <w:szCs w:val="32"/>
        </w:rPr>
        <w:t>”</w:t>
      </w:r>
      <w:r>
        <w:rPr>
          <w:rFonts w:ascii="仿宋" w:eastAsia="仿宋" w:hAnsi="仿宋" w:hint="eastAsia"/>
          <w:color w:val="000000"/>
          <w:sz w:val="32"/>
          <w:szCs w:val="32"/>
        </w:rPr>
        <w:t>经费预算安排0万元，其中因公出国（境）费0万元；公务用车购置及运维费0万元（其中：公务用车购置费为</w:t>
      </w:r>
      <w:r>
        <w:rPr>
          <w:rFonts w:ascii="仿宋" w:eastAsia="仿宋" w:hAnsi="仿宋"/>
          <w:color w:val="000000"/>
          <w:sz w:val="32"/>
          <w:szCs w:val="32"/>
        </w:rPr>
        <w:t>0</w:t>
      </w:r>
      <w:r>
        <w:rPr>
          <w:rFonts w:ascii="仿宋" w:eastAsia="仿宋" w:hAnsi="仿宋" w:hint="eastAsia"/>
          <w:color w:val="000000"/>
          <w:sz w:val="32"/>
          <w:szCs w:val="32"/>
        </w:rPr>
        <w:t>万元，公务用车运维费0万元</w:t>
      </w:r>
      <w:r>
        <w:rPr>
          <w:rFonts w:ascii="仿宋" w:eastAsia="仿宋" w:hAnsi="仿宋"/>
          <w:color w:val="000000"/>
          <w:sz w:val="32"/>
          <w:szCs w:val="32"/>
        </w:rPr>
        <w:t>)</w:t>
      </w:r>
      <w:r>
        <w:rPr>
          <w:rFonts w:ascii="仿宋" w:eastAsia="仿宋" w:hAnsi="仿宋" w:hint="eastAsia"/>
          <w:color w:val="000000"/>
          <w:sz w:val="32"/>
          <w:szCs w:val="32"/>
        </w:rPr>
        <w:t>；公务接待费0万元。与</w:t>
      </w:r>
      <w:r>
        <w:rPr>
          <w:rFonts w:ascii="仿宋" w:eastAsia="仿宋" w:hAnsi="仿宋"/>
          <w:color w:val="000000"/>
          <w:sz w:val="32"/>
          <w:szCs w:val="32"/>
        </w:rPr>
        <w:t>2020</w:t>
      </w:r>
      <w:r>
        <w:rPr>
          <w:rFonts w:ascii="仿宋" w:eastAsia="仿宋" w:hAnsi="仿宋" w:hint="eastAsia"/>
          <w:color w:val="000000"/>
          <w:sz w:val="32"/>
          <w:szCs w:val="32"/>
        </w:rPr>
        <w:t>年持平，无增减变化。</w:t>
      </w:r>
    </w:p>
    <w:p>
      <w:pPr>
        <w:ind w:firstLine="640"/>
        <w:rPr>
          <w:rFonts w:ascii="黑体" w:eastAsia="黑体" w:hAnsi="黑体"/>
          <w:color w:val="000000"/>
          <w:sz w:val="32"/>
          <w:szCs w:val="32"/>
        </w:rPr>
      </w:pPr>
      <w:r>
        <w:rPr>
          <w:rFonts w:ascii="黑体" w:eastAsia="黑体" w:hAnsi="黑体" w:hint="eastAsia"/>
          <w:color w:val="000000"/>
          <w:sz w:val="32"/>
          <w:szCs w:val="32"/>
        </w:rPr>
        <w:t>五、预算绩效信息</w:t>
      </w:r>
    </w:p>
    <w:p>
      <w:pPr>
        <w:ind w:firstLineChars="200" w:firstLine="640"/>
        <w:jc w:val="left"/>
        <w:rPr>
          <w:rFonts w:ascii="Times New Roman" w:eastAsia="方正仿宋_GBK" w:hAnsi="Times New Roman"/>
          <w:b/>
          <w:sz w:val="32"/>
          <w:szCs w:val="32"/>
        </w:rPr>
      </w:pPr>
      <w:bookmarkStart w:id="0" w:name="_Toc471398463"/>
      <w:r>
        <w:rPr>
          <w:rFonts w:ascii="Times New Roman" w:eastAsia="方正仿宋_GBK" w:hAnsi="Times New Roman" w:hint="eastAsia"/>
          <w:b/>
          <w:sz w:val="32"/>
          <w:szCs w:val="32"/>
        </w:rPr>
        <w:t>第一部分部门整体绩效目标</w:t>
      </w:r>
    </w:p>
    <w:p>
      <w:pPr>
        <w:ind w:firstLineChars="200" w:firstLine="640"/>
        <w:rPr>
          <w:rFonts w:ascii="仿宋" w:eastAsia="仿宋" w:hAnsi="仿宋"/>
          <w:b/>
          <w:color w:val="000000"/>
          <w:sz w:val="32"/>
          <w:szCs w:val="32"/>
        </w:rPr>
      </w:pPr>
      <w:r>
        <w:rPr>
          <w:rFonts w:ascii="仿宋" w:eastAsia="仿宋" w:hAnsi="仿宋" w:hint="eastAsia"/>
          <w:b/>
          <w:color w:val="000000"/>
          <w:sz w:val="32"/>
          <w:szCs w:val="32"/>
        </w:rPr>
        <w:t>（一）总体绩效目标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Chars="400" w:firstLine="1280"/>
        <w:rPr>
          <w:rFonts w:ascii="Times New Roman" w:eastAsia="Times New Roman" w:hAnsi="Times New Roman"/>
          <w:color w:val="000000"/>
          <w:sz w:val="32"/>
        </w:rPr>
      </w:pPr>
      <w:bookmarkStart w:id="1" w:name="_Toc64110028"/>
      <w:bookmarkStart w:id="2" w:name="_Toc64110071"/>
      <w:bookmarkStart w:id="3" w:name="_Toc60391233"/>
      <w:r>
        <w:rPr>
          <w:rFonts w:ascii="仿宋" w:eastAsia="仿宋" w:hAnsi="仿宋"/>
          <w:color w:val="000000"/>
          <w:sz w:val="32"/>
        </w:rPr>
        <w:t>2021年，隆尧县行政审批局将重点开展和推进以下四项工作：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eastAsia="Times New Roman" w:hAnsi="Times New Roman"/>
          <w:color w:val="000000"/>
          <w:sz w:val="32"/>
        </w:rPr>
      </w:pPr>
      <w:r>
        <w:rPr>
          <w:rFonts w:ascii="仿宋" w:eastAsia="仿宋" w:hAnsi="仿宋"/>
          <w:color w:val="000000"/>
          <w:sz w:val="32"/>
        </w:rPr>
        <w:t>一、持续推进“放管服”改革</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eastAsia="Times New Roman" w:hAnsi="Times New Roman"/>
          <w:color w:val="000000"/>
          <w:sz w:val="32"/>
        </w:rPr>
      </w:pPr>
      <w:r>
        <w:rPr>
          <w:rFonts w:ascii="仿宋" w:eastAsia="仿宋" w:hAnsi="仿宋"/>
          <w:color w:val="000000"/>
          <w:sz w:val="32"/>
        </w:rPr>
        <w:t>二、线上线下事项办理有机融合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eastAsia="Times New Roman" w:hAnsi="Times New Roman"/>
          <w:color w:val="000000"/>
          <w:sz w:val="32"/>
        </w:rPr>
      </w:pPr>
      <w:r>
        <w:rPr>
          <w:rFonts w:ascii="仿宋" w:eastAsia="仿宋" w:hAnsi="仿宋"/>
          <w:color w:val="000000"/>
          <w:sz w:val="32"/>
        </w:rPr>
        <w:t>三、推动乡镇信用体系建设</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仿宋" w:eastAsia="仿宋" w:hAnsi="仿宋"/>
          <w:color w:val="000000"/>
          <w:sz w:val="32"/>
        </w:rPr>
      </w:pPr>
      <w:r>
        <w:rPr>
          <w:rFonts w:ascii="仿宋" w:eastAsia="仿宋" w:hAnsi="仿宋"/>
          <w:color w:val="000000"/>
          <w:sz w:val="32"/>
        </w:rPr>
        <w:t>四、指导各乡镇行政综合服务中心提标提效</w:t>
      </w:r>
    </w:p>
    <w:p>
      <w:pPr>
        <w:pStyle w:val="2"/>
        <w:ind w:firstLineChars="200" w:firstLine="640"/>
        <w:rPr>
          <w:rFonts w:ascii="仿宋" w:eastAsia="仿宋" w:hAnsi="仿宋"/>
          <w:color w:val="000000"/>
          <w:szCs w:val="32"/>
        </w:rPr>
      </w:pPr>
      <w:r>
        <w:rPr>
          <w:rFonts w:ascii="仿宋" w:eastAsia="仿宋" w:hAnsi="仿宋" w:hint="eastAsia"/>
          <w:color w:val="000000"/>
          <w:szCs w:val="32"/>
        </w:rPr>
        <w:t>（二）分项绩效目标</w:t>
      </w:r>
      <w:bookmarkEnd w:id="1"/>
      <w:bookmarkEnd w:id="2"/>
      <w:bookmarkEnd w:id="3"/>
      <w:r>
        <w:rPr>
          <w:rFonts w:ascii="仿宋" w:eastAsia="仿宋" w:hAnsi="仿宋"/>
          <w:vanish/>
          <w:color w:val="000000"/>
          <w:szCs w:val="32"/>
        </w:rPr>
        <w:t>{tc "</w:t>
      </w:r>
      <w:r>
        <w:rPr>
          <w:rFonts w:ascii="仿宋" w:eastAsia="仿宋" w:hAnsi="仿宋" w:hint="eastAsia"/>
          <w:vanish/>
          <w:color w:val="000000"/>
          <w:szCs w:val="32"/>
        </w:rPr>
        <w:t>分项绩效目标</w:t>
      </w:r>
      <w:r>
        <w:rPr>
          <w:rFonts w:ascii="仿宋" w:eastAsia="仿宋" w:hAnsi="仿宋"/>
          <w:vanish/>
          <w:color w:val="000000"/>
          <w:szCs w:val="32"/>
        </w:rPr>
        <w:t>" \f A \l 000000000000001}</w:t>
      </w:r>
    </w:p>
    <w:p>
      <w:pPr>
        <w:spacing w:line="600" w:lineRule="exact"/>
        <w:ind w:firstLine="640"/>
        <w:rPr>
          <w:rFonts w:ascii="仿宋" w:eastAsia="仿宋" w:hAnsi="仿宋"/>
          <w:color w:val="000000"/>
          <w:sz w:val="32"/>
        </w:rPr>
      </w:pPr>
      <w:r>
        <w:rPr>
          <w:rFonts w:ascii="仿宋" w:eastAsia="仿宋" w:hAnsi="仿宋"/>
          <w:color w:val="000000"/>
          <w:sz w:val="32"/>
        </w:rPr>
        <w:t>1.</w:t>
      </w:r>
      <w:r>
        <w:rPr>
          <w:rFonts w:ascii="仿宋" w:eastAsia="仿宋" w:hAnsi="仿宋" w:hint="eastAsia"/>
          <w:color w:val="000000"/>
          <w:sz w:val="32"/>
        </w:rPr>
        <w:t xml:space="preserve"> 加快推进“全不见面”改革，进一步巩固“两不见面”改革成果，发挥“三个专区”作用，力推工程项目审批实行一站式办理，进一步优化企业开办流程保市场增量。</w:t>
      </w:r>
    </w:p>
    <w:p>
      <w:pPr>
        <w:spacing w:line="600" w:lineRule="exact"/>
        <w:ind w:firstLine="640"/>
        <w:rPr>
          <w:rFonts w:ascii="仿宋" w:eastAsia="仿宋" w:hAnsi="仿宋"/>
          <w:color w:val="000000"/>
          <w:sz w:val="32"/>
        </w:rPr>
      </w:pPr>
      <w:r>
        <w:rPr>
          <w:rFonts w:ascii="仿宋" w:eastAsia="仿宋" w:hAnsi="仿宋"/>
          <w:color w:val="000000"/>
          <w:sz w:val="32"/>
        </w:rPr>
        <w:t>2.</w:t>
      </w:r>
      <w:r>
        <w:rPr>
          <w:rFonts w:ascii="仿宋" w:eastAsia="仿宋" w:hAnsi="仿宋" w:hint="eastAsia"/>
          <w:color w:val="000000"/>
          <w:sz w:val="32"/>
        </w:rPr>
        <w:t xml:space="preserve"> 加快梳理企业群众常办的高频事项，深化流程再造，力争12月底前100项以上政务服务事项实现全流程网上办理。推动线上虚拟大厅与线下实体大厅的有机融合、审批手续无缝衔接，加快信息跨区域、跨部门、跨层级共享，依托“24小时不打烊”自助服务大厅，实现政务服务全天候不间断。</w:t>
      </w:r>
    </w:p>
    <w:p>
      <w:pPr>
        <w:spacing w:line="600" w:lineRule="exact"/>
        <w:ind w:firstLine="640"/>
        <w:rPr>
          <w:rFonts w:ascii="仿宋" w:eastAsia="仿宋" w:hAnsi="仿宋"/>
          <w:color w:val="000000"/>
          <w:sz w:val="32"/>
        </w:rPr>
      </w:pPr>
      <w:r>
        <w:rPr>
          <w:rFonts w:ascii="仿宋" w:eastAsia="仿宋" w:hAnsi="仿宋"/>
          <w:color w:val="000000"/>
          <w:sz w:val="32"/>
        </w:rPr>
        <w:t>3.</w:t>
      </w:r>
      <w:r>
        <w:rPr>
          <w:rFonts w:ascii="仿宋" w:eastAsia="仿宋" w:hAnsi="仿宋" w:hint="eastAsia"/>
          <w:color w:val="000000"/>
          <w:sz w:val="32"/>
        </w:rPr>
        <w:t xml:space="preserve"> 把信用建设工作要求延伸到12个乡镇。对各乡镇加强分类指导，充分调动积极性，探索信用建设“一地一特色”，聚焦我县食品和机械制造产业，打造充满魅力的“信用+”食品和机械制造小镇。</w:t>
      </w:r>
    </w:p>
    <w:p>
      <w:pPr>
        <w:spacing w:line="600" w:lineRule="exact"/>
        <w:ind w:firstLineChars="200" w:firstLine="640"/>
        <w:rPr>
          <w:rFonts w:ascii="仿宋" w:eastAsia="仿宋" w:hAnsi="仿宋"/>
          <w:color w:val="000000"/>
          <w:sz w:val="32"/>
        </w:rPr>
      </w:pPr>
      <w:r>
        <w:rPr>
          <w:rFonts w:ascii="仿宋" w:eastAsia="仿宋" w:hAnsi="仿宋"/>
          <w:color w:val="000000"/>
          <w:sz w:val="32"/>
        </w:rPr>
        <w:t>4.</w:t>
      </w:r>
      <w:bookmarkStart w:id="4" w:name="_Toc64110072"/>
      <w:bookmarkStart w:id="5" w:name="_Toc60391234"/>
      <w:bookmarkStart w:id="6" w:name="_Toc64110029"/>
      <w:r>
        <w:rPr>
          <w:rFonts w:ascii="仿宋" w:eastAsia="仿宋" w:hAnsi="仿宋" w:hint="eastAsia"/>
          <w:color w:val="000000"/>
          <w:sz w:val="32"/>
        </w:rPr>
        <w:t xml:space="preserve"> 一是建立常态化的跟班学习机制，乡镇服务中心的人员随时可以到政务大厅学习，随时随地做好业务沟通；二是我局审批人员定期到乡镇服务中心去现场指导业务办理，确保基层审批服务体系建设工作落到实处，取得实效。</w:t>
      </w:r>
    </w:p>
    <w:p>
      <w:pPr>
        <w:pStyle w:val="2"/>
        <w:ind w:firstLineChars="200" w:firstLine="640"/>
        <w:rPr>
          <w:rFonts w:ascii="仿宋" w:eastAsia="仿宋" w:hAnsi="仿宋"/>
          <w:color w:val="000000"/>
          <w:szCs w:val="32"/>
        </w:rPr>
      </w:pPr>
      <w:r>
        <w:rPr>
          <w:rFonts w:ascii="仿宋" w:eastAsia="仿宋" w:hAnsi="仿宋" w:hint="eastAsia"/>
          <w:color w:val="000000"/>
          <w:szCs w:val="32"/>
        </w:rPr>
        <w:t>（三）工作保障措施</w:t>
      </w:r>
      <w:bookmarkEnd w:id="4"/>
      <w:bookmarkEnd w:id="5"/>
      <w:bookmarkEnd w:id="6"/>
      <w:r>
        <w:rPr>
          <w:rFonts w:ascii="仿宋" w:eastAsia="仿宋" w:hAnsi="仿宋"/>
          <w:vanish/>
          <w:color w:val="000000"/>
          <w:szCs w:val="32"/>
        </w:rPr>
        <w:t>{tc "</w:t>
      </w:r>
      <w:r>
        <w:rPr>
          <w:rFonts w:ascii="仿宋" w:eastAsia="仿宋" w:hAnsi="仿宋" w:hint="eastAsia"/>
          <w:vanish/>
          <w:color w:val="000000"/>
          <w:szCs w:val="32"/>
        </w:rPr>
        <w:t>工作保障措施</w:t>
      </w:r>
      <w:r>
        <w:rPr>
          <w:rFonts w:ascii="仿宋" w:eastAsia="仿宋" w:hAnsi="仿宋"/>
          <w:vanish/>
          <w:color w:val="000000"/>
          <w:szCs w:val="32"/>
        </w:rPr>
        <w:t>" \f A \l 000000000000001}</w:t>
      </w:r>
    </w:p>
    <w:p>
      <w:pPr>
        <w:spacing w:line="600" w:lineRule="exact"/>
        <w:ind w:firstLine="640"/>
        <w:rPr>
          <w:rFonts w:ascii="仿宋" w:eastAsia="仿宋" w:hAnsi="仿宋"/>
          <w:color w:val="000000"/>
          <w:sz w:val="32"/>
        </w:rPr>
      </w:pPr>
      <w:r>
        <w:rPr>
          <w:rFonts w:ascii="仿宋" w:eastAsia="仿宋" w:hAnsi="仿宋"/>
          <w:color w:val="000000"/>
          <w:sz w:val="32"/>
        </w:rPr>
        <w:t>为保障各项各项重点工作深入开展，将采取以下主要措施：</w:t>
      </w:r>
    </w:p>
    <w:p>
      <w:pPr>
        <w:spacing w:line="600" w:lineRule="exact"/>
        <w:ind w:firstLine="640"/>
        <w:rPr>
          <w:rFonts w:ascii="仿宋" w:eastAsia="仿宋" w:hAnsi="仿宋"/>
          <w:color w:val="000000"/>
          <w:sz w:val="32"/>
        </w:rPr>
      </w:pPr>
      <w:r>
        <w:rPr>
          <w:rFonts w:ascii="黑体" w:eastAsia="黑体" w:hAnsi="黑体"/>
          <w:color w:val="000000"/>
          <w:sz w:val="32"/>
        </w:rPr>
        <w:t>1、牢固树立“四个意识”，自觉做到“两个维护”，政治过硬。</w:t>
      </w:r>
      <w:r>
        <w:rPr>
          <w:rFonts w:ascii="仿宋" w:eastAsia="仿宋" w:hAnsi="仿宋"/>
          <w:color w:val="000000"/>
          <w:sz w:val="32"/>
        </w:rPr>
        <w:t>深入学习习近平新时代中国特色社会主义思想和党的</w:t>
      </w:r>
      <w:bookmarkStart w:id="7" w:name="_GoBack"/>
      <w:bookmarkEnd w:id="7"/>
      <w:r>
        <w:rPr>
          <w:rFonts w:ascii="仿宋" w:eastAsia="仿宋" w:hAnsi="仿宋"/>
          <w:color w:val="000000"/>
          <w:sz w:val="32"/>
        </w:rPr>
        <w:t>十九大精神，认真落实省委巡视和县委巡察反馈整改措施，全面加强党的建设，落实党组主体责任和“一岗双责”，持续反“四风”，班子成员和科室负责人履行对分管和负责领域内的党风廉政工作，加强警示教育，提高思想站位，充分认识到反腐败斗争的严峻性，绷紧纪律这根弦，筑牢思想防线。</w:t>
      </w:r>
    </w:p>
    <w:p>
      <w:pPr>
        <w:tabs>
          <w:tab w:val="left" w:pos="893"/>
        </w:tabs>
        <w:spacing w:line="600" w:lineRule="exact"/>
        <w:ind w:firstLine="640"/>
        <w:rPr>
          <w:rFonts w:ascii="宋体" w:hAnsi="宋体"/>
          <w:color w:val="000000"/>
          <w:sz w:val="32"/>
        </w:rPr>
      </w:pPr>
      <w:r>
        <w:rPr>
          <w:rFonts w:ascii="黑体" w:eastAsia="黑体" w:hAnsi="黑体"/>
          <w:color w:val="000000"/>
          <w:sz w:val="32"/>
        </w:rPr>
        <w:t>2、打造“解放思想、勤政廉洁，素质过硬”的审批队伍。</w:t>
      </w:r>
      <w:r>
        <w:rPr>
          <w:rFonts w:ascii="仿宋" w:eastAsia="仿宋" w:hAnsi="仿宋"/>
          <w:color w:val="000000"/>
          <w:sz w:val="32"/>
        </w:rPr>
        <w:t>建立新进人员培训及经常性培训教育制度，不断创新学习方式，加强业务培训，政治素养和业务水平双向提升，实现无差别化受理。树立“企业至上、企业家是上帝”“环境就是生产力，抓环境就是抓发展”，一切为了人民的观念，刻苦钻研业务，苦练为人民服务本领，立足本职，践行十九大，开拓创新，勇于担当，把“不能办”变成“这样办”，化投资者“烦心”为“安心”，打造全市服务最优、效率最高、廉洁最好的政务服务平台，不断提升群众的获得感和满意度，为建设幸福隆尧做出应有的贡献</w:t>
      </w:r>
      <w:r>
        <w:rPr>
          <w:rFonts w:ascii="宋体" w:hAnsi="宋体"/>
          <w:color w:val="000000"/>
          <w:sz w:val="32"/>
        </w:rPr>
        <w:t>。</w:t>
      </w:r>
    </w:p>
    <w:p>
      <w:pPr>
        <w:rPr>
          <w:rFonts w:ascii="Times New Roman" w:hAnsi="宋体"/>
          <w:color w:val="000000"/>
          <w:sz w:val="52"/>
        </w:rPr>
        <w:sectPr>
          <w:headerReference w:type="default" r:id="rId2"/>
          <w:footerReference w:type="default" r:id="rId3"/>
          <w:pgSz w:w="16839" w:h="11907" w:orient="landscape"/>
          <w:pgMar w:top="1304" w:right="1985" w:bottom="1304" w:left="1134" w:header="851" w:footer="992" w:gutter="0"/>
          <w:pgNumType w:start="1"/>
          <w:cols w:num="1" w:space="720"/>
          <w:docGrid w:type="linesAndChars" w:linePitch="312" w:charSpace="0"/>
        </w:sectPr>
      </w:pPr>
    </w:p>
    <w:p>
      <w:pPr>
        <w:ind w:firstLineChars="200" w:firstLine="640"/>
        <w:jc w:val="left"/>
        <w:outlineLvl w:val="3"/>
        <w:rPr>
          <w:rFonts w:ascii="Times New Roman" w:eastAsia="方正仿宋_GBK" w:hAnsi="Times New Roman"/>
          <w:b/>
          <w:sz w:val="32"/>
          <w:szCs w:val="32"/>
        </w:rPr>
      </w:pPr>
      <w:r>
        <w:rPr>
          <w:rFonts w:ascii="Times New Roman" w:eastAsia="方正仿宋_GBK" w:hAnsi="Times New Roman" w:hint="eastAsia"/>
          <w:b/>
          <w:sz w:val="32"/>
          <w:szCs w:val="32"/>
        </w:rPr>
        <w:t>第二部分：预算项目绩效目标：</w:t>
      </w:r>
      <w:bookmarkStart w:id="8" w:name="_Toc66053715"/>
    </w:p>
    <w:p>
      <w:pPr>
        <w:spacing w:line="300" w:lineRule="exact"/>
        <w:rPr>
          <w:color w:val="000000"/>
        </w:rPr>
      </w:pPr>
      <w:bookmarkEnd w:id="8"/>
    </w:p>
    <w:p>
      <w:pPr>
        <w:ind w:firstLineChars="200" w:firstLine="560"/>
        <w:jc w:val="left"/>
        <w:outlineLvl w:val="3"/>
        <w:rPr>
          <w:rFonts w:ascii="宋体" w:eastAsia="宋体" w:hAnsi="宋体"/>
          <w:b/>
          <w:color w:val="000000"/>
          <w:sz w:val="28"/>
        </w:rPr>
      </w:pPr>
      <w:bookmarkStart w:id="9" w:name="_Toc66089972"/>
      <w:r>
        <w:rPr>
          <w:rFonts w:ascii="宋体" w:eastAsia="宋体" w:hAnsi="宋体" w:hint="eastAsia"/>
          <w:b/>
          <w:color w:val="000000"/>
          <w:sz w:val="28"/>
        </w:rPr>
        <w:t>1.高清云视频平台服务费绩效目标表</w:t>
      </w:r>
      <w:bookmarkEnd w:id="9"/>
      <w:r>
        <w:rPr>
          <w:rFonts w:ascii="宋体" w:eastAsia="宋体" w:hAnsi="宋体"/>
          <w:b/>
          <w:vanish/>
          <w:color w:val="000000"/>
          <w:sz w:val="28"/>
        </w:rPr>
        <w:t xml:space="preserve">{ </w:t>
      </w:r>
      <w:r>
        <w:rPr>
          <w:rFonts w:ascii="宋体" w:eastAsia="宋体" w:hAnsi="宋体" w:hint="eastAsia"/>
          <w:b/>
          <w:vanish/>
          <w:color w:val="000000"/>
          <w:sz w:val="28"/>
        </w:rPr>
        <w:t>TC 1、高清云视频平台服务费绩效目标表 \f C \l 1</w:t>
      </w:r>
      <w:r>
        <w:rPr>
          <w:rFonts w:ascii="宋体" w:eastAsia="宋体" w:hAnsi="宋体"/>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13052521B2W6P4B4YAUHP</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高清云视频平台服务费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8400.00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8400.00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高清云视频平台服务费的支付</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p>
        </w:tc>
        <w:tc>
          <w:tcPr>
            <w:tcW w:w="1587" w:type="dxa"/>
            <w:tcBorders>
              <w:bottom w:val="single" w:sz="6" w:space="0" w:color="000000"/>
            </w:tcBorders>
            <w:vAlign w:val="center"/>
          </w:tcPr>
          <w:p>
            <w:pPr>
              <w:spacing w:line="300" w:lineRule="exact"/>
              <w:jc w:val="center"/>
              <w:rPr>
                <w:rFonts w:ascii="方正书宋_GBK" w:eastAsia="方正书宋_GBK"/>
                <w:color w:val="000000"/>
              </w:rPr>
            </w:pPr>
          </w:p>
        </w:tc>
        <w:tc>
          <w:tcPr>
            <w:tcW w:w="1304" w:type="dxa"/>
            <w:tcBorders>
              <w:bottom w:val="single" w:sz="6" w:space="0" w:color="000000"/>
            </w:tcBorders>
            <w:vAlign w:val="center"/>
          </w:tcPr>
          <w:p>
            <w:pPr>
              <w:spacing w:line="300" w:lineRule="exact"/>
              <w:jc w:val="center"/>
              <w:rPr>
                <w:rFonts w:ascii="方正书宋_GBK" w:eastAsia="方正书宋_GBK"/>
                <w:color w:val="000000"/>
              </w:rPr>
            </w:pP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依托河北云视频平台建成云视频会议室</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保证云视频会议室正常使用、顺畅运行</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保证工作运行</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完成质量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完成质量的比率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完成质量的比率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完成时间</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按要求完成和计划完成的比率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按要求完成和计划完成的比率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可持续影响指标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云视频系统故障次数</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云视频系统故障次数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云视频系统每出现</w:t>
            </w:r>
            <w:r>
              <w:rPr>
                <w:rFonts w:ascii="方正书宋_GBK" w:eastAsia="方正书宋_GBK"/>
                <w:color w:val="000000"/>
              </w:rPr>
              <w:t>1</w:t>
            </w:r>
            <w:r>
              <w:rPr>
                <w:rFonts w:ascii="方正书宋_GBK" w:eastAsia="方正书宋_GBK" w:hint="eastAsia"/>
                <w:color w:val="000000"/>
              </w:rPr>
              <w:t>次故障降低</w:t>
            </w:r>
            <w:r>
              <w:rPr>
                <w:rFonts w:ascii="方正书宋_GBK" w:eastAsia="方正书宋_GBK"/>
                <w:color w:val="000000"/>
              </w:rPr>
              <w:t>5</w:t>
            </w:r>
            <w:r>
              <w:rPr>
                <w:rFonts w:ascii="方正书宋_GBK" w:eastAsia="方正书宋_GBK" w:hint="eastAsia"/>
                <w:color w:val="000000"/>
              </w:rPr>
              <w:t>个百分点</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满意度</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对云视频的满意度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满意数量占总数量的比率</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0" w:name="_Toc66089973"/>
      <w:r>
        <w:rPr>
          <w:rFonts w:ascii="方正仿宋_GBK" w:eastAsia="方正仿宋_GBK" w:hint="eastAsia"/>
          <w:b/>
          <w:color w:val="000000"/>
          <w:sz w:val="28"/>
        </w:rPr>
        <w:t>2.行政服务中心办公楼水电暖、物业费绩效目标表</w:t>
      </w:r>
      <w:bookmarkEnd w:id="10"/>
      <w:r>
        <w:rPr>
          <w:rFonts w:ascii="方正仿宋_GBK" w:eastAsia="方正仿宋_GBK"/>
          <w:b/>
          <w:vanish/>
          <w:color w:val="000000"/>
          <w:sz w:val="28"/>
        </w:rPr>
        <w:t xml:space="preserve">{ </w:t>
      </w:r>
      <w:r>
        <w:rPr>
          <w:rFonts w:ascii="方正仿宋_GBK" w:eastAsia="方正仿宋_GBK" w:hint="eastAsia"/>
          <w:b/>
          <w:vanish/>
          <w:color w:val="000000"/>
          <w:sz w:val="28"/>
        </w:rPr>
        <w:t>TC 2、行政服务中心办公楼水电暖、物业费绩效目标表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13052521C367GWBCUVQQN</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行政服务中心办公楼水电暖、物业费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200000.00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200000.00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保证政务大厅及各科室正常办公</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p>
        </w:tc>
        <w:tc>
          <w:tcPr>
            <w:tcW w:w="1587" w:type="dxa"/>
            <w:tcBorders>
              <w:bottom w:val="single" w:sz="6" w:space="0" w:color="000000"/>
            </w:tcBorders>
            <w:vAlign w:val="center"/>
          </w:tcPr>
          <w:p>
            <w:pPr>
              <w:spacing w:line="300" w:lineRule="exact"/>
              <w:jc w:val="center"/>
              <w:rPr>
                <w:rFonts w:ascii="方正书宋_GBK" w:eastAsia="方正书宋_GBK"/>
                <w:color w:val="000000"/>
              </w:rPr>
            </w:pP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确保政务大厅正常供水、电、暖及物业设施正常使用</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保障审批活动有序进行</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保障各科室正常办公</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各项资金按照预算进度拨付进行</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各项资金按时拨付</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正常供电率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保证大厅正常供水、电、暖</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出现断水、电、暖影响正常工作问题</w:t>
            </w:r>
            <w:r>
              <w:rPr>
                <w:rFonts w:ascii="方正书宋_GBK" w:eastAsia="方正书宋_GBK"/>
                <w:color w:val="000000"/>
              </w:rPr>
              <w:t>1</w:t>
            </w:r>
            <w:r>
              <w:rPr>
                <w:rFonts w:ascii="方正书宋_GBK" w:eastAsia="方正书宋_GBK" w:hint="eastAsia"/>
                <w:color w:val="000000"/>
              </w:rPr>
              <w:t>次，绩效指标下降</w:t>
            </w:r>
            <w:r>
              <w:rPr>
                <w:rFonts w:ascii="方正书宋_GBK" w:eastAsia="方正书宋_GBK"/>
                <w:color w:val="000000"/>
              </w:rPr>
              <w:t>5</w:t>
            </w:r>
            <w:r>
              <w:rPr>
                <w:rFonts w:ascii="方正书宋_GBK" w:eastAsia="方正书宋_GBK" w:hint="eastAsia"/>
                <w:color w:val="000000"/>
              </w:rPr>
              <w:t>个百分点</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按期完成率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按要求和计划完成比率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计划标准</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可持续影响指标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办公设备正常运转率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办公设备正常运转，不出现因断电影响使用问题</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出现断水、电、暖影响正常工作问题</w:t>
            </w:r>
            <w:r>
              <w:rPr>
                <w:rFonts w:ascii="方正书宋_GBK" w:eastAsia="方正书宋_GBK"/>
                <w:color w:val="000000"/>
              </w:rPr>
              <w:t>1</w:t>
            </w:r>
            <w:r>
              <w:rPr>
                <w:rFonts w:ascii="方正书宋_GBK" w:eastAsia="方正书宋_GBK" w:hint="eastAsia"/>
                <w:color w:val="000000"/>
              </w:rPr>
              <w:t>次，绩效指标下降</w:t>
            </w:r>
            <w:r>
              <w:rPr>
                <w:rFonts w:ascii="方正书宋_GBK" w:eastAsia="方正书宋_GBK"/>
                <w:color w:val="000000"/>
              </w:rPr>
              <w:t>5</w:t>
            </w:r>
            <w:r>
              <w:rPr>
                <w:rFonts w:ascii="方正书宋_GBK" w:eastAsia="方正书宋_GBK" w:hint="eastAsia"/>
                <w:color w:val="000000"/>
              </w:rPr>
              <w:t>个百分点</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电费缴纳及时率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根据用电需求、及时缴纳电费</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电费到期后，延迟缴纳</w:t>
            </w:r>
            <w:r>
              <w:rPr>
                <w:rFonts w:ascii="方正书宋_GBK" w:eastAsia="方正书宋_GBK"/>
                <w:color w:val="000000"/>
              </w:rPr>
              <w:t>1</w:t>
            </w:r>
            <w:r>
              <w:rPr>
                <w:rFonts w:ascii="方正书宋_GBK" w:eastAsia="方正书宋_GBK" w:hint="eastAsia"/>
                <w:color w:val="000000"/>
              </w:rPr>
              <w:t>次，绩效指标下降</w:t>
            </w:r>
            <w:r>
              <w:rPr>
                <w:rFonts w:ascii="方正书宋_GBK" w:eastAsia="方正书宋_GBK"/>
                <w:color w:val="000000"/>
              </w:rPr>
              <w:t>5</w:t>
            </w:r>
            <w:r>
              <w:rPr>
                <w:rFonts w:ascii="方正书宋_GBK" w:eastAsia="方正书宋_GBK" w:hint="eastAsia"/>
                <w:color w:val="000000"/>
              </w:rPr>
              <w:t>个百分点</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1" w:name="_Toc66089974"/>
      <w:r>
        <w:rPr>
          <w:rFonts w:ascii="方正仿宋_GBK" w:eastAsia="方正仿宋_GBK" w:hint="eastAsia"/>
          <w:b/>
          <w:color w:val="000000"/>
          <w:sz w:val="28"/>
        </w:rPr>
        <w:t>3.证照印刷经费绩效目标表</w:t>
      </w:r>
      <w:bookmarkEnd w:id="11"/>
      <w:r>
        <w:rPr>
          <w:rFonts w:ascii="方正仿宋_GBK" w:eastAsia="方正仿宋_GBK"/>
          <w:b/>
          <w:vanish/>
          <w:color w:val="000000"/>
          <w:sz w:val="28"/>
        </w:rPr>
        <w:t xml:space="preserve">{ </w:t>
      </w:r>
      <w:r>
        <w:rPr>
          <w:rFonts w:ascii="方正仿宋_GBK" w:eastAsia="方正仿宋_GBK" w:hint="eastAsia"/>
          <w:b/>
          <w:vanish/>
          <w:color w:val="000000"/>
          <w:sz w:val="28"/>
        </w:rPr>
        <w:t>TC 3、证照印刷经费绩效目标表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13052521CP4ROKGUT44XZ</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证照印刷经费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50000.00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50000.00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依据证照印刷量及时支付印刷费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25.00%</w:t>
            </w: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50.00%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75.00%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落实国家取消行政事业性收费政策，进一步便民利企</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为审批业务保驾护航，提升审批速度</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保障审批事项顺利进行</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证照印刷的数量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证照印刷的数量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98</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完成数量占预算数量的百分比</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证照印刷的质量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证照印刷的质量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98</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计划标准</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证照印刷费支付及时率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确保证照印刷费当年准时支付</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证照印刷费当年支付为优，每延长</w:t>
            </w:r>
            <w:r>
              <w:rPr>
                <w:rFonts w:ascii="方正书宋_GBK" w:eastAsia="方正书宋_GBK"/>
                <w:color w:val="000000"/>
              </w:rPr>
              <w:t>1</w:t>
            </w:r>
            <w:r>
              <w:rPr>
                <w:rFonts w:ascii="方正书宋_GBK" w:eastAsia="方正书宋_GBK" w:hint="eastAsia"/>
                <w:color w:val="000000"/>
              </w:rPr>
              <w:t>个月，绩效指标下降</w:t>
            </w:r>
            <w:r>
              <w:rPr>
                <w:rFonts w:ascii="方正书宋_GBK" w:eastAsia="方正书宋_GBK"/>
                <w:color w:val="000000"/>
              </w:rPr>
              <w:t>5</w:t>
            </w:r>
            <w:r>
              <w:rPr>
                <w:rFonts w:ascii="方正书宋_GBK" w:eastAsia="方正书宋_GBK" w:hint="eastAsia"/>
                <w:color w:val="000000"/>
              </w:rPr>
              <w:t>个百分点</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证照印刷的成本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证照印刷的成本</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实际成本与预算成本的百分比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社会效益指标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证照印刷费支付足额率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确保证照印刷费当年足额支付</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当年证照印刷费实际支付额与应付额的百分比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证照办理群众满意度</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通过证照印刷有财政解决，落实国家取消行政事业性收费的政策，进一步便民利企</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85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保障证照供应，随时满足办理需求</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2" w:name="_Toc66089975"/>
      <w:r>
        <w:rPr>
          <w:rFonts w:ascii="方正仿宋_GBK" w:eastAsia="方正仿宋_GBK" w:hint="eastAsia"/>
          <w:b/>
          <w:color w:val="000000"/>
          <w:sz w:val="28"/>
        </w:rPr>
        <w:t>4.劳务派遣人员工资、保险费绩效目标表</w:t>
      </w:r>
      <w:bookmarkEnd w:id="12"/>
      <w:r>
        <w:rPr>
          <w:rFonts w:ascii="方正仿宋_GBK" w:eastAsia="方正仿宋_GBK"/>
          <w:b/>
          <w:vanish/>
          <w:color w:val="000000"/>
          <w:sz w:val="28"/>
        </w:rPr>
        <w:t xml:space="preserve">{ </w:t>
      </w:r>
      <w:r>
        <w:rPr>
          <w:rFonts w:ascii="方正仿宋_GBK" w:eastAsia="方正仿宋_GBK" w:hint="eastAsia"/>
          <w:b/>
          <w:vanish/>
          <w:color w:val="000000"/>
          <w:sz w:val="28"/>
        </w:rPr>
        <w:t>TC 4、劳务派遣人员工资、保险费绩效目标表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13052521CV07DQ3CQY695</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劳务派遣人员工资、保险费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688110.00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688110.00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保证劳务派遣人员的正常运行</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25.00%</w:t>
            </w: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50.00%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75.00%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保证劳务派遣人员工资报酬及时足额发放</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保证劳务派遣人员的正常运行</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保证政务服务工作顺利开展</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工资发放率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实际发放人数与应发放人数的比率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实际发放人数与应发放人数的比率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可持续影响指标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发放人员的覆盖率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实际发放人数与应发放人数的比率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实际发放人数与应发放人数的比率</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群众满意度</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群众满意数量占总数量的比率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群众满意数量占总数量的比率</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3" w:name="_Toc66089976"/>
      <w:r>
        <w:rPr>
          <w:rFonts w:ascii="方正仿宋_GBK" w:eastAsia="方正仿宋_GBK" w:hint="eastAsia"/>
          <w:b/>
          <w:color w:val="000000"/>
          <w:sz w:val="28"/>
        </w:rPr>
        <w:t>5.隆尧县乡镇、村党群服务中心视频监控项目绩效目标表</w:t>
      </w:r>
      <w:bookmarkEnd w:id="13"/>
      <w:r>
        <w:rPr>
          <w:rFonts w:ascii="方正仿宋_GBK" w:eastAsia="方正仿宋_GBK"/>
          <w:b/>
          <w:vanish/>
          <w:color w:val="000000"/>
          <w:sz w:val="28"/>
        </w:rPr>
        <w:t xml:space="preserve">{ </w:t>
      </w:r>
      <w:r>
        <w:rPr>
          <w:rFonts w:ascii="方正仿宋_GBK" w:eastAsia="方正仿宋_GBK" w:hint="eastAsia"/>
          <w:b/>
          <w:vanish/>
          <w:color w:val="000000"/>
          <w:sz w:val="28"/>
        </w:rPr>
        <w:t>TC 5、隆尧县乡镇、村党群服务中心视频监控项目绩效目标表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13052521FDSRAUXTNP7NZ</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隆尧县乡镇、村党群服务中心视频监控项目</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500000.00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500000.00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将县、乡、村三级便民服务机构纳入一体化管理，不断提升政务服务集约化、规范化、便利化。</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提升政务服务工作，更好的方便群众办业务。</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强化日常监管，优化服务流程，提升基层政务服务能力。</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提升政务服务集约化、规范化、便利化。</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完成的数量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完成的质量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完成的质量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完成质量的比率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完成的时间</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完成的时间</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完成时间的比率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项目预算控制额</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不超过项目总预算控制额度</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社会效益指标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社会稳定水平</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通过这个项目促进社会稳定性</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社会稳定性有所提高</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满意度</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群众对这个项目的满意度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群众满意数量占总数量的百分比</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4" w:name="_Toc66089977"/>
      <w:r>
        <w:rPr>
          <w:rFonts w:ascii="方正仿宋_GBK" w:eastAsia="方正仿宋_GBK" w:hint="eastAsia"/>
          <w:b/>
          <w:color w:val="000000"/>
          <w:sz w:val="28"/>
        </w:rPr>
        <w:t>6.网络租赁专项绩效目标表</w:t>
      </w:r>
      <w:bookmarkEnd w:id="14"/>
      <w:r>
        <w:rPr>
          <w:rFonts w:ascii="方正仿宋_GBK" w:eastAsia="方正仿宋_GBK"/>
          <w:b/>
          <w:vanish/>
          <w:color w:val="000000"/>
          <w:sz w:val="28"/>
        </w:rPr>
        <w:t xml:space="preserve">{ </w:t>
      </w:r>
      <w:r>
        <w:rPr>
          <w:rFonts w:ascii="方正仿宋_GBK" w:eastAsia="方正仿宋_GBK" w:hint="eastAsia"/>
          <w:b/>
          <w:vanish/>
          <w:color w:val="000000"/>
          <w:sz w:val="28"/>
        </w:rPr>
        <w:t>TC 6、网络租赁专项绩效目标表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13052521FMWPIPCZRGM8O</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网络租赁专项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76186.00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76186.00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网络租赁保障各项工作正常运行</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p>
        </w:tc>
        <w:tc>
          <w:tcPr>
            <w:tcW w:w="1587" w:type="dxa"/>
            <w:tcBorders>
              <w:bottom w:val="single" w:sz="6" w:space="0" w:color="000000"/>
            </w:tcBorders>
            <w:vAlign w:val="center"/>
          </w:tcPr>
          <w:p>
            <w:pPr>
              <w:spacing w:line="300" w:lineRule="exact"/>
              <w:jc w:val="center"/>
              <w:rPr>
                <w:rFonts w:ascii="方正书宋_GBK" w:eastAsia="方正书宋_GBK"/>
                <w:color w:val="000000"/>
              </w:rPr>
            </w:pPr>
          </w:p>
        </w:tc>
        <w:tc>
          <w:tcPr>
            <w:tcW w:w="1304" w:type="dxa"/>
            <w:tcBorders>
              <w:bottom w:val="single" w:sz="6" w:space="0" w:color="000000"/>
            </w:tcBorders>
            <w:vAlign w:val="center"/>
          </w:tcPr>
          <w:p>
            <w:pPr>
              <w:spacing w:line="300" w:lineRule="exact"/>
              <w:jc w:val="center"/>
              <w:rPr>
                <w:rFonts w:ascii="方正书宋_GBK" w:eastAsia="方正书宋_GBK"/>
                <w:color w:val="000000"/>
              </w:rPr>
            </w:pP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保障政务大厅外网内网的正常使用和安全</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保障公共资源交易系统正常使用</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保障个审批业务正常进行</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网络正常运行的数量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网络正常运行的数量占总数量的比率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正常运行率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正常运行率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正常运行率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按照要求和计划完成比率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计划标准</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项目总成本占实际预算成本的比率</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可持续影响指标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政务外网顺畅率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政务外网运行的顺畅程度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网络故障</w:t>
            </w:r>
            <w:r>
              <w:rPr>
                <w:rFonts w:ascii="方正书宋_GBK" w:eastAsia="方正书宋_GBK"/>
                <w:color w:val="000000"/>
              </w:rPr>
              <w:t>1</w:t>
            </w:r>
            <w:r>
              <w:rPr>
                <w:rFonts w:ascii="方正书宋_GBK" w:eastAsia="方正书宋_GBK" w:hint="eastAsia"/>
                <w:color w:val="000000"/>
              </w:rPr>
              <w:t>次，绩效指标下降</w:t>
            </w:r>
            <w:r>
              <w:rPr>
                <w:rFonts w:ascii="方正书宋_GBK" w:eastAsia="方正书宋_GBK"/>
                <w:color w:val="000000"/>
              </w:rPr>
              <w:t>5</w:t>
            </w:r>
            <w:r>
              <w:rPr>
                <w:rFonts w:ascii="方正书宋_GBK" w:eastAsia="方正书宋_GBK" w:hint="eastAsia"/>
                <w:color w:val="000000"/>
              </w:rPr>
              <w:t>个百分点</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网络使用的满意度</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网络使用的满意度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网络使用的满意度</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5" w:name="_Toc66089978"/>
      <w:r>
        <w:rPr>
          <w:rFonts w:ascii="方正仿宋_GBK" w:eastAsia="方正仿宋_GBK" w:hint="eastAsia"/>
          <w:b/>
          <w:color w:val="000000"/>
          <w:sz w:val="28"/>
        </w:rPr>
        <w:t>7.项目评估费用绩效目标表</w:t>
      </w:r>
      <w:bookmarkEnd w:id="15"/>
      <w:r>
        <w:rPr>
          <w:rFonts w:ascii="方正仿宋_GBK" w:eastAsia="方正仿宋_GBK"/>
          <w:b/>
          <w:vanish/>
          <w:color w:val="000000"/>
          <w:sz w:val="28"/>
        </w:rPr>
        <w:t xml:space="preserve">{ </w:t>
      </w:r>
      <w:r>
        <w:rPr>
          <w:rFonts w:ascii="方正仿宋_GBK" w:eastAsia="方正仿宋_GBK" w:hint="eastAsia"/>
          <w:b/>
          <w:vanish/>
          <w:color w:val="000000"/>
          <w:sz w:val="28"/>
        </w:rPr>
        <w:t>TC 7、项目评估费用绩效目标表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13052521GGSCD45SLBXR6</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项目评估费用</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100000.00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100000.00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根据项目需求及时支付资金</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b/>
                <w:color w:val="000000"/>
              </w:rPr>
              <w:t>计划</w:t>
            </w:r>
            <w:r>
              <w:rPr>
                <w:rFonts w:ascii="方正书宋_GBK" w:eastAsia="方正书宋_GBK" w:hint="eastAsia"/>
                <w:b/>
                <w:color w:val="000000"/>
              </w:rPr>
              <w:t>资金支出（</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w:t>
            </w: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30.00%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75.00%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进一步完善投资决策程序，提供投资决策的科学性和可行性，保障投资项目的质量</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规范固定资产投资和社会风险评估工作，进一步预防和化解社会风险</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保障项目顺利进行</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项目评估完成的数量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项目评估完成的数量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r>
              <w:rPr>
                <w:rFonts w:ascii="方正书宋_GBK" w:eastAsia="方正书宋_GBK"/>
                <w:color w:val="000000"/>
              </w:rPr>
              <w:t xml:space="preserve"> </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完成数量百分比大于</w:t>
            </w:r>
            <w:r>
              <w:rPr>
                <w:rFonts w:ascii="方正书宋_GBK" w:eastAsia="方正书宋_GBK"/>
                <w:color w:val="000000"/>
              </w:rPr>
              <w:t>95%</w:t>
            </w:r>
            <w:r>
              <w:rPr>
                <w:rFonts w:ascii="方正书宋_GBK" w:eastAsia="方正书宋_GBK" w:hint="eastAsia"/>
                <w:color w:val="000000"/>
              </w:rPr>
              <w:t>为优</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项目评估完成的质量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项目评估完成的质量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r>
              <w:rPr>
                <w:rFonts w:ascii="方正书宋_GBK" w:eastAsia="方正书宋_GBK"/>
                <w:color w:val="000000"/>
              </w:rPr>
              <w:t xml:space="preserve">  </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完成项目的质量占总质量标准的百分比</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评估费用支付率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确保项目评估费当年足额支付</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当年评估费全额支付则为优</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完成成本占总预算成本的百分比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可持续影响指标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企业项目评估率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企业项目评估率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50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审批前经过评估的企业投资项目占所有审批的企业投资项目数的比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项目评估相关业务投诉率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项目评估相关业务投诉率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一年中项目评估相关业务</w:t>
            </w:r>
            <w:r>
              <w:rPr>
                <w:rFonts w:ascii="方正书宋_GBK" w:eastAsia="方正书宋_GBK"/>
                <w:color w:val="000000"/>
              </w:rPr>
              <w:t>0</w:t>
            </w:r>
            <w:r>
              <w:rPr>
                <w:rFonts w:ascii="方正书宋_GBK" w:eastAsia="方正书宋_GBK" w:hint="eastAsia"/>
                <w:color w:val="000000"/>
              </w:rPr>
              <w:t>投诉则绩效指标为优</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6" w:name="_Toc66089979"/>
      <w:r>
        <w:rPr>
          <w:rFonts w:ascii="方正仿宋_GBK" w:eastAsia="方正仿宋_GBK" w:hint="eastAsia"/>
          <w:b/>
          <w:color w:val="000000"/>
          <w:sz w:val="28"/>
        </w:rPr>
        <w:t>8.退役军人专岗资金绩效目标表</w:t>
      </w:r>
      <w:bookmarkEnd w:id="16"/>
      <w:r>
        <w:rPr>
          <w:rFonts w:ascii="方正仿宋_GBK" w:eastAsia="方正仿宋_GBK"/>
          <w:b/>
          <w:vanish/>
          <w:color w:val="000000"/>
          <w:sz w:val="28"/>
        </w:rPr>
        <w:t xml:space="preserve">{ </w:t>
      </w:r>
      <w:r>
        <w:rPr>
          <w:rFonts w:ascii="方正仿宋_GBK" w:eastAsia="方正仿宋_GBK" w:hint="eastAsia"/>
          <w:b/>
          <w:vanish/>
          <w:color w:val="000000"/>
          <w:sz w:val="28"/>
        </w:rPr>
        <w:t>TC 8、退役军人专岗资金绩效目标表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13052521MA35PHLKKEII1</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退役军人专岗资金</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45142.00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45142.00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安置退役军人</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30.00%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60.00%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保证退役军人的就业问题</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保证退役军人的工资和各项保险</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保障社会稳定</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按国家政策完成的数量比率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按国家政策完成的数量比率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完成质量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按国家政策完成情况的比率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按国家政策完成情况的比率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完成的效率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按要求完成情况</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按要求完成情况</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项目总成本占总预算控制额度的百分比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社会效益指标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社会稳定水平</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通过资金按时发放促进社会更加稳定</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群众满意度</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群众满意数量占总数量的百分比</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群众满意数量占总数量的百分比</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7" w:name="_Toc66089980"/>
      <w:r>
        <w:rPr>
          <w:rFonts w:ascii="方正仿宋_GBK" w:eastAsia="方正仿宋_GBK" w:hint="eastAsia"/>
          <w:b/>
          <w:color w:val="000000"/>
          <w:sz w:val="28"/>
        </w:rPr>
        <w:t>9.行政审批经费绩效目标表</w:t>
      </w:r>
      <w:bookmarkEnd w:id="17"/>
      <w:r>
        <w:rPr>
          <w:rFonts w:ascii="方正仿宋_GBK" w:eastAsia="方正仿宋_GBK"/>
          <w:b/>
          <w:vanish/>
          <w:color w:val="000000"/>
          <w:sz w:val="28"/>
        </w:rPr>
        <w:t xml:space="preserve">{ </w:t>
      </w:r>
      <w:r>
        <w:rPr>
          <w:rFonts w:ascii="方正仿宋_GBK" w:eastAsia="方正仿宋_GBK" w:hint="eastAsia"/>
          <w:b/>
          <w:vanish/>
          <w:color w:val="000000"/>
          <w:sz w:val="28"/>
        </w:rPr>
        <w:t>TC 9、行政审批经费绩效目标表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13052521S6LCY1IGD5S3E</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行政审批经费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270000.00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270000.00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用于行政审批的各项支出</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25.00%</w:t>
            </w: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50.00%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75.00%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保证审批工作有序进行</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为政务大厅及办事群众提供良好的环境</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保证审批事项及时完成</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完成综合事务的数量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完成综合事务的数量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计划标准</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综合事务保障完成率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落实国家各项审批政策；审批规范化、大厅建设人性化</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保障政务大厅业务和后勤需求</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截止年底综合事务的完成率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综合事务各项指标的完成率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计划标准</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综合事务完成成本情况</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综合事务完成成本情况</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在计划成本范围内</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可持续影响指标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资金支付覆盖率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确保当年各项费用当年足额支付</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实际支付金额与应付金额之比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群众对政务服务环境的满意度</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合理使用审批经费，优化政务服务环境</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85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群众对政务大厅设施和环境的评价</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8" w:name="_Toc66089981"/>
      <w:r>
        <w:rPr>
          <w:rFonts w:ascii="方正仿宋_GBK" w:eastAsia="方正仿宋_GBK" w:hint="eastAsia"/>
          <w:b/>
          <w:color w:val="000000"/>
          <w:sz w:val="28"/>
        </w:rPr>
        <w:t>10.网络维护经费绩效目标表</w:t>
      </w:r>
      <w:bookmarkEnd w:id="18"/>
      <w:r>
        <w:rPr>
          <w:rFonts w:ascii="方正仿宋_GBK" w:eastAsia="方正仿宋_GBK"/>
          <w:b/>
          <w:vanish/>
          <w:color w:val="000000"/>
          <w:sz w:val="28"/>
        </w:rPr>
        <w:t xml:space="preserve">{ </w:t>
      </w:r>
      <w:r>
        <w:rPr>
          <w:rFonts w:ascii="方正仿宋_GBK" w:eastAsia="方正仿宋_GBK" w:hint="eastAsia"/>
          <w:b/>
          <w:vanish/>
          <w:color w:val="000000"/>
          <w:sz w:val="28"/>
        </w:rPr>
        <w:t>TC 10、网络维护经费绩效目标表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13052521UZ8IKZ1UMYWH7</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网络维护经费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89200.00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89200.00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单位网络维修维护的经费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p>
        </w:tc>
        <w:tc>
          <w:tcPr>
            <w:tcW w:w="1587" w:type="dxa"/>
            <w:tcBorders>
              <w:bottom w:val="single" w:sz="6" w:space="0" w:color="000000"/>
            </w:tcBorders>
            <w:vAlign w:val="center"/>
          </w:tcPr>
          <w:p>
            <w:pPr>
              <w:spacing w:line="300" w:lineRule="exact"/>
              <w:jc w:val="center"/>
              <w:rPr>
                <w:rFonts w:ascii="方正书宋_GBK" w:eastAsia="方正书宋_GBK"/>
                <w:color w:val="000000"/>
              </w:rPr>
            </w:pP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30.00%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保证互联网</w:t>
            </w:r>
            <w:r>
              <w:rPr>
                <w:rFonts w:ascii="方正书宋_GBK" w:eastAsia="方正书宋_GBK"/>
                <w:color w:val="000000"/>
              </w:rPr>
              <w:t>+</w:t>
            </w:r>
            <w:r>
              <w:rPr>
                <w:rFonts w:ascii="方正书宋_GBK" w:eastAsia="方正书宋_GBK" w:hint="eastAsia"/>
                <w:color w:val="000000"/>
              </w:rPr>
              <w:t>政务服务系统正常运行</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保证监控弱电正常运行</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保证办公系统正常运行</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完成的数量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网络维护的资金按预算进度拨付</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网络、办公系统故障次数</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网络、办公系统故障次数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&lt;3</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网络故障小于</w:t>
            </w:r>
            <w:r>
              <w:rPr>
                <w:rFonts w:ascii="方正书宋_GBK" w:eastAsia="方正书宋_GBK"/>
                <w:color w:val="000000"/>
              </w:rPr>
              <w:t>5%</w:t>
            </w:r>
            <w:r>
              <w:rPr>
                <w:rFonts w:ascii="方正书宋_GBK" w:eastAsia="方正书宋_GBK" w:hint="eastAsia"/>
                <w:color w:val="000000"/>
              </w:rPr>
              <w:t>为优</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完成率</w:t>
            </w:r>
            <w:r>
              <w:rPr>
                <w:rFonts w:ascii="方正书宋_GBK" w:eastAsia="方正书宋_GBK"/>
                <w:color w:val="000000"/>
              </w:rPr>
              <w:t>%</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按照要求和计划完成比率</w:t>
            </w:r>
            <w:r>
              <w:rPr>
                <w:rFonts w:ascii="方正书宋_GBK" w:eastAsia="方正书宋_GBK"/>
                <w:color w:val="000000"/>
              </w:rPr>
              <w:t>%</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按照要求和计划完成比率</w:t>
            </w:r>
            <w:r>
              <w:rPr>
                <w:rFonts w:ascii="方正书宋_GBK" w:eastAsia="方正书宋_GBK"/>
                <w:color w:val="000000"/>
              </w:rPr>
              <w:t>%</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实际成本占总预算成本的百分比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社会效益指标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办事群众对整个审批环节的满意率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通过精简审批环节和材料、优化审批流程，缩减审批时限。反映审批和服务效能提高效能情况</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92</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办事群众满意度</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办理业务顺畅度的满意率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实现审批与监管信息的双向推进、确保审批手续、审批流程以及法律法规的有效衔接。反映政务中心与其他部门的资源共享和信息交换完成情况</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85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网上办理业务是否顺畅</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19" w:name="_Toc66089982"/>
      <w:r>
        <w:rPr>
          <w:rFonts w:ascii="方正仿宋_GBK" w:eastAsia="方正仿宋_GBK" w:hint="eastAsia"/>
          <w:b/>
          <w:color w:val="000000"/>
          <w:sz w:val="28"/>
        </w:rPr>
        <w:t>11.24小时审批自助服务区绩效目标表</w:t>
      </w:r>
      <w:bookmarkEnd w:id="19"/>
      <w:r>
        <w:rPr>
          <w:rFonts w:ascii="方正仿宋_GBK" w:eastAsia="方正仿宋_GBK"/>
          <w:b/>
          <w:vanish/>
          <w:color w:val="000000"/>
          <w:sz w:val="28"/>
        </w:rPr>
        <w:t xml:space="preserve">{ </w:t>
      </w:r>
      <w:r>
        <w:rPr>
          <w:rFonts w:ascii="方正仿宋_GBK" w:eastAsia="方正仿宋_GBK" w:hint="eastAsia"/>
          <w:b/>
          <w:vanish/>
          <w:color w:val="000000"/>
          <w:sz w:val="28"/>
        </w:rPr>
        <w:t>TC 11、24小时审批自助服务区绩效目标表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13052521XH9H07ZC2F3HZ</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24</w:t>
            </w:r>
            <w:r>
              <w:rPr>
                <w:rFonts w:ascii="方正书宋_GBK" w:eastAsia="方正书宋_GBK" w:hint="eastAsia"/>
                <w:color w:val="000000"/>
              </w:rPr>
              <w:t>小时审批自助服务区</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333300.00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333300.00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保障</w:t>
            </w:r>
            <w:r>
              <w:rPr>
                <w:rFonts w:ascii="方正书宋_GBK" w:eastAsia="方正书宋_GBK"/>
                <w:color w:val="000000"/>
              </w:rPr>
              <w:t>24</w:t>
            </w:r>
            <w:r>
              <w:rPr>
                <w:rFonts w:ascii="方正书宋_GBK" w:eastAsia="方正书宋_GBK" w:hint="eastAsia"/>
                <w:color w:val="000000"/>
              </w:rPr>
              <w:t>小时自助服务区正常运行</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50.00%</w:t>
            </w: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75.00%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方便群众办事</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保障</w:t>
            </w:r>
            <w:r>
              <w:rPr>
                <w:rFonts w:ascii="方正书宋_GBK" w:eastAsia="方正书宋_GBK"/>
                <w:color w:val="000000"/>
              </w:rPr>
              <w:t>24</w:t>
            </w:r>
            <w:r>
              <w:rPr>
                <w:rFonts w:ascii="方正书宋_GBK" w:eastAsia="方正书宋_GBK" w:hint="eastAsia"/>
                <w:color w:val="000000"/>
              </w:rPr>
              <w:t>小时自助服务区项目正常运行</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保障业务正常进行</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完成质量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完成质量比率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完成质量的比率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完成时间</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按要求完成时间占计划完成时间的比率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按要求完成时间占计划完成时间的比率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项目实际成本占总成本的比率</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社会效益指标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保障工作能够正常开展</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在正常工作时间外能正常开展工作</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正常工作时间占总时间的比率</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群众满意度</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群众满意度</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20" w:name="_Toc66089983"/>
      <w:r>
        <w:rPr>
          <w:rFonts w:ascii="方正仿宋_GBK" w:eastAsia="方正仿宋_GBK" w:hint="eastAsia"/>
          <w:b/>
          <w:color w:val="000000"/>
          <w:sz w:val="28"/>
        </w:rPr>
        <w:t>12.社会信用体系建设培训宣传绩效目标表</w:t>
      </w:r>
      <w:bookmarkEnd w:id="20"/>
      <w:r>
        <w:rPr>
          <w:rFonts w:ascii="方正仿宋_GBK" w:eastAsia="方正仿宋_GBK"/>
          <w:b/>
          <w:vanish/>
          <w:color w:val="000000"/>
          <w:sz w:val="28"/>
        </w:rPr>
        <w:t xml:space="preserve">{ </w:t>
      </w:r>
      <w:r>
        <w:rPr>
          <w:rFonts w:ascii="方正仿宋_GBK" w:eastAsia="方正仿宋_GBK" w:hint="eastAsia"/>
          <w:b/>
          <w:vanish/>
          <w:color w:val="000000"/>
          <w:sz w:val="28"/>
        </w:rPr>
        <w:t>TC 12、社会信用体系建设培训宣传绩效目标表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13052521ZLXK5N8HZ9E7B</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社会信用体系建设培训宣传</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15000.00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15000.00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根据序时进度及诚信体系建设工作需求支出</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20.00%</w:t>
            </w: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50.00%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75.00%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社会信用体系建设职能划转后的工作有序衔接</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开展社会信用体系宣传，在全县部门范围营造诚信氛围，树立守信光荣、失信可耻的社会风尚</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提高社会信用度</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社会信用建设完成数量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社会信用建设完成数量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完成数量占总数量的百分比</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社会信用体系建设使用率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相关部门单位社会信用体系建设平台使用率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使用社会信用体系建设平台的单位数占所有涉及单位数的百分比</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按期完成率</w:t>
            </w:r>
            <w:r>
              <w:rPr>
                <w:rFonts w:ascii="方正书宋_GBK" w:eastAsia="方正书宋_GBK"/>
                <w:color w:val="000000"/>
              </w:rPr>
              <w:t>%</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完成情况占应完成情况的比率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完成情况占应完成情况的比率</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项目总成本</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项目总预算控制额度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总成本占预算总成本的百分比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社会效益指标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社会信用体系建设知晓率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社会信用体系建设相关部门单位知晓率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100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社会信用体系建设相关部门单位知晓率</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社会信用体系相关业务投诉率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社会信用体系相关业务投诉率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&lt;10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社会信用体系相关业务投诉率</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jc w:val="left"/>
        <w:rPr>
          <w:color w:val="000000"/>
        </w:rPr>
      </w:pPr>
    </w:p>
    <w:p>
      <w:pPr>
        <w:ind w:firstLineChars="200" w:firstLine="560"/>
        <w:jc w:val="left"/>
        <w:outlineLvl w:val="3"/>
        <w:rPr>
          <w:rFonts w:ascii="Times New Roman" w:hAnsi="宋体"/>
          <w:b/>
          <w:color w:val="000000"/>
          <w:sz w:val="28"/>
        </w:rPr>
      </w:pPr>
      <w:bookmarkStart w:id="21" w:name="_Toc66089984"/>
      <w:r>
        <w:rPr>
          <w:rFonts w:ascii="方正仿宋_GBK" w:eastAsia="方正仿宋_GBK" w:hint="eastAsia"/>
          <w:b/>
          <w:color w:val="000000"/>
          <w:sz w:val="28"/>
        </w:rPr>
        <w:t>13.政府采购中心经费绩效目标表</w:t>
      </w:r>
      <w:bookmarkEnd w:id="21"/>
      <w:r>
        <w:rPr>
          <w:rFonts w:ascii="方正仿宋_GBK" w:eastAsia="方正仿宋_GBK"/>
          <w:b/>
          <w:vanish/>
          <w:color w:val="000000"/>
          <w:sz w:val="28"/>
        </w:rPr>
        <w:t xml:space="preserve">{ </w:t>
      </w:r>
      <w:r>
        <w:rPr>
          <w:rFonts w:ascii="方正仿宋_GBK" w:eastAsia="方正仿宋_GBK" w:hint="eastAsia"/>
          <w:b/>
          <w:vanish/>
          <w:color w:val="000000"/>
          <w:sz w:val="28"/>
        </w:rPr>
        <w:t>TC 13、政府采购中心经费绩效目标表 \f C \l 1</w:t>
      </w:r>
      <w:r>
        <w:rPr>
          <w:rFonts w:ascii="方正仿宋_GBK" w:eastAsia="方正仿宋_GBK"/>
          <w:b/>
          <w:vanish/>
          <w:color w:val="000000"/>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1587"/>
        <w:gridCol w:w="1304"/>
        <w:gridCol w:w="1276"/>
        <w:gridCol w:w="1701"/>
      </w:tblGrid>
      <w:tr>
        <w:trPr>
          <w:trHeight w:val="397"/>
        </w:trPr>
        <w:tc>
          <w:tcPr>
            <w:tcW w:w="7711" w:type="dxa"/>
            <w:gridSpan w:val="6"/>
            <w:tcBorders>
              <w:top w:val="single" w:sz="6" w:space="0" w:color="FFFFFF"/>
              <w:left w:val="single" w:sz="6" w:space="0" w:color="FFFFFF"/>
              <w:right w:val="single" w:sz="6" w:space="0" w:color="FFFFFF"/>
            </w:tcBorders>
            <w:vAlign w:val="center"/>
          </w:tcPr>
          <w:p>
            <w:pPr>
              <w:spacing w:line="300" w:lineRule="exact"/>
              <w:jc w:val="left"/>
              <w:rPr>
                <w:rFonts w:ascii="方正书宋_GBK" w:eastAsia="方正书宋_GBK"/>
                <w:b/>
                <w:color w:val="000000"/>
              </w:rPr>
            </w:pPr>
            <w:r>
              <w:rPr>
                <w:rFonts w:ascii="方正书宋_GBK" w:eastAsia="方正书宋_GBK"/>
                <w:b/>
                <w:color w:val="000000"/>
              </w:rPr>
              <w:t>816001</w:t>
            </w:r>
            <w:r>
              <w:rPr>
                <w:rFonts w:ascii="方正书宋_GBK" w:eastAsia="方正书宋_GBK" w:hint="eastAsia"/>
                <w:b/>
                <w:color w:val="000000"/>
              </w:rPr>
              <w:t>隆尧县行政审批局本级</w:t>
            </w:r>
          </w:p>
        </w:tc>
        <w:tc>
          <w:tcPr>
            <w:tcW w:w="1701" w:type="dxa"/>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单位：元</w:t>
            </w:r>
          </w:p>
        </w:tc>
      </w:tr>
      <w:tr>
        <w:trPr>
          <w:trHeight w:val="369"/>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项目编码</w:t>
            </w:r>
          </w:p>
        </w:tc>
        <w:tc>
          <w:tcPr>
            <w:tcW w:w="2410" w:type="dxa"/>
            <w:gridSpan w:val="2"/>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13052521ZZ7OPG84FIQ3Z</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4281" w:type="dxa"/>
            <w:gridSpan w:val="3"/>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政府采购中心经费</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预算规模及资金用途</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预算数</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93000.00</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其中：财政资金</w:t>
            </w:r>
          </w:p>
        </w:tc>
        <w:tc>
          <w:tcPr>
            <w:tcW w:w="130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93000.00</w:t>
            </w:r>
          </w:p>
        </w:tc>
        <w:tc>
          <w:tcPr>
            <w:tcW w:w="1276"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其他资金</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0</w:t>
            </w:r>
          </w:p>
        </w:tc>
      </w:tr>
      <w:tr>
        <w:trPr>
          <w:trHeight w:val="369"/>
        </w:trPr>
        <w:tc>
          <w:tcPr>
            <w:tcW w:w="1134" w:type="dxa"/>
            <w:vMerge/>
            <w:vAlign w:val="center"/>
          </w:tcPr>
          <w:p/>
        </w:tc>
        <w:tc>
          <w:tcPr>
            <w:tcW w:w="8278" w:type="dxa"/>
            <w:gridSpan w:val="6"/>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保障政府采购中心各项事务的支出。</w:t>
            </w:r>
          </w:p>
        </w:tc>
      </w:tr>
      <w:tr>
        <w:trPr>
          <w:trHeight w:val="369"/>
        </w:trPr>
        <w:tc>
          <w:tcPr>
            <w:tcW w:w="1134" w:type="dxa"/>
            <w:vMerge w:val="restart"/>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资金支出计划（</w:t>
            </w:r>
            <w:r>
              <w:rPr>
                <w:rFonts w:ascii="方正书宋_GBK" w:eastAsia="方正书宋_GBK"/>
                <w:b/>
                <w:color w:val="000000"/>
              </w:rPr>
              <w:t>%</w:t>
            </w:r>
            <w:r>
              <w:rPr>
                <w:rFonts w:ascii="方正书宋_GBK" w:eastAsia="方正书宋_GBK" w:hint="eastAsia"/>
                <w:b/>
                <w:color w:val="000000"/>
              </w:rPr>
              <w:t>）</w:t>
            </w:r>
          </w:p>
        </w:tc>
        <w:tc>
          <w:tcPr>
            <w:tcW w:w="2410"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3</w:t>
            </w:r>
            <w:r>
              <w:rPr>
                <w:rFonts w:ascii="方正书宋_GBK" w:eastAsia="方正书宋_GBK" w:hint="eastAsia"/>
                <w:b/>
                <w:color w:val="000000"/>
              </w:rPr>
              <w:t>月底</w:t>
            </w:r>
          </w:p>
        </w:tc>
        <w:tc>
          <w:tcPr>
            <w:tcW w:w="1587"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6</w:t>
            </w:r>
            <w:r>
              <w:rPr>
                <w:rFonts w:ascii="方正书宋_GBK" w:eastAsia="方正书宋_GBK" w:hint="eastAsia"/>
                <w:b/>
                <w:color w:val="000000"/>
              </w:rPr>
              <w:t>月底</w:t>
            </w:r>
          </w:p>
        </w:tc>
        <w:tc>
          <w:tcPr>
            <w:tcW w:w="130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10</w:t>
            </w:r>
            <w:r>
              <w:rPr>
                <w:rFonts w:ascii="方正书宋_GBK" w:eastAsia="方正书宋_GBK" w:hint="eastAsia"/>
                <w:b/>
                <w:color w:val="000000"/>
              </w:rPr>
              <w:t>月底</w:t>
            </w:r>
          </w:p>
        </w:tc>
        <w:tc>
          <w:tcPr>
            <w:tcW w:w="2977" w:type="dxa"/>
            <w:gridSpan w:val="2"/>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b/>
                <w:color w:val="000000"/>
              </w:rPr>
              <w:t>12</w:t>
            </w:r>
            <w:r>
              <w:rPr>
                <w:rFonts w:ascii="方正书宋_GBK" w:eastAsia="方正书宋_GBK" w:hint="eastAsia"/>
                <w:b/>
                <w:color w:val="000000"/>
              </w:rPr>
              <w:t>月底</w:t>
            </w:r>
          </w:p>
        </w:tc>
      </w:tr>
      <w:tr>
        <w:trPr>
          <w:trHeight w:val="369"/>
        </w:trPr>
        <w:tc>
          <w:tcPr>
            <w:tcW w:w="1134" w:type="dxa"/>
            <w:vMerge/>
            <w:tcBorders>
              <w:bottom w:val="single" w:sz="6" w:space="0" w:color="000000"/>
            </w:tcBorders>
            <w:vAlign w:val="center"/>
          </w:tcPr>
          <w:p/>
        </w:tc>
        <w:tc>
          <w:tcPr>
            <w:tcW w:w="2410"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25.00%</w:t>
            </w:r>
          </w:p>
        </w:tc>
        <w:tc>
          <w:tcPr>
            <w:tcW w:w="1587"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50.00%</w:t>
            </w:r>
          </w:p>
        </w:tc>
        <w:tc>
          <w:tcPr>
            <w:tcW w:w="1304" w:type="dxa"/>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75.00%</w:t>
            </w:r>
          </w:p>
        </w:tc>
        <w:tc>
          <w:tcPr>
            <w:tcW w:w="2977" w:type="dxa"/>
            <w:gridSpan w:val="2"/>
            <w:tcBorders>
              <w:bottom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color w:val="000000"/>
              </w:rPr>
              <w:t>100.00%</w:t>
            </w:r>
          </w:p>
        </w:tc>
      </w:tr>
      <w:tr>
        <w:trPr>
          <w:trHeight w:val="369"/>
        </w:trPr>
        <w:tc>
          <w:tcPr>
            <w:tcW w:w="1134" w:type="dxa"/>
            <w:tcBorders>
              <w:bottom w:val="nil"/>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绩效目标</w:t>
            </w:r>
          </w:p>
        </w:tc>
        <w:tc>
          <w:tcPr>
            <w:tcW w:w="8278" w:type="dxa"/>
            <w:gridSpan w:val="6"/>
            <w:tcBorders>
              <w:bottom w:val="nil"/>
            </w:tcBorders>
            <w:vAlign w:val="center"/>
          </w:tcPr>
          <w:p>
            <w:pPr>
              <w:spacing w:line="300" w:lineRule="exact"/>
              <w:jc w:val="left"/>
              <w:rPr>
                <w:rFonts w:ascii="方正书宋_GBK" w:eastAsia="方正书宋_GBK"/>
                <w:color w:val="000000"/>
              </w:rPr>
            </w:pPr>
            <w:r>
              <w:rPr>
                <w:rFonts w:ascii="方正书宋_GBK" w:eastAsia="方正书宋_GBK"/>
                <w:color w:val="000000"/>
              </w:rPr>
              <w:t>1.</w:t>
            </w:r>
            <w:r>
              <w:rPr>
                <w:rFonts w:ascii="方正书宋_GBK" w:eastAsia="方正书宋_GBK" w:hint="eastAsia"/>
                <w:color w:val="000000"/>
              </w:rPr>
              <w:t>保障政府采购活动顺利开展</w:t>
            </w:r>
          </w:p>
          <w:p>
            <w:pPr>
              <w:spacing w:line="300" w:lineRule="exact"/>
              <w:jc w:val="left"/>
              <w:rPr>
                <w:rFonts w:ascii="方正书宋_GBK" w:eastAsia="方正书宋_GBK"/>
                <w:color w:val="000000"/>
              </w:rPr>
            </w:pPr>
            <w:r>
              <w:rPr>
                <w:rFonts w:ascii="方正书宋_GBK" w:eastAsia="方正书宋_GBK"/>
                <w:color w:val="000000"/>
              </w:rPr>
              <w:t>2.</w:t>
            </w:r>
            <w:r>
              <w:rPr>
                <w:rFonts w:ascii="方正书宋_GBK" w:eastAsia="方正书宋_GBK" w:hint="eastAsia"/>
                <w:color w:val="000000"/>
              </w:rPr>
              <w:t>营造良好的政府采购环境</w:t>
            </w:r>
          </w:p>
          <w:p>
            <w:pPr>
              <w:spacing w:line="300" w:lineRule="exact"/>
              <w:jc w:val="left"/>
              <w:rPr>
                <w:rFonts w:ascii="方正书宋_GBK" w:eastAsia="方正书宋_GBK"/>
                <w:color w:val="000000"/>
              </w:rPr>
            </w:pPr>
            <w:r>
              <w:rPr>
                <w:rFonts w:ascii="方正书宋_GBK" w:eastAsia="方正书宋_GBK"/>
                <w:color w:val="000000"/>
              </w:rPr>
              <w:t>3.</w:t>
            </w:r>
            <w:r>
              <w:rPr>
                <w:rFonts w:ascii="方正书宋_GBK" w:eastAsia="方正书宋_GBK" w:hint="eastAsia"/>
                <w:color w:val="000000"/>
              </w:rPr>
              <w:t>保证采购中心的事项及时完成</w:t>
            </w:r>
          </w:p>
        </w:tc>
      </w:tr>
    </w:tbl>
    <w:p>
      <w:pPr>
        <w:spacing w:line="14" w:lineRule="exact"/>
        <w:jc w:val="center"/>
        <w:rPr>
          <w:rFonts w:ascii="Times New Roman" w:hAnsi="宋体"/>
          <w:color w:val="000000"/>
        </w:rPr>
      </w:pPr>
      <w:r>
        <w:rPr>
          <w:rFonts w:ascii="方正书宋_GBK" w:eastAsia="方正书宋_GBK"/>
          <w:color w:val="000000"/>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134"/>
        <w:gridCol w:w="1134"/>
        <w:gridCol w:w="1276"/>
        <w:gridCol w:w="2891"/>
        <w:gridCol w:w="1276"/>
        <w:gridCol w:w="1701"/>
      </w:tblGrid>
      <w:tr>
        <w:trPr>
          <w:cantSplit/>
          <w:trHeight w:val="397"/>
          <w:tblHeader/>
        </w:trPr>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一级指标</w:t>
            </w:r>
          </w:p>
        </w:tc>
        <w:tc>
          <w:tcPr>
            <w:tcW w:w="113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二级指标</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三级指标</w:t>
            </w:r>
          </w:p>
        </w:tc>
        <w:tc>
          <w:tcPr>
            <w:tcW w:w="289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绩效指标描述</w:t>
            </w:r>
          </w:p>
        </w:tc>
        <w:tc>
          <w:tcPr>
            <w:tcW w:w="1276"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w:t>
            </w:r>
          </w:p>
        </w:tc>
        <w:tc>
          <w:tcPr>
            <w:tcW w:w="1701"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指标值确定依据</w:t>
            </w:r>
          </w:p>
        </w:tc>
      </w:tr>
      <w:tr>
        <w:trPr>
          <w:cantSplit/>
          <w:trHeight w:val="369"/>
        </w:trPr>
        <w:tc>
          <w:tcPr>
            <w:tcW w:w="1134" w:type="dxa"/>
            <w:vMerge w:val="restart"/>
            <w:vAlign w:val="center"/>
          </w:tcPr>
          <w:p>
            <w:pPr>
              <w:spacing w:line="300" w:lineRule="exact"/>
              <w:jc w:val="center"/>
              <w:rPr>
                <w:rFonts w:ascii="方正书宋_GBK" w:eastAsia="方正书宋_GBK"/>
                <w:color w:val="000000"/>
              </w:rPr>
            </w:pPr>
            <w:r>
              <w:rPr>
                <w:rFonts w:ascii="方正书宋_GBK" w:eastAsia="方正书宋_GBK" w:hint="eastAsia"/>
                <w:color w:val="000000"/>
              </w:rPr>
              <w:t>产出指标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数量指标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完成中心事务的数量</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完成中心事务的数量</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计划标准</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质量指标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采购中心软硬件设施正常运转率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采购中心软硬件设施正常运转情况</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每出现一次软硬件故障影响采购活动的情况，绩效指标降低</w:t>
            </w:r>
            <w:r>
              <w:rPr>
                <w:rFonts w:ascii="方正书宋_GBK" w:eastAsia="方正书宋_GBK"/>
                <w:color w:val="000000"/>
              </w:rPr>
              <w:t>5</w:t>
            </w:r>
            <w:r>
              <w:rPr>
                <w:rFonts w:ascii="方正书宋_GBK" w:eastAsia="方正书宋_GBK" w:hint="eastAsia"/>
                <w:color w:val="000000"/>
              </w:rPr>
              <w:t>个百分点</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时效指标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截止年底中心事务的完成率</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中心事务的各项指标的完成率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计划标准</w:t>
            </w:r>
          </w:p>
        </w:tc>
      </w:tr>
      <w:tr>
        <w:trPr>
          <w:cantSplit/>
          <w:trHeight w:val="369"/>
        </w:trPr>
        <w:tc>
          <w:tcPr>
            <w:tcW w:w="1134" w:type="dxa"/>
            <w:vMerge/>
            <w:vAlign w:val="center"/>
          </w:tcP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成本指标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中心综合事务的完成成本情况</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中心综合事务的完成成本情况</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&lt;95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计划标准</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效益指标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社会效益指标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保障政府采购中心工作正常开展</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资金支付覆盖率，当年费用当年足额支付</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95</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实际支付与应支付额的百分比</w:t>
            </w:r>
          </w:p>
        </w:tc>
      </w:tr>
      <w:tr>
        <w:trPr>
          <w:cantSplit/>
          <w:trHeight w:val="369"/>
        </w:trPr>
        <w:tc>
          <w:tcPr>
            <w:tcW w:w="1134" w:type="dxa"/>
            <w:vAlign w:val="center"/>
          </w:tcPr>
          <w:p>
            <w:pPr>
              <w:spacing w:line="300" w:lineRule="exact"/>
              <w:jc w:val="center"/>
              <w:rPr>
                <w:rFonts w:ascii="方正书宋_GBK" w:eastAsia="方正书宋_GBK"/>
                <w:color w:val="000000"/>
              </w:rPr>
            </w:pPr>
            <w:r>
              <w:rPr>
                <w:rFonts w:ascii="方正书宋_GBK" w:eastAsia="方正书宋_GBK" w:hint="eastAsia"/>
                <w:color w:val="000000"/>
              </w:rPr>
              <w:t>满意度指标</w:t>
            </w:r>
          </w:p>
        </w:tc>
        <w:tc>
          <w:tcPr>
            <w:tcW w:w="1134"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服务对象满意度指标</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保障政府采购中心工作正常开展</w:t>
            </w:r>
          </w:p>
        </w:tc>
        <w:tc>
          <w:tcPr>
            <w:tcW w:w="289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采购人、被采购人和评审专家对采购活动的满意度</w:t>
            </w:r>
          </w:p>
        </w:tc>
        <w:tc>
          <w:tcPr>
            <w:tcW w:w="1276"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w:t>
            </w:r>
            <w:r>
              <w:rPr>
                <w:rFonts w:ascii="方正书宋_GBK" w:eastAsia="方正书宋_GBK"/>
                <w:color w:val="000000"/>
              </w:rPr>
              <w:t>90</w:t>
            </w:r>
            <w:r>
              <w:rPr>
                <w:rFonts w:ascii="方正书宋_GBK" w:eastAsia="方正书宋_GBK" w:hint="eastAsia"/>
                <w:color w:val="000000"/>
              </w:rPr>
              <w:t>优</w:t>
            </w:r>
          </w:p>
        </w:tc>
        <w:tc>
          <w:tcPr>
            <w:tcW w:w="170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各界对政府采购活动的满意度</w:t>
            </w:r>
          </w:p>
        </w:tc>
      </w:tr>
    </w:tbl>
    <w:p>
      <w:pPr>
        <w:spacing w:line="300" w:lineRule="exact"/>
        <w:jc w:val="left"/>
        <w:rPr>
          <w:color w:val="000000"/>
        </w:rPr>
        <w:sectPr>
          <w:pgSz w:w="16839" w:h="11907" w:orient="landscape"/>
          <w:pgMar w:top="1304" w:right="1984" w:bottom="1304" w:left="1134" w:header="851" w:footer="992" w:gutter="0"/>
          <w:cols w:num="1" w:space="720"/>
          <w:docGrid w:type="lines" w:linePitch="312" w:charSpace="0"/>
        </w:sectPr>
      </w:pPr>
    </w:p>
    <w:p>
      <w:pPr>
        <w:spacing w:line="300" w:lineRule="exact"/>
        <w:ind w:firstLineChars="200" w:firstLine="420"/>
        <w:jc w:val="left"/>
        <w:rPr>
          <w:rFonts w:ascii="方正书宋_GBK" w:eastAsia="方正书宋_GBK" w:cs="方正书宋_GBK" w:hAnsi="方正书宋_GBK"/>
          <w:b/>
          <w:color w:val="000000"/>
        </w:rPr>
      </w:pPr>
    </w:p>
    <w:p>
      <w:pPr>
        <w:ind w:firstLineChars="200" w:firstLine="420"/>
        <w:jc w:val="center"/>
        <w:rPr>
          <w:rFonts w:ascii="方正书宋_GBK" w:eastAsia="方正书宋_GBK" w:cs="方正书宋_GBK" w:hAnsi="方正书宋_GBK"/>
          <w:color w:val="000000"/>
        </w:rPr>
      </w:pPr>
    </w:p>
    <w:p>
      <w:pPr>
        <w:autoSpaceDE w:val="0"/>
        <w:autoSpaceDN w:val="0"/>
        <w:ind w:firstLineChars="300" w:firstLine="960"/>
        <w:rPr>
          <w:rFonts w:ascii="黑体" w:eastAsia="黑体" w:hAnsi="黑体"/>
          <w:color w:val="000000"/>
          <w:sz w:val="32"/>
          <w:szCs w:val="32"/>
        </w:rPr>
      </w:pPr>
    </w:p>
    <w:p>
      <w:pPr>
        <w:autoSpaceDE w:val="0"/>
        <w:autoSpaceDN w:val="0"/>
        <w:ind w:firstLineChars="300" w:firstLine="960"/>
        <w:rPr>
          <w:rFonts w:ascii="黑体" w:eastAsia="黑体" w:hAnsi="黑体"/>
          <w:color w:val="000000"/>
          <w:sz w:val="32"/>
          <w:szCs w:val="32"/>
        </w:rPr>
      </w:pPr>
      <w:r>
        <w:rPr>
          <w:rFonts w:ascii="黑体" w:eastAsia="黑体" w:hAnsi="黑体" w:hint="eastAsia"/>
          <w:color w:val="000000"/>
          <w:sz w:val="32"/>
          <w:szCs w:val="32"/>
        </w:rPr>
        <w:t>六、政府采购预算情况</w:t>
      </w:r>
    </w:p>
    <w:p>
      <w:pPr>
        <w:ind w:firstLineChars="200" w:firstLine="640"/>
        <w:outlineLvl w:val="0"/>
        <w:rPr>
          <w:rFonts w:ascii="Times New Roman" w:eastAsia="仿宋" w:hAnsi="Times New Roman"/>
          <w:color w:val="000000"/>
          <w:sz w:val="32"/>
          <w:szCs w:val="24"/>
        </w:rPr>
      </w:pPr>
      <w:bookmarkStart w:id="22" w:name="_Toc471398468"/>
      <w:r>
        <w:rPr>
          <w:rFonts w:ascii="Times New Roman" w:eastAsia="仿宋" w:hAnsi="Times New Roman"/>
          <w:color w:val="000000"/>
          <w:sz w:val="32"/>
          <w:szCs w:val="24"/>
        </w:rPr>
        <w:t xml:space="preserve"> 20</w:t>
      </w:r>
      <w:r>
        <w:rPr>
          <w:rFonts w:ascii="Times New Roman" w:eastAsia="仿宋" w:hAnsi="Times New Roman" w:hint="eastAsia"/>
          <w:color w:val="000000"/>
          <w:sz w:val="32"/>
          <w:szCs w:val="24"/>
        </w:rPr>
        <w:t>21</w:t>
      </w:r>
      <w:r>
        <w:rPr>
          <w:rFonts w:ascii="Times New Roman" w:eastAsia="仿宋" w:hAnsi="Times New Roman"/>
          <w:color w:val="000000"/>
          <w:sz w:val="32"/>
          <w:szCs w:val="24"/>
        </w:rPr>
        <w:t>年，</w:t>
      </w:r>
      <w:r>
        <w:rPr>
          <w:rFonts w:ascii="Times New Roman" w:eastAsia="仿宋" w:hAnsi="Times New Roman" w:hint="eastAsia"/>
          <w:color w:val="000000"/>
          <w:sz w:val="32"/>
          <w:szCs w:val="24"/>
        </w:rPr>
        <w:t>我部门</w:t>
      </w:r>
      <w:r>
        <w:rPr>
          <w:rFonts w:ascii="Times New Roman" w:eastAsia="仿宋" w:hAnsi="Times New Roman"/>
          <w:color w:val="000000"/>
          <w:sz w:val="32"/>
          <w:szCs w:val="24"/>
        </w:rPr>
        <w:t>安排政府采购预算</w:t>
      </w:r>
      <w:r>
        <w:rPr>
          <w:rFonts w:ascii="Times New Roman" w:eastAsia="仿宋" w:hAnsi="Times New Roman" w:hint="eastAsia"/>
          <w:color w:val="000000"/>
          <w:sz w:val="32"/>
          <w:szCs w:val="24"/>
        </w:rPr>
        <w:t>56.55</w:t>
      </w:r>
      <w:r>
        <w:rPr>
          <w:rFonts w:ascii="Times New Roman" w:eastAsia="仿宋" w:hAnsi="Times New Roman"/>
          <w:color w:val="000000"/>
          <w:sz w:val="32"/>
          <w:szCs w:val="24"/>
        </w:rPr>
        <w:t>万元。具体内容见下表。</w:t>
      </w:r>
      <w:bookmarkEnd w:id="22"/>
    </w:p>
    <w:p>
      <w:pPr>
        <w:jc w:val="center"/>
        <w:outlineLvl w:val="1"/>
        <w:rPr>
          <w:rFonts w:ascii="Times New Roman" w:hAnsi="宋体"/>
          <w:color w:val="000000"/>
          <w:sz w:val="32"/>
        </w:rPr>
      </w:pPr>
      <w:bookmarkStart w:id="23" w:name="_Toc66036185"/>
      <w:r>
        <w:rPr>
          <w:rFonts w:ascii="方正小标宋_GBK" w:eastAsia="方正小标宋_GBK" w:hint="eastAsia"/>
          <w:color w:val="000000"/>
          <w:sz w:val="32"/>
        </w:rPr>
        <w:t>部门政府采购预算</w:t>
      </w:r>
      <w:bookmarkEnd w:id="23"/>
    </w:p>
    <w:tbl>
      <w:tblPr>
        <w:jc w:val="center"/>
        <w:tblW w:w="1550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1984"/>
        <w:gridCol w:w="1134"/>
        <w:gridCol w:w="1531"/>
        <w:gridCol w:w="1531"/>
        <w:gridCol w:w="709"/>
        <w:gridCol w:w="907"/>
        <w:gridCol w:w="907"/>
        <w:gridCol w:w="1134"/>
        <w:gridCol w:w="1134"/>
        <w:gridCol w:w="1134"/>
        <w:gridCol w:w="1134"/>
        <w:gridCol w:w="1134"/>
        <w:gridCol w:w="1134"/>
      </w:tblGrid>
      <w:tr>
        <w:trPr>
          <w:cantSplit/>
          <w:tblHeader/>
        </w:trPr>
        <w:tc>
          <w:tcPr>
            <w:tcW w:w="8703" w:type="dxa"/>
            <w:gridSpan w:val="7"/>
            <w:tcBorders>
              <w:top w:val="single" w:sz="6" w:space="0" w:color="FFFFFF"/>
              <w:left w:val="single" w:sz="6" w:space="0" w:color="FFFFFF"/>
              <w:right w:val="single" w:sz="6" w:space="0" w:color="FFFFFF"/>
            </w:tcBorders>
            <w:vAlign w:val="center"/>
          </w:tcPr>
          <w:p>
            <w:pPr>
              <w:spacing w:line="300" w:lineRule="exact"/>
              <w:jc w:val="left"/>
              <w:rPr>
                <w:rFonts w:ascii="方正小标宋_GBK" w:eastAsia="方正小标宋_GBK"/>
                <w:color w:val="000000"/>
                <w:sz w:val="24"/>
              </w:rPr>
            </w:pPr>
            <w:r>
              <w:rPr>
                <w:rFonts w:ascii="方正小标宋_GBK" w:eastAsia="方正小标宋_GBK"/>
                <w:color w:val="000000"/>
                <w:sz w:val="24"/>
              </w:rPr>
              <w:t>816</w:t>
            </w:r>
            <w:r>
              <w:rPr>
                <w:rFonts w:ascii="方正小标宋_GBK" w:eastAsia="方正小标宋_GBK" w:hint="eastAsia"/>
                <w:color w:val="000000"/>
                <w:sz w:val="24"/>
              </w:rPr>
              <w:t>隆尧县行政审批局</w:t>
            </w:r>
          </w:p>
        </w:tc>
        <w:tc>
          <w:tcPr>
            <w:tcW w:w="6804" w:type="dxa"/>
            <w:gridSpan w:val="6"/>
            <w:tcBorders>
              <w:top w:val="single" w:sz="6" w:space="0" w:color="FFFFFF"/>
              <w:left w:val="single" w:sz="6" w:space="0" w:color="FFFFFF"/>
              <w:right w:val="single" w:sz="6" w:space="0" w:color="FFFFFF"/>
            </w:tcBorders>
            <w:vAlign w:val="center"/>
          </w:tcPr>
          <w:p>
            <w:pPr>
              <w:spacing w:line="300" w:lineRule="exact"/>
              <w:jc w:val="right"/>
              <w:rPr>
                <w:rFonts w:ascii="方正书宋_GBK" w:eastAsia="方正书宋_GBK"/>
                <w:color w:val="000000"/>
                <w:sz w:val="24"/>
              </w:rPr>
            </w:pPr>
            <w:r>
              <w:rPr>
                <w:rFonts w:ascii="方正书宋_GBK" w:eastAsia="方正书宋_GBK" w:hint="eastAsia"/>
                <w:color w:val="000000"/>
                <w:sz w:val="24"/>
              </w:rPr>
              <w:t>单位：万元</w:t>
            </w:r>
          </w:p>
        </w:tc>
      </w:tr>
      <w:tr>
        <w:trPr>
          <w:cantSplit/>
          <w:tblHeader/>
        </w:trPr>
        <w:tc>
          <w:tcPr>
            <w:tcW w:w="3118" w:type="dxa"/>
            <w:gridSpan w:val="2"/>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政府采购项目来源</w:t>
            </w:r>
          </w:p>
        </w:tc>
        <w:tc>
          <w:tcPr>
            <w:tcW w:w="1531" w:type="dxa"/>
            <w:vMerge w:val="restart"/>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采购物品名称</w:t>
            </w:r>
          </w:p>
        </w:tc>
        <w:tc>
          <w:tcPr>
            <w:tcW w:w="1531" w:type="dxa"/>
            <w:vMerge w:val="restart"/>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政府采购目录序号</w:t>
            </w:r>
          </w:p>
        </w:tc>
        <w:tc>
          <w:tcPr>
            <w:tcW w:w="709" w:type="dxa"/>
            <w:vMerge w:val="restart"/>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计量</w:t>
            </w:r>
            <w:r>
              <w:rPr>
                <w:rFonts w:ascii="方正书宋_GBK" w:eastAsia="方正书宋_GBK"/>
                <w:b/>
                <w:color w:val="000000"/>
              </w:rPr>
              <w:t xml:space="preserve">  </w:t>
            </w:r>
            <w:r>
              <w:rPr>
                <w:rFonts w:ascii="方正书宋_GBK" w:eastAsia="方正书宋_GBK" w:hint="eastAsia"/>
                <w:b/>
                <w:color w:val="000000"/>
              </w:rPr>
              <w:t>单位</w:t>
            </w:r>
          </w:p>
        </w:tc>
        <w:tc>
          <w:tcPr>
            <w:tcW w:w="907" w:type="dxa"/>
            <w:vMerge w:val="restart"/>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数量</w:t>
            </w:r>
          </w:p>
        </w:tc>
        <w:tc>
          <w:tcPr>
            <w:tcW w:w="907" w:type="dxa"/>
            <w:vMerge w:val="restart"/>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单价</w:t>
            </w:r>
          </w:p>
        </w:tc>
        <w:tc>
          <w:tcPr>
            <w:tcW w:w="6804" w:type="dxa"/>
            <w:gridSpan w:val="6"/>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政府采购金额（当年部门预算安排资金）</w:t>
            </w:r>
          </w:p>
        </w:tc>
      </w:tr>
      <w:tr>
        <w:trPr>
          <w:cantSplit/>
          <w:tblHeader/>
        </w:trPr>
        <w:tc>
          <w:tcPr>
            <w:tcW w:w="198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项目名称</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预算资金</w:t>
            </w:r>
          </w:p>
        </w:tc>
        <w:tc>
          <w:tcPr>
            <w:tcW w:w="1531" w:type="dxa"/>
            <w:vMerge/>
            <w:tcBorders>
              <w:left w:val="single" w:sz="6" w:space="0" w:color="000000"/>
            </w:tcBorders>
            <w:vAlign w:val="center"/>
          </w:tcPr>
          <w:p/>
        </w:tc>
        <w:tc>
          <w:tcPr>
            <w:tcW w:w="1531" w:type="dxa"/>
            <w:vMerge/>
            <w:tcBorders>
              <w:left w:val="single" w:sz="6" w:space="0" w:color="000000"/>
            </w:tcBorders>
            <w:vAlign w:val="center"/>
          </w:tcPr>
          <w:p/>
        </w:tc>
        <w:tc>
          <w:tcPr>
            <w:tcW w:w="709" w:type="dxa"/>
            <w:vMerge/>
            <w:tcBorders>
              <w:left w:val="single" w:sz="6" w:space="0" w:color="000000"/>
            </w:tcBorders>
            <w:vAlign w:val="center"/>
          </w:tcPr>
          <w:p/>
        </w:tc>
        <w:tc>
          <w:tcPr>
            <w:tcW w:w="907" w:type="dxa"/>
            <w:vMerge/>
            <w:tcBorders>
              <w:left w:val="single" w:sz="6" w:space="0" w:color="000000"/>
            </w:tcBorders>
            <w:vAlign w:val="center"/>
          </w:tcPr>
          <w:p/>
        </w:tc>
        <w:tc>
          <w:tcPr>
            <w:tcW w:w="907" w:type="dxa"/>
            <w:vMerge/>
            <w:tcBorders>
              <w:left w:val="single" w:sz="6" w:space="0" w:color="000000"/>
            </w:tcBorders>
            <w:vAlign w:val="center"/>
          </w:tcP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合计</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一般公共预算拨款</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基金预算拨款</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国有资本经营预算拨款</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财政专户核拨</w:t>
            </w:r>
          </w:p>
        </w:tc>
        <w:tc>
          <w:tcPr>
            <w:tcW w:w="1134" w:type="dxa"/>
            <w:tcBorders>
              <w:left w:val="single" w:sz="6" w:space="0" w:color="000000"/>
            </w:tcBorders>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单位资金</w:t>
            </w:r>
          </w:p>
        </w:tc>
      </w:tr>
      <w:tr>
        <w:trPr>
          <w:cantSplit/>
        </w:trPr>
        <w:tc>
          <w:tcPr>
            <w:tcW w:w="198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合</w:t>
            </w:r>
            <w:r>
              <w:rPr>
                <w:rFonts w:ascii="方正书宋_GBK" w:eastAsia="方正书宋_GBK"/>
                <w:b/>
                <w:color w:val="000000"/>
              </w:rPr>
              <w:t xml:space="preserve">  </w:t>
            </w:r>
            <w:r>
              <w:rPr>
                <w:rFonts w:ascii="方正书宋_GBK" w:eastAsia="方正书宋_GBK" w:hint="eastAsia"/>
                <w:b/>
                <w:color w:val="000000"/>
              </w:rPr>
              <w:t>计</w:t>
            </w: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c>
          <w:tcPr>
            <w:tcW w:w="1531" w:type="dxa"/>
            <w:tcBorders>
              <w:left w:val="single" w:sz="6" w:space="0" w:color="000000"/>
            </w:tcBorders>
            <w:vAlign w:val="center"/>
          </w:tcPr>
          <w:p>
            <w:pPr>
              <w:spacing w:line="300" w:lineRule="exact"/>
              <w:jc w:val="left"/>
              <w:rPr>
                <w:rFonts w:ascii="方正书宋_GBK" w:eastAsia="方正书宋_GBK"/>
                <w:b/>
                <w:color w:val="000000"/>
              </w:rPr>
            </w:pPr>
          </w:p>
        </w:tc>
        <w:tc>
          <w:tcPr>
            <w:tcW w:w="1531" w:type="dxa"/>
            <w:tcBorders>
              <w:left w:val="single" w:sz="6" w:space="0" w:color="000000"/>
            </w:tcBorders>
            <w:vAlign w:val="center"/>
          </w:tcPr>
          <w:p>
            <w:pPr>
              <w:spacing w:line="300" w:lineRule="exact"/>
              <w:jc w:val="left"/>
              <w:rPr>
                <w:rFonts w:ascii="方正书宋_GBK" w:eastAsia="方正书宋_GBK"/>
                <w:b/>
                <w:color w:val="000000"/>
              </w:rPr>
            </w:pPr>
          </w:p>
        </w:tc>
        <w:tc>
          <w:tcPr>
            <w:tcW w:w="709" w:type="dxa"/>
            <w:tcBorders>
              <w:left w:val="single" w:sz="6" w:space="0" w:color="000000"/>
            </w:tcBorders>
            <w:vAlign w:val="center"/>
          </w:tcPr>
          <w:p>
            <w:pPr>
              <w:spacing w:line="300" w:lineRule="exact"/>
              <w:jc w:val="center"/>
              <w:rPr>
                <w:rFonts w:ascii="方正书宋_GBK" w:eastAsia="方正书宋_GBK"/>
                <w:b/>
                <w:color w:val="000000"/>
              </w:rPr>
            </w:pPr>
          </w:p>
        </w:tc>
        <w:tc>
          <w:tcPr>
            <w:tcW w:w="907" w:type="dxa"/>
            <w:tcBorders>
              <w:left w:val="single" w:sz="6" w:space="0" w:color="000000"/>
            </w:tcBorders>
            <w:vAlign w:val="center"/>
          </w:tcPr>
          <w:p>
            <w:pPr>
              <w:spacing w:line="300" w:lineRule="exact"/>
              <w:jc w:val="right"/>
              <w:rPr>
                <w:rFonts w:ascii="方正书宋_GBK" w:eastAsia="方正书宋_GBK"/>
                <w:b/>
                <w:color w:val="000000"/>
              </w:rPr>
            </w:pPr>
          </w:p>
        </w:tc>
        <w:tc>
          <w:tcPr>
            <w:tcW w:w="907" w:type="dxa"/>
            <w:tcBorders>
              <w:left w:val="single" w:sz="6" w:space="0" w:color="000000"/>
            </w:tcBorders>
            <w:vAlign w:val="center"/>
          </w:tcPr>
          <w:p>
            <w:pPr>
              <w:spacing w:line="300" w:lineRule="exact"/>
              <w:jc w:val="right"/>
              <w:rPr>
                <w:rFonts w:ascii="方正书宋_GBK" w:eastAsia="方正书宋_GBK"/>
                <w:b/>
                <w:color w:val="000000"/>
              </w:rPr>
            </w:pPr>
          </w:p>
        </w:tc>
        <w:tc>
          <w:tcPr>
            <w:tcW w:w="1134" w:type="dxa"/>
            <w:tcBorders>
              <w:left w:val="single" w:sz="6" w:space="0" w:color="000000"/>
            </w:tcBorders>
            <w:vAlign w:val="center"/>
          </w:tcPr>
          <w:p>
            <w:pPr>
              <w:spacing w:line="300" w:lineRule="exact"/>
              <w:jc w:val="right"/>
              <w:rPr>
                <w:rFonts w:ascii="方正书宋_GBK" w:eastAsia="方正书宋_GBK"/>
                <w:b/>
                <w:color w:val="000000"/>
              </w:rPr>
            </w:pPr>
            <w:r>
              <w:rPr>
                <w:rFonts w:ascii="方正书宋_GBK" w:eastAsia="方正书宋_GBK" w:hint="eastAsia"/>
                <w:b/>
                <w:color w:val="000000"/>
              </w:rPr>
              <w:t>56.55</w:t>
            </w:r>
          </w:p>
        </w:tc>
        <w:tc>
          <w:tcPr>
            <w:tcW w:w="1134" w:type="dxa"/>
            <w:tcBorders>
              <w:left w:val="single" w:sz="6" w:space="0" w:color="000000"/>
            </w:tcBorders>
            <w:vAlign w:val="center"/>
          </w:tcPr>
          <w:p>
            <w:pPr>
              <w:spacing w:line="300" w:lineRule="exact"/>
              <w:jc w:val="right"/>
              <w:rPr>
                <w:rFonts w:ascii="方正书宋_GBK" w:eastAsia="方正书宋_GBK"/>
                <w:b/>
                <w:color w:val="000000"/>
              </w:rPr>
            </w:pPr>
            <w:r>
              <w:rPr>
                <w:rFonts w:ascii="方正书宋_GBK" w:eastAsia="方正书宋_GBK" w:hint="eastAsia"/>
                <w:b/>
                <w:color w:val="000000"/>
              </w:rPr>
              <w:t>56.55</w:t>
            </w: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r>
      <w:tr>
        <w:trPr>
          <w:cantSplit/>
        </w:trPr>
        <w:tc>
          <w:tcPr>
            <w:tcW w:w="1984" w:type="dxa"/>
            <w:vAlign w:val="center"/>
          </w:tcPr>
          <w:p>
            <w:pPr>
              <w:spacing w:line="300" w:lineRule="exact"/>
              <w:jc w:val="center"/>
              <w:rPr>
                <w:rFonts w:ascii="方正书宋_GBK" w:eastAsia="方正书宋_GBK"/>
                <w:b/>
                <w:color w:val="000000"/>
              </w:rPr>
            </w:pPr>
            <w:r>
              <w:rPr>
                <w:rFonts w:ascii="方正书宋_GBK" w:eastAsia="方正书宋_GBK" w:hint="eastAsia"/>
                <w:b/>
                <w:color w:val="000000"/>
              </w:rPr>
              <w:t>隆尧县行政审批局本级小计</w:t>
            </w: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c>
          <w:tcPr>
            <w:tcW w:w="1531" w:type="dxa"/>
            <w:tcBorders>
              <w:left w:val="single" w:sz="6" w:space="0" w:color="000000"/>
            </w:tcBorders>
            <w:vAlign w:val="center"/>
          </w:tcPr>
          <w:p>
            <w:pPr>
              <w:spacing w:line="300" w:lineRule="exact"/>
              <w:jc w:val="left"/>
              <w:rPr>
                <w:rFonts w:ascii="方正书宋_GBK" w:eastAsia="方正书宋_GBK"/>
                <w:b/>
                <w:color w:val="000000"/>
              </w:rPr>
            </w:pPr>
          </w:p>
        </w:tc>
        <w:tc>
          <w:tcPr>
            <w:tcW w:w="1531" w:type="dxa"/>
            <w:tcBorders>
              <w:left w:val="single" w:sz="6" w:space="0" w:color="000000"/>
            </w:tcBorders>
            <w:vAlign w:val="center"/>
          </w:tcPr>
          <w:p>
            <w:pPr>
              <w:spacing w:line="300" w:lineRule="exact"/>
              <w:jc w:val="left"/>
              <w:rPr>
                <w:rFonts w:ascii="方正书宋_GBK" w:eastAsia="方正书宋_GBK"/>
                <w:b/>
                <w:color w:val="000000"/>
              </w:rPr>
            </w:pPr>
          </w:p>
        </w:tc>
        <w:tc>
          <w:tcPr>
            <w:tcW w:w="709" w:type="dxa"/>
            <w:tcBorders>
              <w:left w:val="single" w:sz="6" w:space="0" w:color="000000"/>
            </w:tcBorders>
            <w:vAlign w:val="center"/>
          </w:tcPr>
          <w:p>
            <w:pPr>
              <w:spacing w:line="300" w:lineRule="exact"/>
              <w:jc w:val="center"/>
              <w:rPr>
                <w:rFonts w:ascii="方正书宋_GBK" w:eastAsia="方正书宋_GBK"/>
                <w:b/>
                <w:color w:val="000000"/>
              </w:rPr>
            </w:pPr>
          </w:p>
        </w:tc>
        <w:tc>
          <w:tcPr>
            <w:tcW w:w="907" w:type="dxa"/>
            <w:tcBorders>
              <w:left w:val="single" w:sz="6" w:space="0" w:color="000000"/>
            </w:tcBorders>
            <w:vAlign w:val="center"/>
          </w:tcPr>
          <w:p>
            <w:pPr>
              <w:spacing w:line="300" w:lineRule="exact"/>
              <w:jc w:val="right"/>
              <w:rPr>
                <w:rFonts w:ascii="方正书宋_GBK" w:eastAsia="方正书宋_GBK"/>
                <w:b/>
                <w:color w:val="000000"/>
              </w:rPr>
            </w:pPr>
          </w:p>
        </w:tc>
        <w:tc>
          <w:tcPr>
            <w:tcW w:w="907" w:type="dxa"/>
            <w:tcBorders>
              <w:left w:val="single" w:sz="6" w:space="0" w:color="000000"/>
            </w:tcBorders>
            <w:vAlign w:val="center"/>
          </w:tcPr>
          <w:p>
            <w:pPr>
              <w:spacing w:line="300" w:lineRule="exact"/>
              <w:jc w:val="right"/>
              <w:rPr>
                <w:rFonts w:ascii="方正书宋_GBK" w:eastAsia="方正书宋_GBK"/>
                <w:b/>
                <w:color w:val="000000"/>
              </w:rPr>
            </w:pPr>
          </w:p>
        </w:tc>
        <w:tc>
          <w:tcPr>
            <w:tcW w:w="1134" w:type="dxa"/>
            <w:tcBorders>
              <w:left w:val="single" w:sz="6" w:space="0" w:color="000000"/>
            </w:tcBorders>
            <w:vAlign w:val="center"/>
          </w:tcPr>
          <w:p>
            <w:pPr>
              <w:spacing w:line="300" w:lineRule="exact"/>
              <w:jc w:val="right"/>
              <w:rPr>
                <w:rFonts w:ascii="方正书宋_GBK" w:eastAsia="方正书宋_GBK"/>
                <w:b/>
                <w:color w:val="000000"/>
              </w:rPr>
            </w:pPr>
            <w:r>
              <w:rPr>
                <w:rFonts w:ascii="方正书宋_GBK" w:eastAsia="方正书宋_GBK" w:hint="eastAsia"/>
                <w:b/>
                <w:color w:val="000000"/>
              </w:rPr>
              <w:t>56.55</w:t>
            </w:r>
          </w:p>
        </w:tc>
        <w:tc>
          <w:tcPr>
            <w:tcW w:w="1134" w:type="dxa"/>
            <w:tcBorders>
              <w:left w:val="single" w:sz="6" w:space="0" w:color="000000"/>
            </w:tcBorders>
            <w:vAlign w:val="center"/>
          </w:tcPr>
          <w:p>
            <w:pPr>
              <w:spacing w:line="300" w:lineRule="exact"/>
              <w:jc w:val="right"/>
              <w:rPr>
                <w:rFonts w:ascii="方正书宋_GBK" w:eastAsia="方正书宋_GBK"/>
                <w:b/>
                <w:color w:val="000000"/>
              </w:rPr>
            </w:pPr>
            <w:r>
              <w:rPr>
                <w:rFonts w:ascii="方正书宋_GBK" w:eastAsia="方正书宋_GBK" w:hint="eastAsia"/>
                <w:b/>
                <w:color w:val="000000"/>
              </w:rPr>
              <w:t>56.55</w:t>
            </w: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c>
          <w:tcPr>
            <w:tcW w:w="1134" w:type="dxa"/>
            <w:tcBorders>
              <w:left w:val="single" w:sz="6" w:space="0" w:color="000000"/>
            </w:tcBorders>
            <w:vAlign w:val="center"/>
          </w:tcPr>
          <w:p>
            <w:pPr>
              <w:spacing w:line="300" w:lineRule="exact"/>
              <w:jc w:val="right"/>
              <w:rPr>
                <w:rFonts w:ascii="方正书宋_GBK" w:eastAsia="方正书宋_GBK"/>
                <w:b/>
                <w:color w:val="000000"/>
              </w:rPr>
            </w:pPr>
          </w:p>
        </w:tc>
      </w:tr>
      <w:tr>
        <w:trPr>
          <w:cantSplit/>
        </w:trPr>
        <w:tc>
          <w:tcPr>
            <w:tcW w:w="1984" w:type="dxa"/>
            <w:vAlign w:val="center"/>
          </w:tcPr>
          <w:p>
            <w:pPr>
              <w:spacing w:line="300" w:lineRule="exact"/>
              <w:jc w:val="left"/>
              <w:rPr>
                <w:rFonts w:ascii="方正书宋_GBK" w:eastAsia="方正书宋_GBK"/>
                <w:color w:val="000000"/>
              </w:rPr>
            </w:pPr>
            <w:r>
              <w:rPr>
                <w:rFonts w:ascii="方正书宋_GBK" w:eastAsia="方正书宋_GBK" w:hint="eastAsia"/>
                <w:color w:val="000000"/>
              </w:rPr>
              <w:t>运转类公用项目</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30.99</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复印纸</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A090101</w:t>
            </w:r>
          </w:p>
        </w:tc>
        <w:tc>
          <w:tcPr>
            <w:tcW w:w="709" w:type="dxa"/>
            <w:tcBorders>
              <w:left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hint="eastAsia"/>
                <w:color w:val="000000"/>
              </w:rPr>
              <w:t>批</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color w:val="000000"/>
              </w:rPr>
              <w:t>1</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2</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2</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2</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r>
      <w:tr>
        <w:trPr>
          <w:cantSplit/>
        </w:trPr>
        <w:tc>
          <w:tcPr>
            <w:tcW w:w="1984" w:type="dxa"/>
            <w:vAlign w:val="center"/>
          </w:tcPr>
          <w:p>
            <w:pPr>
              <w:spacing w:line="300" w:lineRule="exact"/>
              <w:jc w:val="left"/>
              <w:rPr>
                <w:rFonts w:ascii="方正书宋_GBK" w:eastAsia="方正书宋_GBK"/>
                <w:color w:val="000000"/>
              </w:rPr>
            </w:pPr>
            <w:r>
              <w:rPr>
                <w:rFonts w:ascii="方正书宋_GBK" w:eastAsia="方正书宋_GBK" w:hint="eastAsia"/>
                <w:color w:val="000000"/>
              </w:rPr>
              <w:t>隆尧县乡镇、村党群服务中心视频监控项目</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50</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计算机设备和软件租赁服务</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C0401</w:t>
            </w:r>
          </w:p>
        </w:tc>
        <w:tc>
          <w:tcPr>
            <w:tcW w:w="709" w:type="dxa"/>
            <w:tcBorders>
              <w:left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hint="eastAsia"/>
                <w:color w:val="000000"/>
              </w:rPr>
              <w:t>批</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color w:val="000000"/>
              </w:rPr>
              <w:t>1</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50</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50</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50</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r>
      <w:tr>
        <w:trPr>
          <w:cantSplit/>
        </w:trPr>
        <w:tc>
          <w:tcPr>
            <w:tcW w:w="1984" w:type="dxa"/>
            <w:vAlign w:val="center"/>
          </w:tcPr>
          <w:p>
            <w:pPr>
              <w:spacing w:line="300" w:lineRule="exact"/>
              <w:jc w:val="left"/>
              <w:rPr>
                <w:rFonts w:ascii="方正书宋_GBK" w:eastAsia="方正书宋_GBK"/>
                <w:color w:val="000000"/>
              </w:rPr>
            </w:pPr>
            <w:r>
              <w:rPr>
                <w:rFonts w:ascii="方正书宋_GBK" w:eastAsia="方正书宋_GBK" w:hint="eastAsia"/>
                <w:color w:val="000000"/>
              </w:rPr>
              <w:t>行政审批经费</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27</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台式计算机</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A02010104</w:t>
            </w:r>
          </w:p>
        </w:tc>
        <w:tc>
          <w:tcPr>
            <w:tcW w:w="709" w:type="dxa"/>
            <w:tcBorders>
              <w:left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hint="eastAsia"/>
                <w:color w:val="000000"/>
              </w:rPr>
              <w:t>台</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color w:val="000000"/>
              </w:rPr>
              <w:t>7</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0.48</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3.36</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3.36</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r>
      <w:tr>
        <w:trPr>
          <w:cantSplit/>
        </w:trPr>
        <w:tc>
          <w:tcPr>
            <w:tcW w:w="1984" w:type="dxa"/>
            <w:vAlign w:val="center"/>
          </w:tcPr>
          <w:p>
            <w:pPr>
              <w:spacing w:line="300" w:lineRule="exact"/>
              <w:jc w:val="left"/>
              <w:rPr>
                <w:rFonts w:ascii="方正书宋_GBK" w:eastAsia="方正书宋_GBK"/>
                <w:color w:val="000000"/>
              </w:rPr>
            </w:pPr>
            <w:r>
              <w:rPr>
                <w:rFonts w:ascii="方正书宋_GBK" w:eastAsia="方正书宋_GBK" w:hint="eastAsia"/>
                <w:color w:val="000000"/>
              </w:rPr>
              <w:t>行政审批经费</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27</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复印机</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A020201</w:t>
            </w:r>
          </w:p>
        </w:tc>
        <w:tc>
          <w:tcPr>
            <w:tcW w:w="709" w:type="dxa"/>
            <w:tcBorders>
              <w:left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hint="eastAsia"/>
                <w:color w:val="000000"/>
              </w:rPr>
              <w:t>台</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color w:val="000000"/>
              </w:rPr>
              <w:t>1</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0.19</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0.19</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0.19</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r>
      <w:tr>
        <w:trPr>
          <w:cantSplit/>
        </w:trPr>
        <w:tc>
          <w:tcPr>
            <w:tcW w:w="1984" w:type="dxa"/>
            <w:vAlign w:val="center"/>
          </w:tcPr>
          <w:p>
            <w:pPr>
              <w:spacing w:line="300" w:lineRule="exact"/>
              <w:jc w:val="left"/>
              <w:rPr>
                <w:rFonts w:ascii="方正书宋_GBK" w:eastAsia="方正书宋_GBK"/>
                <w:color w:val="000000"/>
              </w:rPr>
            </w:pPr>
            <w:r>
              <w:rPr>
                <w:rFonts w:ascii="方正书宋_GBK" w:eastAsia="方正书宋_GBK" w:hint="eastAsia"/>
                <w:color w:val="000000"/>
              </w:rPr>
              <w:t>政府采购中心经费</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9.3</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hint="eastAsia"/>
                <w:color w:val="000000"/>
              </w:rPr>
              <w:t>复印纸</w:t>
            </w:r>
          </w:p>
        </w:tc>
        <w:tc>
          <w:tcPr>
            <w:tcW w:w="1531" w:type="dxa"/>
            <w:tcBorders>
              <w:left w:val="single" w:sz="6" w:space="0" w:color="000000"/>
            </w:tcBorders>
            <w:vAlign w:val="center"/>
          </w:tcPr>
          <w:p>
            <w:pPr>
              <w:spacing w:line="300" w:lineRule="exact"/>
              <w:jc w:val="left"/>
              <w:rPr>
                <w:rFonts w:ascii="方正书宋_GBK" w:eastAsia="方正书宋_GBK"/>
                <w:color w:val="000000"/>
              </w:rPr>
            </w:pPr>
            <w:r>
              <w:rPr>
                <w:rFonts w:ascii="方正书宋_GBK" w:eastAsia="方正书宋_GBK"/>
                <w:color w:val="000000"/>
              </w:rPr>
              <w:t>A090101</w:t>
            </w:r>
          </w:p>
        </w:tc>
        <w:tc>
          <w:tcPr>
            <w:tcW w:w="709" w:type="dxa"/>
            <w:tcBorders>
              <w:left w:val="single" w:sz="6" w:space="0" w:color="000000"/>
            </w:tcBorders>
            <w:vAlign w:val="center"/>
          </w:tcPr>
          <w:p>
            <w:pPr>
              <w:spacing w:line="300" w:lineRule="exact"/>
              <w:jc w:val="center"/>
              <w:rPr>
                <w:rFonts w:ascii="方正书宋_GBK" w:eastAsia="方正书宋_GBK"/>
                <w:color w:val="000000"/>
              </w:rPr>
            </w:pPr>
            <w:r>
              <w:rPr>
                <w:rFonts w:ascii="方正书宋_GBK" w:eastAsia="方正书宋_GBK" w:hint="eastAsia"/>
                <w:color w:val="000000"/>
              </w:rPr>
              <w:t>批</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color w:val="000000"/>
              </w:rPr>
              <w:t>1</w:t>
            </w:r>
          </w:p>
        </w:tc>
        <w:tc>
          <w:tcPr>
            <w:tcW w:w="907"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1</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1</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r>
              <w:rPr>
                <w:rFonts w:ascii="方正书宋_GBK" w:eastAsia="方正书宋_GBK" w:hint="eastAsia"/>
                <w:color w:val="000000"/>
              </w:rPr>
              <w:t>1</w:t>
            </w: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c>
          <w:tcPr>
            <w:tcW w:w="1134" w:type="dxa"/>
            <w:tcBorders>
              <w:left w:val="single" w:sz="6" w:space="0" w:color="000000"/>
            </w:tcBorders>
            <w:vAlign w:val="center"/>
          </w:tcPr>
          <w:p>
            <w:pPr>
              <w:spacing w:line="300" w:lineRule="exact"/>
              <w:jc w:val="right"/>
              <w:rPr>
                <w:rFonts w:ascii="方正书宋_GBK" w:eastAsia="方正书宋_GBK"/>
                <w:color w:val="000000"/>
              </w:rPr>
            </w:pPr>
          </w:p>
        </w:tc>
      </w:tr>
    </w:tbl>
    <w:p>
      <w:pPr>
        <w:spacing w:line="300" w:lineRule="exact"/>
        <w:jc w:val="left"/>
        <w:outlineLvl w:val="1"/>
        <w:rPr>
          <w:rFonts w:ascii="Times New Roman" w:eastAsia="方正仿宋_GBK" w:hAnsi="Times New Roman"/>
          <w:color w:val="000000"/>
          <w:sz w:val="28"/>
        </w:rPr>
        <w:sectPr>
          <w:pgSz w:w="16839" w:h="11907" w:orient="landscape"/>
          <w:pgMar w:top="1361" w:right="1020" w:bottom="1361" w:left="1020" w:header="851" w:footer="992" w:gutter="0"/>
          <w:cols w:num="1" w:space="720"/>
          <w:docGrid w:type="lines" w:linePitch="312" w:charSpace="0"/>
        </w:sectPr>
      </w:pPr>
    </w:p>
    <w:p>
      <w:pPr>
        <w:autoSpaceDE w:val="0"/>
        <w:autoSpaceDN w:val="0"/>
        <w:ind w:firstLineChars="200" w:firstLine="640"/>
        <w:rPr>
          <w:rFonts w:ascii="黑体" w:eastAsia="黑体" w:hAnsi="黑体"/>
          <w:color w:val="000000"/>
          <w:sz w:val="32"/>
          <w:szCs w:val="32"/>
        </w:rPr>
      </w:pPr>
      <w:r>
        <w:rPr>
          <w:rFonts w:ascii="黑体" w:eastAsia="黑体" w:hAnsi="黑体" w:hint="eastAsia"/>
          <w:color w:val="000000"/>
          <w:sz w:val="32"/>
          <w:szCs w:val="32"/>
        </w:rPr>
        <w:t>七、国有资产信息</w:t>
      </w:r>
    </w:p>
    <w:p>
      <w:pPr>
        <w:ind w:firstLine="640"/>
        <w:rPr>
          <w:rFonts w:ascii="Times New Roman" w:eastAsia="仿宋" w:hAnsi="Times New Roman"/>
          <w:color w:val="000000"/>
          <w:sz w:val="32"/>
          <w:szCs w:val="32"/>
        </w:rPr>
      </w:pPr>
      <w:r>
        <w:rPr>
          <w:rFonts w:ascii="Times New Roman" w:eastAsia="仿宋" w:hAnsi="Times New Roman" w:hint="eastAsia"/>
          <w:color w:val="000000"/>
          <w:sz w:val="32"/>
          <w:szCs w:val="32"/>
        </w:rPr>
        <w:t>隆尧县行政审批局2020</w:t>
      </w:r>
      <w:r>
        <w:rPr>
          <w:rFonts w:ascii="Times New Roman" w:eastAsia="仿宋" w:hAnsi="Times New Roman"/>
          <w:color w:val="000000"/>
          <w:sz w:val="32"/>
          <w:szCs w:val="32"/>
        </w:rPr>
        <w:t>年末固定资产金额为</w:t>
      </w:r>
      <w:r>
        <w:rPr>
          <w:rFonts w:ascii="Times New Roman" w:eastAsia="仿宋" w:hAnsi="Times New Roman" w:hint="eastAsia"/>
          <w:color w:val="000000"/>
          <w:sz w:val="32"/>
          <w:szCs w:val="32"/>
        </w:rPr>
        <w:t>244.75</w:t>
      </w:r>
      <w:r>
        <w:rPr>
          <w:rFonts w:ascii="Times New Roman" w:eastAsia="仿宋" w:hAnsi="Times New Roman"/>
          <w:color w:val="000000"/>
          <w:sz w:val="32"/>
          <w:szCs w:val="32"/>
        </w:rPr>
        <w:t>万元（详见下表），本年度各单位</w:t>
      </w:r>
      <w:r>
        <w:rPr>
          <w:rFonts w:ascii="Times New Roman" w:eastAsia="仿宋" w:hAnsi="Times New Roman" w:hint="eastAsia"/>
          <w:color w:val="000000"/>
          <w:sz w:val="32"/>
          <w:szCs w:val="32"/>
        </w:rPr>
        <w:t>（处室）</w:t>
      </w:r>
      <w:r>
        <w:rPr>
          <w:rFonts w:ascii="Times New Roman" w:eastAsia="仿宋" w:hAnsi="Times New Roman"/>
          <w:color w:val="000000"/>
          <w:sz w:val="32"/>
          <w:szCs w:val="32"/>
        </w:rPr>
        <w:t>拟购置固定资产</w:t>
      </w:r>
      <w:r>
        <w:rPr>
          <w:rFonts w:ascii="Times New Roman" w:eastAsia="仿宋" w:hAnsi="Times New Roman" w:hint="eastAsia"/>
          <w:color w:val="000000"/>
          <w:sz w:val="32"/>
          <w:szCs w:val="32"/>
        </w:rPr>
        <w:t>总额为0</w:t>
      </w:r>
      <w:r>
        <w:rPr>
          <w:rFonts w:ascii="Times New Roman" w:eastAsia="仿宋" w:hAnsi="Times New Roman"/>
          <w:color w:val="000000"/>
          <w:sz w:val="32"/>
          <w:szCs w:val="32"/>
        </w:rPr>
        <w:t>万元</w:t>
      </w:r>
      <w:r>
        <w:rPr>
          <w:rFonts w:ascii="Times New Roman" w:eastAsia="仿宋" w:hAnsi="Times New Roman" w:hint="eastAsia"/>
          <w:color w:val="000000"/>
          <w:sz w:val="32"/>
          <w:szCs w:val="32"/>
        </w:rPr>
        <w:t>。</w:t>
      </w:r>
    </w:p>
    <w:tbl>
      <w:tblPr>
        <w:jc w:val="left"/>
        <w:tblInd w:w="93" w:type="dxa"/>
        <w:tblW w:w="13482"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Look w:val="04A0" w:firstRow="1" w:lastRow="0" w:firstColumn="1" w:lastColumn="0" w:noHBand="0" w:noVBand="1"/>
      </w:tblPr>
      <w:tblGrid>
        <w:gridCol w:w="5224"/>
        <w:gridCol w:w="3155"/>
        <w:gridCol w:w="5103"/>
      </w:tblGrid>
      <w:tr>
        <w:trPr>
          <w:trHeight w:val="705"/>
        </w:trPr>
        <w:tc>
          <w:tcPr>
            <w:tcW w:w="13482" w:type="dxa"/>
            <w:gridSpan w:val="3"/>
            <w:tcBorders>
              <w:top w:val="nil"/>
              <w:left w:val="nil"/>
              <w:bottom w:val="nil"/>
              <w:right w:val="nil"/>
            </w:tcBorders>
            <w:vAlign w:val="center"/>
          </w:tcPr>
          <w:p>
            <w:pPr>
              <w:jc w:val="center"/>
              <w:rPr>
                <w:rFonts w:ascii="宋体" w:cs="宋体" w:hAnsi="宋体"/>
                <w:b/>
                <w:bCs/>
                <w:color w:val="000000"/>
                <w:sz w:val="32"/>
                <w:szCs w:val="32"/>
              </w:rPr>
            </w:pPr>
            <w:r>
              <w:rPr>
                <w:rFonts w:ascii="宋体" w:cs="宋体" w:hAnsi="宋体" w:hint="eastAsia"/>
                <w:b/>
                <w:bCs/>
                <w:color w:val="000000"/>
                <w:sz w:val="32"/>
                <w:szCs w:val="32"/>
              </w:rPr>
              <w:t>隆尧县行政审批局固定资产占用情况表</w:t>
            </w:r>
          </w:p>
        </w:tc>
      </w:tr>
      <w:tr>
        <w:trPr>
          <w:trHeight w:val="510"/>
        </w:trPr>
        <w:tc>
          <w:tcPr>
            <w:tcW w:w="8379" w:type="dxa"/>
            <w:gridSpan w:val="2"/>
            <w:tcBorders>
              <w:top w:val="nil"/>
              <w:left w:val="nil"/>
              <w:bottom w:val="nil"/>
              <w:right w:val="nil"/>
            </w:tcBorders>
            <w:vAlign w:val="center"/>
          </w:tcPr>
          <w:p>
            <w:pPr>
              <w:rPr>
                <w:rFonts w:ascii="Times New Roman" w:eastAsia="仿宋" w:hAnsi="Times New Roman"/>
                <w:color w:val="000000"/>
              </w:rPr>
            </w:pPr>
            <w:r>
              <w:rPr>
                <w:rFonts w:ascii="Times New Roman" w:eastAsia="仿宋" w:hAnsi="Times New Roman"/>
                <w:color w:val="000000"/>
              </w:rPr>
              <w:t>编制部门：</w:t>
            </w:r>
          </w:p>
        </w:tc>
        <w:tc>
          <w:tcPr>
            <w:tcW w:w="5103" w:type="dxa"/>
            <w:tcBorders>
              <w:top w:val="nil"/>
              <w:left w:val="nil"/>
              <w:bottom w:val="nil"/>
              <w:right w:val="nil"/>
            </w:tcBorders>
            <w:vAlign w:val="center"/>
          </w:tcPr>
          <w:p>
            <w:pPr>
              <w:ind w:firstLineChars="600" w:firstLine="1260"/>
              <w:rPr>
                <w:rFonts w:ascii="Times New Roman" w:eastAsia="仿宋" w:hAnsi="Times New Roman"/>
                <w:color w:val="000000"/>
              </w:rPr>
            </w:pPr>
            <w:r>
              <w:rPr>
                <w:rFonts w:ascii="Times New Roman" w:eastAsia="仿宋" w:hAnsi="Times New Roman"/>
                <w:color w:val="000000"/>
              </w:rPr>
              <w:t>截止时间：</w:t>
            </w:r>
            <w:r>
              <w:rPr>
                <w:rFonts w:ascii="Times New Roman" w:eastAsia="仿宋" w:hAnsi="Times New Roman" w:hint="eastAsia"/>
                <w:color w:val="000000"/>
              </w:rPr>
              <w:t>2020</w:t>
            </w:r>
            <w:r>
              <w:rPr>
                <w:rFonts w:ascii="Times New Roman" w:eastAsia="仿宋" w:hAnsi="Times New Roman"/>
                <w:color w:val="000000"/>
              </w:rPr>
              <w:t>年12月31日</w:t>
            </w:r>
          </w:p>
        </w:tc>
      </w:tr>
      <w:tr>
        <w:trPr>
          <w:trHeight w:val="645"/>
        </w:trPr>
        <w:tc>
          <w:tcPr>
            <w:tcW w:w="5224" w:type="dxa"/>
            <w:tcBorders>
              <w:top w:val="single" w:sz="4" w:space="0" w:color="auto"/>
              <w:left w:val="single" w:sz="4" w:space="0" w:color="auto"/>
              <w:bottom w:val="single" w:sz="4" w:space="0" w:color="auto"/>
              <w:right w:val="single" w:sz="4" w:space="0" w:color="auto"/>
            </w:tcBorders>
            <w:vAlign w:val="center"/>
          </w:tcPr>
          <w:p>
            <w:pPr>
              <w:jc w:val="center"/>
              <w:rPr>
                <w:rFonts w:ascii="宋体" w:cs="宋体" w:hAnsi="宋体"/>
                <w:b/>
                <w:bCs/>
                <w:color w:val="000000"/>
              </w:rPr>
            </w:pPr>
            <w:r>
              <w:rPr>
                <w:rFonts w:ascii="宋体" w:cs="宋体" w:hAnsi="宋体" w:hint="eastAsia"/>
                <w:b/>
                <w:bCs/>
                <w:color w:val="000000"/>
              </w:rPr>
              <w:t>项目</w:t>
            </w:r>
          </w:p>
        </w:tc>
        <w:tc>
          <w:tcPr>
            <w:tcW w:w="3155" w:type="dxa"/>
            <w:tcBorders>
              <w:top w:val="single" w:sz="4" w:space="0" w:color="auto"/>
              <w:left w:val="nil"/>
              <w:bottom w:val="single" w:sz="4" w:space="0" w:color="auto"/>
              <w:right w:val="single" w:sz="4" w:space="0" w:color="auto"/>
            </w:tcBorders>
            <w:vAlign w:val="center"/>
          </w:tcPr>
          <w:p>
            <w:pPr>
              <w:jc w:val="center"/>
              <w:rPr>
                <w:rFonts w:ascii="宋体" w:cs="宋体" w:hAnsi="宋体"/>
                <w:b/>
                <w:bCs/>
                <w:color w:val="000000"/>
              </w:rPr>
            </w:pPr>
            <w:r>
              <w:rPr>
                <w:rFonts w:ascii="宋体" w:cs="宋体" w:hAnsi="宋体" w:hint="eastAsia"/>
                <w:b/>
                <w:bCs/>
                <w:color w:val="000000"/>
              </w:rPr>
              <w:t>数量</w:t>
            </w:r>
          </w:p>
        </w:tc>
        <w:tc>
          <w:tcPr>
            <w:tcW w:w="5103" w:type="dxa"/>
            <w:tcBorders>
              <w:top w:val="single" w:sz="4" w:space="0" w:color="auto"/>
              <w:left w:val="nil"/>
              <w:bottom w:val="single" w:sz="4" w:space="0" w:color="auto"/>
              <w:right w:val="single" w:sz="4" w:space="0" w:color="auto"/>
            </w:tcBorders>
            <w:vAlign w:val="center"/>
          </w:tcPr>
          <w:p>
            <w:pPr>
              <w:jc w:val="center"/>
              <w:rPr>
                <w:rFonts w:ascii="宋体" w:cs="宋体" w:hAnsi="宋体"/>
                <w:b/>
                <w:bCs/>
                <w:color w:val="000000"/>
              </w:rPr>
            </w:pPr>
            <w:r>
              <w:rPr>
                <w:rFonts w:ascii="宋体" w:cs="宋体" w:hAnsi="宋体" w:hint="eastAsia"/>
                <w:b/>
                <w:bCs/>
                <w:color w:val="000000"/>
              </w:rPr>
              <w:t>价值（金额单位：万元）</w:t>
            </w:r>
          </w:p>
        </w:tc>
      </w:tr>
      <w:tr>
        <w:trPr>
          <w:trHeight w:val="645"/>
        </w:trPr>
        <w:tc>
          <w:tcPr>
            <w:tcW w:w="5224" w:type="dxa"/>
            <w:tcBorders>
              <w:top w:val="nil"/>
              <w:left w:val="single" w:sz="4" w:space="0" w:color="auto"/>
              <w:bottom w:val="single" w:sz="4" w:space="0" w:color="auto"/>
              <w:right w:val="single" w:sz="4" w:space="0" w:color="auto"/>
            </w:tcBorders>
            <w:vAlign w:val="center"/>
          </w:tcPr>
          <w:p>
            <w:pPr>
              <w:jc w:val="center"/>
              <w:rPr>
                <w:rFonts w:ascii="Times New Roman" w:eastAsia="仿宋" w:hAnsi="Times New Roman"/>
                <w:color w:val="000000"/>
              </w:rPr>
            </w:pPr>
            <w:r>
              <w:rPr>
                <w:rFonts w:ascii="Times New Roman" w:eastAsia="仿宋" w:hAnsi="Times New Roman"/>
                <w:color w:val="000000"/>
              </w:rPr>
              <w:t>资产总额</w:t>
            </w:r>
          </w:p>
        </w:tc>
        <w:tc>
          <w:tcPr>
            <w:tcW w:w="3155"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r>
              <w:rPr>
                <w:rFonts w:ascii="Times New Roman" w:eastAsia="仿宋" w:hAnsi="Times New Roman"/>
                <w:color w:val="000000"/>
              </w:rPr>
              <w:t>——</w:t>
            </w:r>
          </w:p>
        </w:tc>
        <w:tc>
          <w:tcPr>
            <w:tcW w:w="5103"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r>
              <w:rPr>
                <w:rFonts w:ascii="Times New Roman" w:eastAsia="仿宋" w:hAnsi="Times New Roman" w:hint="eastAsia"/>
                <w:color w:val="000000"/>
              </w:rPr>
              <w:t>244.75</w:t>
            </w:r>
          </w:p>
        </w:tc>
      </w:tr>
      <w:tr>
        <w:trPr>
          <w:trHeight w:val="645"/>
        </w:trPr>
        <w:tc>
          <w:tcPr>
            <w:tcW w:w="5224" w:type="dxa"/>
            <w:tcBorders>
              <w:top w:val="nil"/>
              <w:left w:val="single" w:sz="4" w:space="0" w:color="auto"/>
              <w:bottom w:val="single" w:sz="4" w:space="0" w:color="auto"/>
              <w:right w:val="single" w:sz="4" w:space="0" w:color="auto"/>
            </w:tcBorders>
            <w:vAlign w:val="center"/>
          </w:tcPr>
          <w:p>
            <w:pPr>
              <w:rPr>
                <w:rFonts w:ascii="Times New Roman" w:eastAsia="仿宋" w:hAnsi="Times New Roman"/>
                <w:color w:val="000000"/>
              </w:rPr>
            </w:pPr>
            <w:r>
              <w:rPr>
                <w:rFonts w:ascii="Times New Roman" w:eastAsia="仿宋" w:hAnsi="Times New Roman"/>
                <w:color w:val="000000"/>
              </w:rPr>
              <w:t>1、房屋（平方米）</w:t>
            </w:r>
          </w:p>
        </w:tc>
        <w:tc>
          <w:tcPr>
            <w:tcW w:w="3155"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p>
        </w:tc>
        <w:tc>
          <w:tcPr>
            <w:tcW w:w="5103"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p>
        </w:tc>
      </w:tr>
      <w:tr>
        <w:trPr>
          <w:trHeight w:val="645"/>
        </w:trPr>
        <w:tc>
          <w:tcPr>
            <w:tcW w:w="5224" w:type="dxa"/>
            <w:tcBorders>
              <w:top w:val="nil"/>
              <w:left w:val="single" w:sz="4" w:space="0" w:color="auto"/>
              <w:bottom w:val="single" w:sz="4" w:space="0" w:color="auto"/>
              <w:right w:val="single" w:sz="4" w:space="0" w:color="auto"/>
            </w:tcBorders>
            <w:vAlign w:val="center"/>
          </w:tcPr>
          <w:p>
            <w:pPr>
              <w:rPr>
                <w:rFonts w:ascii="Times New Roman" w:eastAsia="仿宋" w:hAnsi="Times New Roman"/>
                <w:color w:val="000000"/>
              </w:rPr>
            </w:pPr>
            <w:r>
              <w:rPr>
                <w:rFonts w:ascii="Times New Roman" w:eastAsia="仿宋" w:hAnsi="Times New Roman"/>
                <w:color w:val="000000"/>
              </w:rPr>
              <w:t>其中：办公用房（平方米）</w:t>
            </w:r>
          </w:p>
        </w:tc>
        <w:tc>
          <w:tcPr>
            <w:tcW w:w="3155"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p>
        </w:tc>
        <w:tc>
          <w:tcPr>
            <w:tcW w:w="5103"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p>
        </w:tc>
      </w:tr>
      <w:tr>
        <w:trPr>
          <w:trHeight w:val="645"/>
        </w:trPr>
        <w:tc>
          <w:tcPr>
            <w:tcW w:w="5224" w:type="dxa"/>
            <w:tcBorders>
              <w:top w:val="nil"/>
              <w:left w:val="single" w:sz="4" w:space="0" w:color="auto"/>
              <w:bottom w:val="single" w:sz="4" w:space="0" w:color="auto"/>
              <w:right w:val="single" w:sz="4" w:space="0" w:color="auto"/>
            </w:tcBorders>
            <w:vAlign w:val="center"/>
          </w:tcPr>
          <w:p>
            <w:pPr>
              <w:rPr>
                <w:rFonts w:ascii="Times New Roman" w:eastAsia="仿宋" w:hAnsi="Times New Roman"/>
                <w:color w:val="000000"/>
              </w:rPr>
            </w:pPr>
            <w:r>
              <w:rPr>
                <w:rFonts w:ascii="Times New Roman" w:eastAsia="仿宋" w:hAnsi="Times New Roman"/>
                <w:color w:val="000000"/>
              </w:rPr>
              <w:t>2、车辆（台、辆）</w:t>
            </w:r>
          </w:p>
        </w:tc>
        <w:tc>
          <w:tcPr>
            <w:tcW w:w="3155"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p>
        </w:tc>
        <w:tc>
          <w:tcPr>
            <w:tcW w:w="5103"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p>
        </w:tc>
      </w:tr>
      <w:tr>
        <w:trPr>
          <w:trHeight w:val="645"/>
        </w:trPr>
        <w:tc>
          <w:tcPr>
            <w:tcW w:w="5224" w:type="dxa"/>
            <w:tcBorders>
              <w:top w:val="nil"/>
              <w:left w:val="single" w:sz="4" w:space="0" w:color="auto"/>
              <w:bottom w:val="single" w:sz="4" w:space="0" w:color="auto"/>
              <w:right w:val="single" w:sz="4" w:space="0" w:color="auto"/>
            </w:tcBorders>
            <w:vAlign w:val="center"/>
          </w:tcPr>
          <w:p>
            <w:pPr>
              <w:rPr>
                <w:rFonts w:ascii="Times New Roman" w:eastAsia="仿宋" w:hAnsi="Times New Roman"/>
                <w:color w:val="000000"/>
              </w:rPr>
            </w:pPr>
            <w:r>
              <w:rPr>
                <w:rFonts w:ascii="Times New Roman" w:eastAsia="仿宋" w:hAnsi="Times New Roman"/>
                <w:color w:val="000000"/>
              </w:rPr>
              <w:t>3、单价在20万元以上设备</w:t>
            </w:r>
          </w:p>
        </w:tc>
        <w:tc>
          <w:tcPr>
            <w:tcW w:w="3155"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r>
              <w:rPr>
                <w:rFonts w:ascii="Times New Roman" w:eastAsia="仿宋" w:hAnsi="Times New Roman"/>
                <w:color w:val="000000"/>
              </w:rPr>
              <w:t>——</w:t>
            </w:r>
          </w:p>
        </w:tc>
        <w:tc>
          <w:tcPr>
            <w:tcW w:w="5103"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p>
        </w:tc>
      </w:tr>
      <w:tr>
        <w:trPr>
          <w:trHeight w:val="645"/>
        </w:trPr>
        <w:tc>
          <w:tcPr>
            <w:tcW w:w="5224" w:type="dxa"/>
            <w:tcBorders>
              <w:top w:val="nil"/>
              <w:left w:val="single" w:sz="4" w:space="0" w:color="auto"/>
              <w:bottom w:val="single" w:sz="4" w:space="0" w:color="auto"/>
              <w:right w:val="single" w:sz="4" w:space="0" w:color="auto"/>
            </w:tcBorders>
            <w:vAlign w:val="center"/>
          </w:tcPr>
          <w:p>
            <w:pPr>
              <w:rPr>
                <w:rFonts w:ascii="Times New Roman" w:eastAsia="仿宋" w:hAnsi="Times New Roman"/>
                <w:color w:val="000000"/>
              </w:rPr>
            </w:pPr>
            <w:r>
              <w:rPr>
                <w:rFonts w:ascii="Times New Roman" w:eastAsia="仿宋" w:hAnsi="Times New Roman"/>
                <w:color w:val="000000"/>
              </w:rPr>
              <w:t>4、其他固定资产</w:t>
            </w:r>
          </w:p>
        </w:tc>
        <w:tc>
          <w:tcPr>
            <w:tcW w:w="3155"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r>
              <w:rPr>
                <w:rFonts w:ascii="Times New Roman" w:eastAsia="仿宋" w:hAnsi="Times New Roman"/>
                <w:color w:val="000000"/>
              </w:rPr>
              <w:t>——</w:t>
            </w:r>
          </w:p>
        </w:tc>
        <w:tc>
          <w:tcPr>
            <w:tcW w:w="5103" w:type="dxa"/>
            <w:tcBorders>
              <w:top w:val="nil"/>
              <w:left w:val="nil"/>
              <w:bottom w:val="single" w:sz="4" w:space="0" w:color="auto"/>
              <w:right w:val="single" w:sz="4" w:space="0" w:color="auto"/>
            </w:tcBorders>
            <w:vAlign w:val="center"/>
          </w:tcPr>
          <w:p>
            <w:pPr>
              <w:jc w:val="center"/>
              <w:rPr>
                <w:rFonts w:ascii="Times New Roman" w:eastAsia="仿宋" w:hAnsi="Times New Roman"/>
                <w:color w:val="000000"/>
              </w:rPr>
            </w:pPr>
            <w:r>
              <w:rPr>
                <w:rFonts w:ascii="Times New Roman" w:eastAsia="仿宋" w:hAnsi="Times New Roman" w:hint="eastAsia"/>
                <w:color w:val="000000"/>
              </w:rPr>
              <w:t>244.75</w:t>
            </w:r>
          </w:p>
        </w:tc>
      </w:tr>
    </w:tbl>
    <w:p>
      <w:pPr>
        <w:autoSpaceDE w:val="0"/>
        <w:autoSpaceDN w:val="0"/>
        <w:ind w:firstLineChars="200" w:firstLine="640"/>
        <w:rPr>
          <w:rFonts w:ascii="黑体" w:eastAsia="黑体" w:hAnsi="黑体"/>
          <w:color w:val="000000"/>
          <w:sz w:val="32"/>
          <w:szCs w:val="32"/>
        </w:rPr>
      </w:pPr>
    </w:p>
    <w:p>
      <w:pPr>
        <w:autoSpaceDE w:val="0"/>
        <w:autoSpaceDN w:val="0"/>
        <w:ind w:firstLineChars="200" w:firstLine="640"/>
        <w:rPr>
          <w:rFonts w:ascii="黑体" w:eastAsia="黑体" w:hAnsi="黑体"/>
          <w:color w:val="000000"/>
          <w:sz w:val="32"/>
          <w:szCs w:val="32"/>
        </w:rPr>
      </w:pPr>
    </w:p>
    <w:p>
      <w:pPr>
        <w:autoSpaceDE w:val="0"/>
        <w:autoSpaceDN w:val="0"/>
        <w:ind w:firstLineChars="200" w:firstLine="640"/>
        <w:rPr>
          <w:rFonts w:ascii="黑体" w:eastAsia="黑体" w:hAnsi="黑体"/>
          <w:color w:val="000000"/>
          <w:sz w:val="32"/>
          <w:szCs w:val="32"/>
        </w:rPr>
      </w:pPr>
      <w:r>
        <w:rPr>
          <w:rFonts w:ascii="黑体" w:eastAsia="黑体" w:hAnsi="黑体" w:hint="eastAsia"/>
          <w:color w:val="000000"/>
          <w:sz w:val="32"/>
          <w:szCs w:val="32"/>
        </w:rPr>
        <w:t>八、名词解释</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1、一般公共预算拨款收入：指县级财政当年拨付的资金。</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2、事业收入：指事业单位开展专业业务活动及辅助活动所取得的收入。</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3、其他收入：指除“一般公共预算拨款收入”、“事业收入”等以外的收入。主要是按规定动用的租房收入、存款利息收入等。</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4、基本支出：指为保障机构正常运转、完成日常工作任务而发生的人员支出和公用支出。</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5、项目支出：指在基本支出之外为完成特定行政任务和事业发展目标所发生的支出。</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6、上缴上级支出：指下级单位上缴上级的支出。</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9、上年结转：指以前年度尚未完成、结转到本年仍按原规定用途继续使用的资金。</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10、事业单位经营支出：指事业单位在专业业务活动及其辅助活动之外开展非独立核算经营活动发生的支出。</w:t>
      </w:r>
    </w:p>
    <w:p>
      <w:pPr>
        <w:ind w:firstLineChars="200" w:firstLine="640"/>
        <w:rPr>
          <w:rFonts w:ascii="宋体-方正超大字符集" w:eastAsia="宋体-方正超大字符集" w:cs="宋体-方正超大字符集" w:hAnsi="宋体-方正超大字符集"/>
          <w:b/>
          <w:bCs/>
          <w:color w:val="000000"/>
          <w:sz w:val="32"/>
          <w:szCs w:val="32"/>
        </w:rPr>
      </w:pPr>
      <w:r>
        <w:rPr>
          <w:rFonts w:ascii="宋体-方正超大字符集" w:eastAsia="宋体-方正超大字符集" w:cs="宋体-方正超大字符集" w:hAnsi="宋体-方正超大字符集" w:hint="eastAsia"/>
          <w:b/>
          <w:bCs/>
          <w:color w:val="000000"/>
          <w:sz w:val="32"/>
          <w:szCs w:val="32"/>
        </w:rPr>
        <w:t>九、其他需要说明的事项</w:t>
      </w:r>
    </w:p>
    <w:p>
      <w:pPr>
        <w:ind w:firstLineChars="200" w:firstLine="640"/>
        <w:rPr>
          <w:rFonts w:ascii="Times New Roman" w:eastAsia="仿宋" w:hAnsi="Times New Roman"/>
          <w:color w:val="000000"/>
          <w:sz w:val="32"/>
          <w:szCs w:val="32"/>
        </w:rPr>
      </w:pPr>
      <w:r>
        <w:rPr>
          <w:rFonts w:ascii="Times New Roman" w:eastAsia="仿宋" w:hAnsi="Times New Roman" w:hint="eastAsia"/>
          <w:color w:val="000000"/>
          <w:sz w:val="32"/>
          <w:szCs w:val="32"/>
        </w:rPr>
        <w:t>我部门无其他需要说明的事项。</w:t>
      </w:r>
    </w:p>
    <w:p>
      <w:pPr>
        <w:spacing w:line="220" w:lineRule="atLeast"/>
        <w:rPr>
          <w:color w:val="000000"/>
        </w:rPr>
      </w:pPr>
    </w:p>
    <w:p>
      <w:pPr>
        <w:spacing w:line="300" w:lineRule="exact"/>
        <w:jc w:val="left"/>
        <w:rPr>
          <w:rFonts w:ascii="宋体" w:cs="宋体"/>
          <w:color w:val="000000"/>
        </w:rPr>
        <w:sectPr>
          <w:footerReference w:type="default" r:id="rId4"/>
          <w:pgSz w:w="16839" w:h="11907" w:orient="landscape"/>
          <w:pgMar w:top="1304" w:right="1985" w:bottom="1304" w:left="1134" w:header="851" w:footer="992" w:gutter="0"/>
          <w:cols w:num="1" w:space="720"/>
          <w:docGrid w:type="linesAndChars" w:linePitch="312" w:charSpace="0"/>
        </w:sectPr>
      </w:pPr>
    </w:p>
    <w:p>
      <w:pPr>
        <w:autoSpaceDE w:val="0"/>
        <w:autoSpaceDN w:val="0"/>
        <w:adjustRightInd w:val="0"/>
        <w:jc w:val="left"/>
        <w:rPr>
          <w:color w:val="000000"/>
        </w:rPr>
      </w:pPr>
      <w:bookmarkEnd w:id="0"/>
    </w:p>
    <w:sectPr>
      <w:headerReference w:type="default" r:id="rId5"/>
      <w:headerReference w:type="even" r:id="rId6"/>
      <w:headerReference w:type="first" r:id="rId7"/>
      <w:footerReference w:type="default" r:id="rId8"/>
      <w:footerReference w:type="even" r:id="rId9"/>
      <w:footerReference w:type="first" r:id="rId10"/>
      <w:pgSz w:w="16839" w:h="11907" w:orient="landscape"/>
      <w:pgMar w:top="1304" w:right="1985" w:bottom="1304" w:left="1134" w:header="851" w:footer="992" w:gutter="0"/>
      <w:cols w:num="1" w:space="425"/>
      <w:docGrid w:type="linesAndChar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E0002AFF" w:usb1="C0007841" w:usb2="00000009" w:usb3="00000000" w:csb0="000001FF" w:csb1="00000000"/>
  </w:font>
  <w:font w:name="方正小标宋_GBK">
    <w:altName w:val="微软雅黑"/>
    <w:panose1 w:val="00000000000000000000"/>
    <w:charset w:val="86"/>
    <w:family w:val="script"/>
    <w:pitch w:val="variable"/>
    <w:sig w:usb0="00000000" w:usb1="00000000" w:usb2="00000010" w:usb3="00000000" w:csb0="00040000" w:csb1="00000000"/>
  </w:font>
  <w:font w:name="仿宋">
    <w:panose1 w:val="02010609060101010101"/>
    <w:charset w:val="86"/>
    <w:family w:val="modern"/>
    <w:pitch w:val="variable"/>
    <w:sig w:usb0="800002BF" w:usb1="38CF7CFA" w:usb2="00000016" w:usb3="00000000" w:csb0="00040001" w:csb1="00000000"/>
  </w:font>
  <w:font w:name="黑体">
    <w:altName w:val="SimHei"/>
    <w:panose1 w:val="02010609060101010101"/>
    <w:charset w:val="86"/>
    <w:family w:val="modern"/>
    <w:pitch w:val="variable"/>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panose1 w:val="00000000000000000000"/>
    <w:charset w:val="86"/>
    <w:family w:val="script"/>
    <w:pitch w:val="variable"/>
    <w:sig w:usb0="00000000" w:usb1="00000000" w:usb2="00000010" w:usb3="00000000" w:csb0="00040000" w:csb1="00000000"/>
  </w:font>
  <w:font w:name="方正书宋_GBK">
    <w:altName w:val="微软雅黑"/>
    <w:panose1 w:val="00000000000000000000"/>
    <w:charset w:val="86"/>
    <w:family w:val="script"/>
    <w:pitch w:val="variable"/>
    <w:sig w:usb0="00000000" w:usb1="00000000" w:usb2="00000010" w:usb3="00000000" w:csb0="00040000" w:csb1="00000000"/>
  </w:font>
  <w:font w:name="宋体-方正超大字符集">
    <w:altName w:val="宋体"/>
    <w:panose1 w:val="00000000000000000000"/>
    <w:charset w:val="86"/>
    <w:family w:val="auto"/>
    <w:pitch w:val="variable"/>
    <w:sig w:usb0="00000000" w:usb1="00000000" w:usb2="00000000" w:usb3="00000000" w:csb0="00040000" w:csb1="00000000"/>
  </w:font>
  <w:font w:name="Arial">
    <w:panose1 w:val="020B0604020202020204"/>
    <w:charset w:val="00"/>
    <w:family w:val="auto"/>
    <w:pitch w:val="variable"/>
    <w:sig w:usb0="00007A87" w:usb1="80000000" w:usb2="00000008" w:usb3="00000000" w:csb0="400001FF" w:csb1="FFFF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tabs>
        <w:tab w:val="center" w:pos="4153"/>
        <w:tab w:val="right" w:pos="8306"/>
      </w:tabs>
      <w:ind w:right="360" w:firstLine="360"/>
    </w:pPr>
    <w:r>
      <mc:AlternateContent>
        <mc:Choice Requires="wps">
          <w:drawing>
            <wp:anchor distT="0" distB="0" distL="114300" distR="114300" simplePos="0" relativeHeight="12" behindDoc="0" locked="0" layoutInCell="1" hidden="0" allowOverlap="1">
              <wp:simplePos x="0" y="0"/>
              <wp:positionH relativeFrom="margin">
                <wp:align>center</wp:align>
              </wp:positionH>
              <wp:positionV relativeFrom="paragraph">
                <wp:posOffset>0</wp:posOffset>
              </wp:positionV>
              <wp:extent cx="76200" cy="131433"/>
              <wp:effectExtent l="0" t="0" r="0" b="0"/>
              <wp:wrapNone/>
              <wp:docPr id="4097" name="文本框 7"/>
              <wp:cNvGraphicFramePr>
                <a:graphicFrameLocks noChangeAspect="0"/>
              </wp:cNvGraphicFramePr>
              <a:graphic>
                <a:graphicData uri="http://schemas.microsoft.com/office/word/2010/wordprocessingShape">
                  <wps:wsp>
                    <wps:cNvSpPr/>
                    <wps:spPr>
                      <a:xfrm rot="0">
                        <a:off x="0" y="0"/>
                        <a:ext cx="76200" cy="131433"/>
                      </a:xfrm>
                      <a:prstGeom prst="rect"/>
                      <a:noFill/>
                      <a:ln w="9525" cmpd="sng" cap="flat">
                        <a:noFill/>
                        <a:prstDash val="solid"/>
                        <a:miter/>
                      </a:ln>
                    </wps:spPr>
                    <wps:txbx id="1">
                      <w:txbxContent>
                        <w:p>
                          <w:pPr>
                            <w:pStyle w:val="16"/>
                            <w:tabs>
                              <w:tab w:val="center" w:pos="4153"/>
                              <w:tab w:val="right" w:pos="8306"/>
                            </w:tabs>
                            <w:rPr>
                              <w:rStyle w:val="21"/>
                            </w:rPr>
                          </w:pPr>
                          <w:r>
                            <w:rPr>
                              <w:rStyle w:val="21"/>
                            </w:rPr>
                            <w:fldChar w:fldCharType="begin"/>
                          </w:r>
                          <w:r>
                            <w:rPr>
                              <w:rStyle w:val="21"/>
                            </w:rPr>
                            <w:instrText xml:space="preserve">PAGE  </w:instrText>
                          </w:r>
                          <w:r>
                            <w:rPr>
                              <w:rStyle w:val="21"/>
                            </w:rPr>
                            <w:fldChar w:fldCharType="separate"/>
                          </w:r>
                          <w:r>
                            <w:rPr>
                              <w:rStyle w:val="21"/>
                            </w:rPr>
                            <w:t>29</w:t>
                          </w:r>
                          <w:r>
                            <w:rPr>
                              <w:rStyle w:val="21"/>
                            </w:rPr>
                            <w:fldChar w:fldCharType="end"/>
                          </w:r>
                        </w:p>
                      </w:txbxContent>
                    </wps:txbx>
                    <wps:bodyPr vert="horz" wrap="none" lIns="0" tIns="0" rIns="0" bIns="0" anchor="t" anchorCtr="0" upright="1">
                      <a:spAutoFit/>
                    </wps:bodyPr>
                  </wps:wsp>
                </a:graphicData>
              </a:graphic>
            </wp:anchor>
          </w:drawing>
        </mc:Choice>
        <mc:Fallback>
          <w:pict>
            <v:rect type="#_x0000_t1" id="文本框 7" o:spid="_x0000_s2" filled="f" stroked="f" style="position:absolute;margin-left:0.0pt;margin-top:0.0pt;width:6.0pt;height:10.349121pt;z-index:12;mso-position-horizontal:center;mso-position-horizontal-relative:margin;mso-position-vertical:absolute;mso-wrap-style:none;">
              <v:stroke/>
              <v:textbox id="848" inset="0mm,0mm,0mm,0mm" o:insetmode="custom" style="layout-flow:horizontal;v-text-anchor:top;mso-fit-shape-to-text:t;">
                <w:txbxContent>
                  <w:p>
                    <w:pPr>
                      <w:pStyle w:val="16"/>
                      <w:tabs>
                        <w:tab w:val="center" w:pos="4153"/>
                        <w:tab w:val="right" w:pos="8306"/>
                      </w:tabs>
                      <w:rPr>
                        <w:rStyle w:val="21"/>
                      </w:rPr>
                    </w:pPr>
                    <w:r>
                      <w:rPr>
                        <w:rStyle w:val="21"/>
                      </w:rPr>
                      <w:fldChar w:fldCharType="begin"/>
                    </w:r>
                    <w:r>
                      <w:rPr>
                        <w:rStyle w:val="21"/>
                      </w:rPr>
                      <w:instrText xml:space="preserve">PAGE  </w:instrText>
                    </w:r>
                    <w:r>
                      <w:rPr>
                        <w:rStyle w:val="21"/>
                      </w:rPr>
                      <w:fldChar w:fldCharType="separate"/>
                    </w:r>
                    <w:r>
                      <w:rPr>
                        <w:rStyle w:val="21"/>
                      </w:rPr>
                      <w:t>29</w:t>
                    </w:r>
                    <w:r>
                      <w:rPr>
                        <w:rStyle w:val="21"/>
                      </w:rPr>
                      <w:fldChar w:fldCharType="end"/>
                    </w:r>
                  </w:p>
                </w:txbxContent>
              </v:textbox>
            </v:rect>
          </w:pict>
        </mc:Fallback>
      </mc:AlternateConten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framePr w:w="0" w:hRule="auto" w:wrap="around" w:vAnchor="text" w:hAnchor="margin" w:xAlign="outside" w:y="1" w:anchorLock="0"/>
      <w:tabs>
        <w:tab w:val="center" w:pos="4153"/>
        <w:tab w:val="right" w:pos="8306"/>
      </w:tabs>
      <w:rPr>
        <w:rStyle w:val="29"/>
      </w:rPr>
    </w:pPr>
    <w:r>
      <w:fldChar w:fldCharType="begin"/>
    </w:r>
    <w:r>
      <w:rPr>
        <w:rStyle w:val="29"/>
      </w:rPr>
      <w:instrText xml:space="preserve">PAGE  </w:instrText>
    </w:r>
    <w:r>
      <w:fldChar w:fldCharType="separate"/>
    </w:r>
    <w:r>
      <w:rPr>
        <w:rStyle w:val="29"/>
      </w:rPr>
      <w:t>30</w:t>
    </w:r>
    <w:r>
      <w:fldChar w:fldCharType="end"/>
    </w:r>
  </w:p>
  <w:p>
    <w:pPr>
      <w:pStyle w:val="16"/>
      <w:tabs>
        <w:tab w:val="center" w:pos="4153"/>
        <w:tab w:val="right" w:pos="8306"/>
      </w:tabs>
      <w:ind w:right="360" w:firstLine="360"/>
    </w:pP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tabs>
        <w:tab w:val="center" w:pos="4153"/>
        <w:tab w:val="right" w:pos="8306"/>
      </w:tabs>
    </w:pPr>
  </w:p>
</w:ftr>
</file>

<file path=word/footer4.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tabs>
        <w:tab w:val="center" w:pos="4153"/>
        <w:tab w:val="right" w:pos="8306"/>
      </w:tabs>
    </w:pPr>
  </w:p>
</w:ftr>
</file>

<file path=word/footer5.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tabs>
        <w:tab w:val="center" w:pos="4153"/>
        <w:tab w:val="right" w:pos="8306"/>
      </w:tabs>
    </w:pPr>
  </w:p>
</w:ftr>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pBdr>
        <w:bottom w:val="none" w:sz="0" w:space="0" w:color="auto"/>
      </w:pBdr>
      <w:tabs>
        <w:tab w:val="center" w:pos="4153"/>
        <w:tab w:val="right" w:pos="8306"/>
      </w:tabs>
    </w:pPr>
  </w:p>
</w:hdr>
</file>

<file path=word/header2.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pBdr>
        <w:bottom w:val="none" w:sz="0" w:space="0" w:color="auto"/>
      </w:pBdr>
      <w:tabs>
        <w:tab w:val="center" w:pos="4153"/>
        <w:tab w:val="right" w:pos="8306"/>
      </w:tabs>
    </w:pPr>
  </w:p>
</w:hdr>
</file>

<file path=word/header3.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pPr>
  </w:p>
</w:hdr>
</file>

<file path=word/header4.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pPr>
  </w:p>
</w:hd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ulTrailSpace/>
    <w:doNotExpandShiftReturn/>
    <w:adjustLineHeightInTable/>
    <w:doNotUseIndentAsNumberingTabStop/>
    <w:useAltKinsokuLineBreakRules/>
    <w:doNotSuppressIndentation/>
    <w:splitPgBreakAndParaMark/>
    <w:autofitToFirstFixedWidthCell/>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doNotIncludeSubdocsInStat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latentStyles w:count="21">
    <w:lsdException w:name="heading 1" w:locked="1"/>
    <w:lsdException w:name="heading 2" w:locked="1"/>
    <w:lsdException w:name="heading 3" w:locked="1"/>
    <w:lsdException w:name="heading 4" w:locked="1"/>
    <w:lsdException w:name="heading 5" w:locked="1"/>
    <w:lsdException w:name="heading 6" w:locked="1"/>
    <w:lsdException w:name="heading 7" w:locked="1"/>
    <w:lsdException w:name="heading 8" w:locked="1"/>
    <w:lsdException w:name="heading 9"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lsdException w:name="Title" w:locked="1"/>
    <w:lsdException w:name="Subtitle" w:locked="1"/>
    <w:lsdException w:name="Strong" w:locked="1"/>
    <w:lsdException w:name="Emphasis" w:locked="1"/>
  </w:latentStyles>
  <w:style w:type="paragraph" w:default="1" w:styleId="0">
    <w:name w:val="Normal"/>
    <w:qFormat/>
    <w:pPr>
      <w:widowControl w:val="0"/>
      <w:jc w:val="both"/>
    </w:pPr>
    <w:rPr>
      <w:rFonts w:ascii="Calibri" w:eastAsia="宋体" w:cs="Times New Roman" w:hAnsi="Calibri"/>
      <w:kern w:val="2"/>
      <w:sz w:val="21"/>
      <w:szCs w:val="22"/>
      <w:lang w:val="en-US" w:eastAsia="zh-CN" w:bidi="ar-SA"/>
    </w:rPr>
  </w:style>
  <w:style w:type="paragraph" w:styleId="1">
    <w:name w:val="heading 1"/>
    <w:qFormat/>
    <w:basedOn w:val="0"/>
    <w:locked/>
    <w:next w:val="0"/>
    <w:link w:val="1Char"/>
    <w:pPr>
      <w:keepNext/>
      <w:keepLines/>
      <w:spacing w:before="340" w:after="330" w:line="578" w:lineRule="auto"/>
      <w:outlineLvl w:val="0"/>
    </w:pPr>
    <w:rPr>
      <w:b/>
      <w:kern w:val="44"/>
      <w:sz w:val="44"/>
      <w:szCs w:val="20"/>
    </w:rPr>
  </w:style>
  <w:style w:type="character" w:customStyle="1" w:styleId="1Char">
    <w:name w:val="heading 1 Char"/>
    <w:basedOn w:val="10"/>
    <w:link w:val="1"/>
    <w:rPr>
      <w:rFonts w:ascii="Calibri" w:eastAsia="宋体" w:cs="Times New Roman" w:hAnsi="Calibri"/>
      <w:b/>
      <w:kern w:val="44"/>
      <w:sz w:val="44"/>
      <w:szCs w:val="20"/>
      <w:lang w:val="en-US" w:eastAsia="zh-CN" w:bidi="ar-SA"/>
    </w:rPr>
  </w:style>
  <w:style w:type="paragraph" w:styleId="2">
    <w:name w:val="heading 2"/>
    <w:qFormat/>
    <w:basedOn w:val="0"/>
    <w:locked/>
    <w:next w:val="0"/>
    <w:link w:val="2Char"/>
    <w:pPr>
      <w:keepNext/>
      <w:keepLines/>
      <w:spacing w:before="260" w:after="260" w:line="415" w:lineRule="auto"/>
      <w:outlineLvl w:val="1"/>
    </w:pPr>
    <w:rPr>
      <w:rFonts w:ascii="Cambria" w:hAnsi="Cambria"/>
      <w:b/>
      <w:sz w:val="32"/>
      <w:szCs w:val="20"/>
    </w:rPr>
  </w:style>
  <w:style w:type="character" w:customStyle="1" w:styleId="2Char">
    <w:name w:val="heading 2 Char"/>
    <w:basedOn w:val="10"/>
    <w:link w:val="2"/>
    <w:rPr>
      <w:rFonts w:ascii="Cambria" w:eastAsia="宋体" w:cs="Times New Roman" w:hAnsi="Cambria"/>
      <w:b/>
      <w:kern w:val="2"/>
      <w:sz w:val="32"/>
      <w:szCs w:val="20"/>
      <w:lang w:val="en-US" w:eastAsia="zh-CN" w:bidi="ar-SA"/>
    </w:rPr>
  </w:style>
  <w:style w:type="paragraph" w:styleId="3">
    <w:name w:val="heading 3"/>
    <w:qFormat/>
    <w:basedOn w:val="0"/>
    <w:locked/>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Times New Roman" w:hAnsi="Calibri"/>
      <w:b/>
      <w:bCs/>
      <w:kern w:val="2"/>
      <w:sz w:val="32"/>
      <w:szCs w:val="32"/>
      <w:lang w:val="en-US" w:eastAsia="zh-CN" w:bidi="ar-SA"/>
    </w:rPr>
  </w:style>
  <w:style w:type="character" w:default="1" w:styleId="10">
    <w:name w:val="Default Paragraph Font"/>
    <w:qFormat/>
  </w:style>
  <w:style w:type="paragraph" w:styleId="15">
    <w:name w:val="Balloon Text"/>
    <w:qFormat/>
    <w:basedOn w:val="0"/>
    <w:rPr>
      <w:kern w:val="0"/>
      <w:sz w:val="18"/>
      <w:szCs w:val="20"/>
    </w:rPr>
  </w:style>
  <w:style w:type="paragraph" w:styleId="16">
    <w:name w:val="footer"/>
    <w:qFormat/>
    <w:basedOn w:val="0"/>
    <w:pPr>
      <w:tabs>
        <w:tab w:val="center" w:pos="4153"/>
        <w:tab w:val="right" w:pos="8306"/>
      </w:tabs>
      <w:snapToGrid w:val="0"/>
      <w:jc w:val="left"/>
    </w:pPr>
    <w:rPr>
      <w:rFonts w:ascii="Times New Roman" w:hAnsi="Times New Roman"/>
      <w:kern w:val="0"/>
      <w:sz w:val="18"/>
      <w:szCs w:val="20"/>
    </w:rPr>
  </w:style>
  <w:style w:type="paragraph" w:styleId="17">
    <w:name w:val="header"/>
    <w:qFormat/>
    <w:basedOn w:val="0"/>
    <w:pPr>
      <w:pBdr>
        <w:bottom w:val="single" w:sz="6" w:space="1" w:color="auto"/>
      </w:pBdr>
      <w:tabs>
        <w:tab w:val="center" w:pos="4153"/>
        <w:tab w:val="right" w:pos="8306"/>
      </w:tabs>
      <w:snapToGrid w:val="0"/>
      <w:jc w:val="center"/>
    </w:pPr>
    <w:rPr>
      <w:rFonts w:ascii="Times New Roman" w:hAnsi="Times New Roman"/>
      <w:kern w:val="0"/>
      <w:sz w:val="18"/>
      <w:szCs w:val="20"/>
    </w:rPr>
  </w:style>
  <w:style w:type="paragraph" w:styleId="18">
    <w:name w:val="toc 1"/>
    <w:qFormat/>
    <w:basedOn w:val="0"/>
    <w:next w:val="0"/>
    <w:rPr>
      <w:rFonts w:ascii="Times New Roman" w:hAnsi="Times New Roman"/>
      <w:szCs w:val="24"/>
    </w:rPr>
  </w:style>
  <w:style w:type="paragraph" w:styleId="19">
    <w:name w:val="footnote text"/>
    <w:qFormat/>
    <w:basedOn w:val="0"/>
    <w:pPr>
      <w:snapToGrid w:val="0"/>
      <w:jc w:val="left"/>
    </w:pPr>
    <w:rPr>
      <w:kern w:val="0"/>
      <w:sz w:val="18"/>
      <w:szCs w:val="20"/>
    </w:rPr>
  </w:style>
  <w:style w:type="paragraph" w:styleId="20">
    <w:name w:val="toc 2"/>
    <w:qFormat/>
    <w:basedOn w:val="0"/>
    <w:next w:val="0"/>
    <w:pPr>
      <w:ind w:leftChars="200" w:left="200"/>
    </w:pPr>
    <w:rPr>
      <w:rFonts w:ascii="Times New Roman" w:hAnsi="Times New Roman"/>
      <w:szCs w:val="24"/>
    </w:rPr>
  </w:style>
  <w:style w:type="character" w:styleId="21">
    <w:name w:val="page number"/>
    <w:qFormat/>
    <w:rPr>
      <w:rFonts w:cs="Times New Roman"/>
    </w:rPr>
  </w:style>
  <w:style w:type="character" w:styleId="22">
    <w:name w:val="Hyperlink"/>
    <w:qFormat/>
    <w:rPr>
      <w:rFonts w:cs="Times New Roman"/>
      <w:color w:val="0000FF"/>
      <w:u w:val="single"/>
    </w:rPr>
  </w:style>
  <w:style w:type="character" w:styleId="23">
    <w:name w:val="footnote reference"/>
    <w:qFormat/>
    <w:rPr>
      <w:rFonts w:cs="Times New Roman"/>
      <w:vertAlign w:val="superscript"/>
    </w:rPr>
  </w:style>
  <w:style w:type="character" w:customStyle="1" w:styleId="24">
    <w:name w:val="Heading 1 Char"/>
    <w:qFormat/>
    <w:locked/>
    <w:rPr>
      <w:rFonts w:cs="Times New Roman"/>
      <w:b/>
      <w:kern w:val="44"/>
      <w:sz w:val="44"/>
    </w:rPr>
  </w:style>
  <w:style w:type="character" w:customStyle="1" w:styleId="25">
    <w:name w:val="Heading 2 Char"/>
    <w:qFormat/>
    <w:locked/>
    <w:rPr>
      <w:rFonts w:ascii="Cambria" w:eastAsia="宋体" w:cs="Times New Roman" w:hAnsi="Cambria"/>
      <w:b/>
      <w:sz w:val="32"/>
    </w:rPr>
  </w:style>
  <w:style w:type="paragraph" w:customStyle="1" w:styleId="26">
    <w:name w:val="Default"/>
    <w:qFormat/>
    <w:pPr>
      <w:widowControl w:val="0"/>
      <w:autoSpaceDE w:val="0"/>
      <w:autoSpaceDN w:val="0"/>
      <w:adjustRightInd w:val="0"/>
    </w:pPr>
    <w:rPr>
      <w:rFonts w:ascii="Times New Roman" w:eastAsia="宋体" w:cs="Times New Roman" w:hAnsi="Times New Roman"/>
      <w:color w:val="000000"/>
      <w:sz w:val="24"/>
      <w:szCs w:val="24"/>
      <w:lang w:val="en-US" w:eastAsia="zh-CN" w:bidi="ar-SA"/>
    </w:rPr>
  </w:style>
  <w:style w:type="character" w:customStyle="1" w:styleId="27">
    <w:name w:val="Char Char1"/>
    <w:qFormat/>
    <w:rPr>
      <w:kern w:val="2"/>
      <w:sz w:val="18"/>
    </w:rPr>
  </w:style>
  <w:style w:type="paragraph" w:customStyle="1" w:styleId="28">
    <w:name w:val="[Normal]"/>
    <w:qFormat/>
    <w:rPr>
      <w:rFonts w:ascii="宋体" w:eastAsia="宋体" w:cs="Times New Roman" w:hAnsi="宋体"/>
      <w:sz w:val="24"/>
      <w:szCs w:val="20"/>
      <w:lang w:val="en-US" w:eastAsia="zh-CN" w:bidi="ar-SA"/>
    </w:rPr>
  </w:style>
  <w:style w:type="character" w:customStyle="1" w:styleId="29">
    <w:name w:val="页码1"/>
    <w:qFormat/>
  </w:style>
</w:styles>
</file>

<file path=word/_rels/document.xml.rels><?xml version="1.0" encoding="UTF-8" standalone="no"?><Relationships xmlns="http://schemas.openxmlformats.org/package/2006/relationships"><Relationship Id="rId1" Target="settings.xml" Type="http://schemas.openxmlformats.org/officeDocument/2006/relationships/settings"/><Relationship Id="rId10" Target="footer5.xml" Type="http://schemas.openxmlformats.org/officeDocument/2006/relationships/footer"/><Relationship Id="rId11" Target="styles.xml" Type="http://schemas.openxmlformats.org/officeDocument/2006/relationships/styles"/><Relationship Id="rId12" Target="fontTable.xml" Type="http://schemas.openxmlformats.org/officeDocument/2006/relationships/fontTable"/><Relationship Id="rId13" Target="../customXml/item1.xml" Type="http://schemas.openxmlformats.org/officeDocument/2006/relationships/customXml"/><Relationship Id="rId14" Target="theme/theme1.xml" Type="http://schemas.openxmlformats.org/officeDocument/2006/relationships/theme"/><Relationship Id="rId2" Target="header1.xml" Type="http://schemas.openxmlformats.org/officeDocument/2006/relationships/header"/><Relationship Id="rId3" Target="footer1.xml" Type="http://schemas.openxmlformats.org/officeDocument/2006/relationships/footer"/><Relationship Id="rId4" Target="footer2.xml" Type="http://schemas.openxmlformats.org/officeDocument/2006/relationships/footer"/><Relationship Id="rId5" Target="header2.xml" Type="http://schemas.openxmlformats.org/officeDocument/2006/relationships/header"/><Relationship Id="rId6" Target="header3.xml" Type="http://schemas.openxmlformats.org/officeDocument/2006/relationships/header"/><Relationship Id="rId7" Target="header4.xml" Type="http://schemas.openxmlformats.org/officeDocument/2006/relationships/header"/><Relationship Id="rId8" Target="footer3.xml" Type="http://schemas.openxmlformats.org/officeDocument/2006/relationships/footer"/><Relationship Id="rId9" Target="footer4.xml" Type="http://schemas.openxmlformats.org/officeDocument/2006/relationships/footer"/></Relationships>
</file>

<file path=word/theme/theme1.xml><?xml version="1.0" encoding="utf-8"?>
<a:theme xmlns:a="http://schemas.openxmlformats.org/drawingml/2006/main" name="Office Theme">
  <a:themeElements>
    <a:clrScheme name="Office Theme">
      <a:dk1>
        <a:srgbClr val="000000"/>
      </a:dk1>
      <a:lt1>
        <a:srgbClr val="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C77891F1-97FC-4959-ADBC-CB863EE758B1}">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54</TotalTime>
  <Application>Yozo_Office27021597764231189</Application>
  <Pages>33</Pages>
  <Words>0</Words>
  <Characters>9717</Characters>
  <Lines>0</Lines>
  <Paragraphs>158</Paragraphs>
  <CharactersWithSpaces>12957</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2021-02-19T03:58:00Z</dcterms:created>
  <dc:creator>guest</dc:creator>
  <cp:lastModifiedBy>Administrator</cp:lastModifiedBy>
  <cp:lastPrinted>2021-02-23T10:01:00Z</cp:lastPrinted>
  <dcterms:modified xsi:type="dcterms:W3CDTF">2024-07-30T01:12:30Z</dcterms:modified>
  <cp:revision>69</cp:revision>
  <dc:title>河北省委办公厅2021年部门预算信息公开情况说明</dc:title>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2052-11.8.2.8053</vt:lpwstr>
  </property>
</Properties>
</file>